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BA50C" w14:textId="77777777" w:rsidR="00156C98" w:rsidRDefault="00156C98" w:rsidP="00156C98">
      <w:pPr>
        <w:rPr>
          <w:rFonts w:cs="Arial"/>
        </w:rPr>
      </w:pPr>
    </w:p>
    <w:p w14:paraId="1F0771D0" w14:textId="77777777" w:rsidR="00156C98" w:rsidRPr="00DC3FB5" w:rsidRDefault="00156C98" w:rsidP="00156C98">
      <w:pPr>
        <w:pStyle w:val="RLNzevsmlouvy"/>
        <w:spacing w:after="120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Prováděcí SMLOUVA</w:t>
      </w:r>
    </w:p>
    <w:p w14:paraId="7BA5F1BB" w14:textId="77777777" w:rsidR="00156C98" w:rsidRPr="00DC3FB5" w:rsidRDefault="00281E6E" w:rsidP="00156C98">
      <w:pPr>
        <w:pStyle w:val="RLNzevsmlouvy"/>
        <w:spacing w:after="120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Zajištění BEZPEČNOSTNÍCH informačních auditů a poskytování penetračních testů</w:t>
      </w:r>
    </w:p>
    <w:p w14:paraId="2837837A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8C5277" w:rsidRDefault="00281E6E" w:rsidP="00281E6E">
      <w:pPr>
        <w:spacing w:line="240" w:lineRule="atLeast"/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b/>
          <w:bCs/>
          <w:sz w:val="24"/>
          <w:szCs w:val="24"/>
        </w:rPr>
        <w:t>Česká republika - Ministerstvo zemědělství</w:t>
      </w:r>
    </w:p>
    <w:p w14:paraId="2D150F4D" w14:textId="77777777" w:rsidR="00281E6E" w:rsidRPr="008C5277" w:rsidRDefault="00281E6E" w:rsidP="00281E6E">
      <w:pPr>
        <w:spacing w:line="240" w:lineRule="atLeast"/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se sídlem: Těšnov 65/17, 110 00 Praha 1 – Nové Město,</w:t>
      </w:r>
    </w:p>
    <w:p w14:paraId="1BF8C37C" w14:textId="77777777" w:rsidR="00281E6E" w:rsidRPr="008C5277" w:rsidRDefault="00281E6E" w:rsidP="00281E6E">
      <w:pPr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IČO: 00020478</w:t>
      </w:r>
    </w:p>
    <w:p w14:paraId="31701C9A" w14:textId="77777777" w:rsidR="00281E6E" w:rsidRPr="008C5277" w:rsidRDefault="00281E6E" w:rsidP="00281E6E">
      <w:pPr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DIČ: CZ00020478</w:t>
      </w:r>
    </w:p>
    <w:p w14:paraId="35060E65" w14:textId="77777777" w:rsidR="00281E6E" w:rsidRPr="008C5277" w:rsidRDefault="00281E6E" w:rsidP="00281E6E">
      <w:pPr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 xml:space="preserve">zastoupená: Ing. </w:t>
      </w:r>
      <w:r>
        <w:rPr>
          <w:rFonts w:ascii="Calibri" w:hAnsi="Calibri"/>
          <w:sz w:val="24"/>
          <w:szCs w:val="24"/>
        </w:rPr>
        <w:t>Petrem Kutálkem</w:t>
      </w:r>
      <w:r w:rsidRPr="008C5277">
        <w:rPr>
          <w:rFonts w:ascii="Calibri" w:hAnsi="Calibri"/>
          <w:sz w:val="24"/>
          <w:szCs w:val="24"/>
        </w:rPr>
        <w:t>, ředitele</w:t>
      </w:r>
      <w:r>
        <w:rPr>
          <w:rFonts w:ascii="Calibri" w:hAnsi="Calibri"/>
          <w:sz w:val="24"/>
          <w:szCs w:val="24"/>
        </w:rPr>
        <w:t>m</w:t>
      </w:r>
      <w:r w:rsidRPr="008C5277">
        <w:rPr>
          <w:rFonts w:ascii="Calibri" w:hAnsi="Calibri"/>
          <w:sz w:val="24"/>
          <w:szCs w:val="24"/>
        </w:rPr>
        <w:t xml:space="preserve"> Odboru </w:t>
      </w:r>
      <w:r>
        <w:rPr>
          <w:rFonts w:ascii="Calibri" w:hAnsi="Calibri"/>
          <w:sz w:val="24"/>
          <w:szCs w:val="24"/>
        </w:rPr>
        <w:t>bezpečnostní politiky a krizového řízení</w:t>
      </w:r>
      <w:r w:rsidRPr="008C5277">
        <w:rPr>
          <w:rFonts w:ascii="Calibri" w:hAnsi="Calibri"/>
          <w:sz w:val="24"/>
          <w:szCs w:val="24"/>
        </w:rPr>
        <w:t xml:space="preserve"> </w:t>
      </w:r>
    </w:p>
    <w:p w14:paraId="44631959" w14:textId="77777777" w:rsidR="00281E6E" w:rsidRPr="008C5277" w:rsidRDefault="00281E6E" w:rsidP="00281E6E">
      <w:pPr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bankovní spojení: ČNB Praha 1, Na Příkopě 28</w:t>
      </w:r>
    </w:p>
    <w:p w14:paraId="28D05150" w14:textId="77777777" w:rsidR="00281E6E" w:rsidRPr="008C5277" w:rsidRDefault="00281E6E" w:rsidP="00281E6E">
      <w:pPr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číslo účtu: 1226001/0710</w:t>
      </w:r>
    </w:p>
    <w:p w14:paraId="5ACC25B4" w14:textId="77777777" w:rsidR="00281E6E" w:rsidRPr="008C5277" w:rsidRDefault="00281E6E" w:rsidP="00281E6E">
      <w:pPr>
        <w:pStyle w:val="RLdajeosmluvnstran0"/>
        <w:spacing w:after="0"/>
        <w:rPr>
          <w:rFonts w:eastAsia="Arial" w:cs="Arial"/>
          <w:sz w:val="24"/>
          <w:szCs w:val="24"/>
        </w:rPr>
      </w:pPr>
      <w:r w:rsidRPr="008C5277">
        <w:rPr>
          <w:sz w:val="24"/>
          <w:szCs w:val="24"/>
        </w:rPr>
        <w:t>(dále jen jako „</w:t>
      </w:r>
      <w:r w:rsidR="002A0753">
        <w:rPr>
          <w:b/>
          <w:bCs/>
          <w:sz w:val="24"/>
          <w:szCs w:val="24"/>
        </w:rPr>
        <w:t>O</w:t>
      </w:r>
      <w:r w:rsidRPr="008C5277">
        <w:rPr>
          <w:b/>
          <w:bCs/>
          <w:sz w:val="24"/>
          <w:szCs w:val="24"/>
        </w:rPr>
        <w:t>bjednatel</w:t>
      </w:r>
      <w:r w:rsidRPr="008C5277">
        <w:rPr>
          <w:sz w:val="24"/>
          <w:szCs w:val="24"/>
        </w:rPr>
        <w:t>“ nebo „MZe“)</w:t>
      </w:r>
    </w:p>
    <w:p w14:paraId="64CF5AB5" w14:textId="18E26E24" w:rsidR="00156C98" w:rsidRDefault="00E37AC7" w:rsidP="00156C98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>Číslo výzvy</w:t>
      </w:r>
      <w:r w:rsidRPr="00DB6B38">
        <w:rPr>
          <w:rFonts w:ascii="Arial" w:hAnsi="Arial" w:cs="Arial"/>
          <w:i/>
        </w:rPr>
        <w:t xml:space="preserve">: </w:t>
      </w:r>
      <w:r w:rsidR="00D50C51" w:rsidRPr="00DB6B38">
        <w:rPr>
          <w:rFonts w:ascii="Arial" w:hAnsi="Arial" w:cs="Arial"/>
          <w:i/>
        </w:rPr>
        <w:t>0</w:t>
      </w:r>
      <w:r w:rsidR="0084144F">
        <w:rPr>
          <w:rFonts w:ascii="Arial" w:hAnsi="Arial" w:cs="Arial"/>
          <w:i/>
        </w:rPr>
        <w:t>3</w:t>
      </w:r>
      <w:r w:rsidRPr="00DB6B38">
        <w:rPr>
          <w:rFonts w:ascii="Arial" w:hAnsi="Arial" w:cs="Arial"/>
          <w:i/>
        </w:rPr>
        <w:t xml:space="preserve">, </w:t>
      </w:r>
      <w:r w:rsidR="00A25927" w:rsidRPr="00DB6B38">
        <w:rPr>
          <w:rFonts w:ascii="Arial" w:hAnsi="Arial" w:cs="Arial"/>
          <w:i/>
        </w:rPr>
        <w:t xml:space="preserve">číslo smlouvy DMS: </w:t>
      </w:r>
      <w:r w:rsidR="00A1794E" w:rsidRPr="00DB6B38">
        <w:rPr>
          <w:rFonts w:ascii="Arial" w:hAnsi="Arial" w:cs="Arial"/>
          <w:i/>
        </w:rPr>
        <w:t xml:space="preserve">ČJ. </w:t>
      </w:r>
      <w:r w:rsidR="006D6A71" w:rsidRPr="006D6A71">
        <w:rPr>
          <w:rFonts w:ascii="Arial" w:hAnsi="Arial" w:cs="Arial"/>
          <w:i/>
        </w:rPr>
        <w:t>MZE-</w:t>
      </w:r>
      <w:r w:rsidR="00B917DF" w:rsidRPr="00B917DF">
        <w:rPr>
          <w:rFonts w:ascii="Arial" w:hAnsi="Arial" w:cs="Arial"/>
          <w:i/>
        </w:rPr>
        <w:t>55036</w:t>
      </w:r>
      <w:r w:rsidR="00495388">
        <w:rPr>
          <w:rFonts w:ascii="Arial" w:hAnsi="Arial" w:cs="Arial"/>
          <w:i/>
        </w:rPr>
        <w:t>/2022</w:t>
      </w:r>
      <w:r w:rsidR="006D6A71" w:rsidRPr="006D6A71">
        <w:rPr>
          <w:rFonts w:ascii="Arial" w:hAnsi="Arial" w:cs="Arial"/>
          <w:i/>
        </w:rPr>
        <w:t>-10023</w:t>
      </w:r>
      <w:r w:rsidR="00B418A8" w:rsidRPr="006D6A71">
        <w:rPr>
          <w:rFonts w:ascii="Arial" w:hAnsi="Arial" w:cs="Arial"/>
          <w:i/>
        </w:rPr>
        <w:t>, číslo smlouvy</w:t>
      </w:r>
      <w:r w:rsidR="00156C98" w:rsidRPr="006D6A71">
        <w:rPr>
          <w:rFonts w:ascii="Arial" w:hAnsi="Arial" w:cs="Arial"/>
          <w:i/>
        </w:rPr>
        <w:t xml:space="preserve">: </w:t>
      </w:r>
      <w:r w:rsidR="00B917DF" w:rsidRPr="00B917DF">
        <w:rPr>
          <w:rFonts w:ascii="Arial" w:hAnsi="Arial" w:cs="Arial"/>
          <w:i/>
        </w:rPr>
        <w:t>1464-2022-10023</w:t>
      </w:r>
    </w:p>
    <w:p w14:paraId="01D7B650" w14:textId="77777777" w:rsidR="00156C98" w:rsidRPr="00DD4900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i/>
          <w:szCs w:val="22"/>
        </w:rPr>
      </w:pPr>
    </w:p>
    <w:p w14:paraId="4B79C566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a</w:t>
      </w:r>
    </w:p>
    <w:p w14:paraId="1996A596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435B3991" w14:textId="77777777" w:rsidR="00281E6E" w:rsidRPr="00DC3FB5" w:rsidRDefault="00281E6E" w:rsidP="00281E6E">
      <w:pPr>
        <w:pStyle w:val="doplnuchaze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C3FB5">
        <w:rPr>
          <w:rFonts w:asciiTheme="minorHAnsi" w:hAnsiTheme="minorHAnsi" w:cstheme="minorHAnsi"/>
          <w:sz w:val="24"/>
          <w:szCs w:val="24"/>
        </w:rPr>
        <w:t>Deloitte</w:t>
      </w:r>
      <w:proofErr w:type="spellEnd"/>
      <w:r w:rsidRPr="00DC3F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3FB5">
        <w:rPr>
          <w:rFonts w:asciiTheme="minorHAnsi" w:hAnsiTheme="minorHAnsi" w:cstheme="minorHAnsi"/>
          <w:sz w:val="24"/>
          <w:szCs w:val="24"/>
        </w:rPr>
        <w:t>A</w:t>
      </w:r>
      <w:r w:rsidRPr="00DC3FB5">
        <w:rPr>
          <w:rFonts w:asciiTheme="minorHAnsi" w:hAnsiTheme="minorHAnsi" w:cstheme="minorHAnsi"/>
          <w:sz w:val="24"/>
          <w:szCs w:val="24"/>
          <w:lang w:val="cs-CZ"/>
        </w:rPr>
        <w:t>dvisory</w:t>
      </w:r>
      <w:proofErr w:type="spellEnd"/>
      <w:r w:rsidRPr="00DC3FB5">
        <w:rPr>
          <w:rFonts w:asciiTheme="minorHAnsi" w:hAnsiTheme="minorHAnsi" w:cstheme="minorHAnsi"/>
          <w:sz w:val="24"/>
          <w:szCs w:val="24"/>
          <w:lang w:val="cs-CZ"/>
        </w:rPr>
        <w:t xml:space="preserve"> s.r.o.</w:t>
      </w:r>
    </w:p>
    <w:p w14:paraId="1DBC53DB" w14:textId="77777777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>se sídlem: Italská 2581/67, Praha 2 Vinohrady</w:t>
      </w:r>
    </w:p>
    <w:p w14:paraId="5CE9CCC7" w14:textId="77777777" w:rsidR="00281E6E" w:rsidRPr="00DC3FB5" w:rsidRDefault="00281E6E" w:rsidP="00281E6E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IČO: 275 82 167</w:t>
      </w:r>
      <w:r w:rsidRPr="00DC3FB5">
        <w:rPr>
          <w:rStyle w:val="platne1"/>
          <w:rFonts w:asciiTheme="minorHAnsi" w:hAnsiTheme="minorHAnsi" w:cstheme="minorHAnsi"/>
        </w:rPr>
        <w:t xml:space="preserve">, </w:t>
      </w:r>
      <w:r w:rsidRPr="00DC3FB5">
        <w:rPr>
          <w:rFonts w:asciiTheme="minorHAnsi" w:hAnsiTheme="minorHAnsi" w:cstheme="minorHAnsi"/>
        </w:rPr>
        <w:t>DIČ: CZ275 82 187, Je plátcem DPH</w:t>
      </w:r>
    </w:p>
    <w:p w14:paraId="1061CE6E" w14:textId="77777777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>společnost zapsaná v obchodním rejstříku vedeném Městským soudem v Praze,</w:t>
      </w:r>
    </w:p>
    <w:p w14:paraId="1339072A" w14:textId="77777777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>spisová značka 113225 C</w:t>
      </w:r>
    </w:p>
    <w:p w14:paraId="0DD48863" w14:textId="77777777" w:rsidR="00281E6E" w:rsidRPr="00DC3FB5" w:rsidRDefault="00281E6E" w:rsidP="00B418A8">
      <w:pPr>
        <w:pStyle w:val="RLTextlnkuslovan"/>
        <w:numPr>
          <w:ilvl w:val="0"/>
          <w:numId w:val="0"/>
        </w:numPr>
        <w:spacing w:before="60" w:after="60"/>
        <w:ind w:left="737"/>
        <w:jc w:val="center"/>
        <w:rPr>
          <w:rFonts w:asciiTheme="minorHAnsi" w:hAnsiTheme="minorHAnsi" w:cstheme="minorHAnsi"/>
          <w:sz w:val="24"/>
        </w:rPr>
      </w:pPr>
      <w:r w:rsidRPr="00DC3FB5">
        <w:rPr>
          <w:rFonts w:asciiTheme="minorHAnsi" w:hAnsiTheme="minorHAnsi" w:cstheme="minorHAnsi"/>
          <w:sz w:val="24"/>
        </w:rPr>
        <w:t xml:space="preserve">bankovní spojení: ING Bank </w:t>
      </w:r>
      <w:proofErr w:type="gramStart"/>
      <w:r w:rsidRPr="00DC3FB5">
        <w:rPr>
          <w:rFonts w:asciiTheme="minorHAnsi" w:hAnsiTheme="minorHAnsi" w:cstheme="minorHAnsi"/>
          <w:sz w:val="24"/>
        </w:rPr>
        <w:t>N.V.</w:t>
      </w:r>
      <w:proofErr w:type="gramEnd"/>
      <w:r w:rsidRPr="00DC3FB5">
        <w:rPr>
          <w:rFonts w:asciiTheme="minorHAnsi" w:hAnsiTheme="minorHAnsi" w:cstheme="minorHAnsi"/>
          <w:sz w:val="24"/>
        </w:rPr>
        <w:t xml:space="preserve"> Českomoravská 2420/15, 190 00 Praha 9 - Libeň, číslo účtu: 1000037000/3500</w:t>
      </w:r>
    </w:p>
    <w:p w14:paraId="2D81054C" w14:textId="730FB25B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391D">
        <w:rPr>
          <w:rFonts w:asciiTheme="minorHAnsi" w:hAnsiTheme="minorHAnsi" w:cstheme="minorHAnsi"/>
          <w:sz w:val="24"/>
          <w:szCs w:val="24"/>
        </w:rPr>
        <w:t xml:space="preserve">zastoupená: </w:t>
      </w:r>
      <w:r w:rsidR="00866FB9" w:rsidRPr="00D1391D">
        <w:rPr>
          <w:rFonts w:asciiTheme="minorHAnsi" w:hAnsiTheme="minorHAnsi" w:cstheme="minorHAnsi"/>
          <w:sz w:val="24"/>
          <w:szCs w:val="24"/>
        </w:rPr>
        <w:t>Pavel Šiška</w:t>
      </w:r>
      <w:r w:rsidR="009E40DF" w:rsidRPr="00D1391D">
        <w:rPr>
          <w:rFonts w:asciiTheme="minorHAnsi" w:hAnsiTheme="minorHAnsi" w:cstheme="minorHAnsi"/>
          <w:sz w:val="24"/>
          <w:szCs w:val="24"/>
        </w:rPr>
        <w:t xml:space="preserve">, na základě zmocnění ze dne </w:t>
      </w:r>
      <w:r w:rsidR="00866FB9" w:rsidRPr="00D1391D">
        <w:rPr>
          <w:rFonts w:asciiTheme="minorHAnsi" w:hAnsiTheme="minorHAnsi" w:cstheme="minorHAnsi"/>
          <w:sz w:val="24"/>
          <w:szCs w:val="24"/>
        </w:rPr>
        <w:t>3</w:t>
      </w:r>
      <w:r w:rsidR="009E40DF" w:rsidRPr="00D1391D">
        <w:rPr>
          <w:rFonts w:asciiTheme="minorHAnsi" w:hAnsiTheme="minorHAnsi" w:cstheme="minorHAnsi"/>
          <w:sz w:val="24"/>
          <w:szCs w:val="24"/>
        </w:rPr>
        <w:t xml:space="preserve">. </w:t>
      </w:r>
      <w:r w:rsidR="00866FB9" w:rsidRPr="00D1391D">
        <w:rPr>
          <w:rFonts w:asciiTheme="minorHAnsi" w:hAnsiTheme="minorHAnsi" w:cstheme="minorHAnsi"/>
          <w:sz w:val="24"/>
          <w:szCs w:val="24"/>
        </w:rPr>
        <w:t>1</w:t>
      </w:r>
      <w:r w:rsidR="00D1391D" w:rsidRPr="00D1391D">
        <w:rPr>
          <w:rFonts w:asciiTheme="minorHAnsi" w:hAnsiTheme="minorHAnsi" w:cstheme="minorHAnsi"/>
          <w:sz w:val="24"/>
          <w:szCs w:val="24"/>
        </w:rPr>
        <w:t>2</w:t>
      </w:r>
      <w:r w:rsidR="009E40DF" w:rsidRPr="00D1391D">
        <w:rPr>
          <w:rFonts w:asciiTheme="minorHAnsi" w:hAnsiTheme="minorHAnsi" w:cstheme="minorHAnsi"/>
          <w:sz w:val="24"/>
          <w:szCs w:val="24"/>
        </w:rPr>
        <w:t>. 20</w:t>
      </w:r>
      <w:r w:rsidR="00866FB9" w:rsidRPr="00D1391D">
        <w:rPr>
          <w:rFonts w:asciiTheme="minorHAnsi" w:hAnsiTheme="minorHAnsi" w:cstheme="minorHAnsi"/>
          <w:sz w:val="24"/>
          <w:szCs w:val="24"/>
        </w:rPr>
        <w:t>2</w:t>
      </w:r>
      <w:r w:rsidR="00D1391D" w:rsidRPr="00D1391D">
        <w:rPr>
          <w:rFonts w:asciiTheme="minorHAnsi" w:hAnsiTheme="minorHAnsi" w:cstheme="minorHAnsi"/>
          <w:sz w:val="24"/>
          <w:szCs w:val="24"/>
        </w:rPr>
        <w:t>1</w:t>
      </w:r>
    </w:p>
    <w:p w14:paraId="49B50B73" w14:textId="77777777" w:rsidR="00156C98" w:rsidRPr="00DC3FB5" w:rsidRDefault="00281E6E" w:rsidP="00281E6E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 w:val="24"/>
        </w:rPr>
        <w:t>(dále jen „</w:t>
      </w:r>
      <w:r w:rsidR="002A0753" w:rsidRPr="00DC3FB5">
        <w:rPr>
          <w:rStyle w:val="RLProhlensmluvnchstranChar"/>
          <w:rFonts w:asciiTheme="minorHAnsi" w:hAnsiTheme="minorHAnsi" w:cstheme="minorHAnsi"/>
        </w:rPr>
        <w:t>P</w:t>
      </w:r>
      <w:r w:rsidRPr="00DC3FB5">
        <w:rPr>
          <w:rStyle w:val="RLProhlensmluvnchstranChar"/>
          <w:rFonts w:asciiTheme="minorHAnsi" w:hAnsiTheme="minorHAnsi" w:cstheme="minorHAnsi"/>
        </w:rPr>
        <w:t>oskytovatel</w:t>
      </w:r>
      <w:r w:rsidRPr="00DC3FB5">
        <w:rPr>
          <w:rFonts w:asciiTheme="minorHAnsi" w:hAnsiTheme="minorHAnsi" w:cstheme="minorHAnsi"/>
          <w:sz w:val="24"/>
        </w:rPr>
        <w:t>“)</w:t>
      </w:r>
    </w:p>
    <w:p w14:paraId="4185289F" w14:textId="6DA56F78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i/>
          <w:szCs w:val="22"/>
        </w:rPr>
      </w:pPr>
      <w:r w:rsidRPr="00DC3FB5">
        <w:rPr>
          <w:rFonts w:asciiTheme="minorHAnsi" w:hAnsiTheme="minorHAnsi" w:cstheme="minorHAnsi"/>
          <w:i/>
          <w:szCs w:val="22"/>
        </w:rPr>
        <w:t>číslo smlouvy Poskytovatele</w:t>
      </w:r>
      <w:r w:rsidR="00877CD1" w:rsidRPr="00DC3FB5">
        <w:rPr>
          <w:rFonts w:asciiTheme="minorHAnsi" w:hAnsiTheme="minorHAnsi" w:cstheme="minorHAnsi"/>
          <w:i/>
          <w:szCs w:val="22"/>
        </w:rPr>
        <w:t>: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4E5A95BD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>Rámcové smlouvy uzavřené mezi nimi dne 31. 10. 2019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ÚVODNÍ USTANOVENÍ</w:t>
      </w:r>
    </w:p>
    <w:p w14:paraId="64BFF260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se uzavírá jako prováděcí smlouva k rámcové smlouvě </w:t>
      </w:r>
      <w:r w:rsidR="00B418A8" w:rsidRPr="00DC3FB5">
        <w:rPr>
          <w:rFonts w:asciiTheme="minorHAnsi" w:hAnsiTheme="minorHAnsi" w:cstheme="minorHAnsi"/>
          <w:szCs w:val="22"/>
        </w:rPr>
        <w:t xml:space="preserve">RÁMCOVÁ SMLOUVA O POSKYTOVÁNÍ SLUŽEB </w:t>
      </w:r>
      <w:r w:rsidRPr="00DC3FB5">
        <w:rPr>
          <w:rFonts w:asciiTheme="minorHAnsi" w:hAnsiTheme="minorHAnsi" w:cstheme="minorHAnsi"/>
          <w:szCs w:val="22"/>
        </w:rPr>
        <w:t>uzavřené Obj</w:t>
      </w:r>
      <w:r w:rsidR="00F91639" w:rsidRPr="00DC3FB5">
        <w:rPr>
          <w:rFonts w:asciiTheme="minorHAnsi" w:hAnsiTheme="minorHAnsi" w:cstheme="minorHAnsi"/>
          <w:szCs w:val="22"/>
        </w:rPr>
        <w:t xml:space="preserve">ednatelem a Poskytovatelem dne </w:t>
      </w:r>
      <w:r w:rsidR="00B418A8" w:rsidRPr="00DC3FB5">
        <w:rPr>
          <w:rFonts w:asciiTheme="minorHAnsi" w:hAnsiTheme="minorHAnsi" w:cstheme="minorHAnsi"/>
          <w:szCs w:val="22"/>
        </w:rPr>
        <w:t xml:space="preserve">31. </w:t>
      </w:r>
      <w:r w:rsidR="00F91639" w:rsidRPr="00DC3FB5">
        <w:rPr>
          <w:rFonts w:asciiTheme="minorHAnsi" w:hAnsiTheme="minorHAnsi" w:cstheme="minorHAnsi"/>
          <w:szCs w:val="22"/>
        </w:rPr>
        <w:t>10. 201</w:t>
      </w:r>
      <w:r w:rsidR="00B418A8" w:rsidRPr="00DC3FB5">
        <w:rPr>
          <w:rFonts w:asciiTheme="minorHAnsi" w:hAnsiTheme="minorHAnsi" w:cstheme="minorHAnsi"/>
          <w:szCs w:val="22"/>
        </w:rPr>
        <w:t>9</w:t>
      </w:r>
      <w:r w:rsidRPr="00DC3FB5">
        <w:rPr>
          <w:rFonts w:asciiTheme="minorHAnsi" w:hAnsiTheme="minorHAnsi" w:cstheme="minorHAnsi"/>
          <w:szCs w:val="22"/>
        </w:rPr>
        <w:t xml:space="preserve">, číslo smlouvy: </w:t>
      </w:r>
      <w:r w:rsidR="00B418A8" w:rsidRPr="00DC3FB5">
        <w:rPr>
          <w:rFonts w:asciiTheme="minorHAnsi" w:hAnsiTheme="minorHAnsi" w:cstheme="minorHAnsi"/>
          <w:szCs w:val="22"/>
        </w:rPr>
        <w:t>596-2019-10023</w:t>
      </w:r>
      <w:r w:rsidRPr="00DC3FB5">
        <w:rPr>
          <w:rFonts w:asciiTheme="minorHAnsi" w:hAnsiTheme="minorHAnsi" w:cstheme="minorHAnsi"/>
          <w:szCs w:val="22"/>
        </w:rPr>
        <w:t xml:space="preserve">, číslo </w:t>
      </w:r>
      <w:proofErr w:type="spellStart"/>
      <w:r w:rsidRPr="00DC3FB5">
        <w:rPr>
          <w:rFonts w:asciiTheme="minorHAnsi" w:hAnsiTheme="minorHAnsi" w:cstheme="minorHAnsi"/>
          <w:szCs w:val="22"/>
        </w:rPr>
        <w:t>sml</w:t>
      </w:r>
      <w:proofErr w:type="spellEnd"/>
      <w:r w:rsidRPr="00DC3FB5">
        <w:rPr>
          <w:rFonts w:asciiTheme="minorHAnsi" w:hAnsiTheme="minorHAnsi" w:cstheme="minorHAnsi"/>
          <w:szCs w:val="22"/>
        </w:rPr>
        <w:t xml:space="preserve">. DMS </w:t>
      </w:r>
      <w:r w:rsidR="00B418A8" w:rsidRPr="00DC3FB5">
        <w:rPr>
          <w:rFonts w:asciiTheme="minorHAnsi" w:hAnsiTheme="minorHAnsi" w:cstheme="minorHAnsi"/>
          <w:szCs w:val="22"/>
        </w:rPr>
        <w:t xml:space="preserve">55513/2019-MZE-10023 </w:t>
      </w:r>
      <w:r w:rsidRPr="00DC3FB5">
        <w:rPr>
          <w:rFonts w:asciiTheme="minorHAnsi" w:hAnsiTheme="minorHAnsi" w:cstheme="minorHAnsi"/>
          <w:szCs w:val="22"/>
        </w:rPr>
        <w:t>(dále jen “</w:t>
      </w:r>
      <w:r w:rsidRPr="00DC3FB5">
        <w:rPr>
          <w:rFonts w:asciiTheme="minorHAnsi" w:hAnsiTheme="minorHAnsi" w:cstheme="minorHAnsi"/>
          <w:b/>
          <w:szCs w:val="22"/>
        </w:rPr>
        <w:t>Rámcová smlouva</w:t>
      </w:r>
      <w:r w:rsidRPr="00DC3FB5">
        <w:rPr>
          <w:rFonts w:asciiTheme="minorHAnsi" w:hAnsiTheme="minorHAnsi" w:cstheme="minorHAnsi"/>
          <w:szCs w:val="22"/>
        </w:rPr>
        <w:t>”)</w:t>
      </w:r>
      <w:r w:rsidRPr="00DC3FB5">
        <w:rPr>
          <w:rFonts w:asciiTheme="minorHAnsi" w:hAnsiTheme="minorHAnsi" w:cstheme="minorHAnsi"/>
          <w:b/>
          <w:szCs w:val="22"/>
        </w:rPr>
        <w:t>.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120FDFE2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Celkový rozsah </w:t>
      </w:r>
      <w:r w:rsidR="00B24C91" w:rsidRPr="00DC3FB5">
        <w:rPr>
          <w:rFonts w:asciiTheme="minorHAnsi" w:hAnsiTheme="minorHAnsi" w:cstheme="minorHAnsi"/>
          <w:szCs w:val="22"/>
        </w:rPr>
        <w:t>služeb</w:t>
      </w:r>
      <w:r w:rsidRPr="00DC3FB5">
        <w:rPr>
          <w:rFonts w:asciiTheme="minorHAnsi" w:hAnsiTheme="minorHAnsi" w:cstheme="minorHAnsi"/>
          <w:szCs w:val="22"/>
        </w:rPr>
        <w:t xml:space="preserve"> poskytovaných na základě této Prováděcí smlouvy nepřekročí </w:t>
      </w:r>
      <w:r w:rsidR="005911D7" w:rsidRPr="00D1391D">
        <w:rPr>
          <w:rFonts w:asciiTheme="minorHAnsi" w:hAnsiTheme="minorHAnsi" w:cstheme="minorHAnsi"/>
          <w:szCs w:val="22"/>
        </w:rPr>
        <w:t>6</w:t>
      </w:r>
      <w:r w:rsidR="00D50C51" w:rsidRPr="00D1391D">
        <w:rPr>
          <w:rFonts w:asciiTheme="minorHAnsi" w:hAnsiTheme="minorHAnsi" w:cstheme="minorHAnsi"/>
          <w:szCs w:val="22"/>
        </w:rPr>
        <w:t>0</w:t>
      </w:r>
      <w:r w:rsidRPr="00DC3FB5">
        <w:rPr>
          <w:rFonts w:asciiTheme="minorHAnsi" w:hAnsiTheme="minorHAnsi" w:cstheme="minorHAnsi"/>
          <w:szCs w:val="22"/>
        </w:rPr>
        <w:t xml:space="preserve"> člověkodnů.</w:t>
      </w:r>
      <w:r w:rsidR="00375F87" w:rsidRPr="00DC3FB5">
        <w:rPr>
          <w:rFonts w:asciiTheme="minorHAnsi" w:hAnsiTheme="minorHAnsi" w:cstheme="minorHAnsi"/>
          <w:szCs w:val="22"/>
        </w:rPr>
        <w:t xml:space="preserve"> 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</w:p>
    <w:p w14:paraId="2F344D3F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Poskytovateli uzavřením této Prováděcí smlouvy nevzniká právo na čerpání plnění v předpokládaném rozsahu stanoveném v příloze č. 1 Rámcové smlouvy.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r w:rsidR="00417B93" w:rsidRPr="00DC3FB5">
        <w:rPr>
          <w:rFonts w:asciiTheme="minorHAnsi" w:hAnsiTheme="minorHAnsi" w:cstheme="minorHAnsi"/>
          <w:szCs w:val="22"/>
        </w:rPr>
        <w:t>Těšnov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17FFC872" w14:textId="664DBDB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Služby budou poskytovány v době stanovené v harmonogramu uvedeném v příloze č. 2 této Prováděcí smlouvy.</w:t>
      </w:r>
    </w:p>
    <w:p w14:paraId="4F73F5FD" w14:textId="30819094" w:rsidR="00696202" w:rsidRPr="00DC3FB5" w:rsidRDefault="00696202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Termín pro potvrzení výzvy v souladu s ustanovením 1.8 Rámcové smlouvy je pět pracovních dní. </w:t>
      </w: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28786515" w:rsidR="00156C98" w:rsidRPr="00DC3FB5" w:rsidRDefault="00156C98" w:rsidP="00156C98">
      <w:pPr>
        <w:pStyle w:val="RLTextlnkuslovan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DC3FB5">
        <w:rPr>
          <w:rFonts w:asciiTheme="minorHAnsi" w:hAnsiTheme="minorHAnsi" w:cstheme="minorHAnsi"/>
          <w:szCs w:val="22"/>
        </w:rPr>
        <w:t>třetím</w:t>
      </w:r>
      <w:r w:rsidRPr="00DC3FB5">
        <w:rPr>
          <w:rFonts w:asciiTheme="minorHAnsi" w:hAnsiTheme="minorHAnsi" w:cstheme="minorHAnsi"/>
          <w:szCs w:val="22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TRVÁNÍ SMLOUVY</w:t>
      </w:r>
    </w:p>
    <w:p w14:paraId="7B14395C" w14:textId="3442EF3B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nabývá účinnosti doručení</w:t>
      </w:r>
      <w:r w:rsidR="00A1305D" w:rsidRPr="00DC3FB5">
        <w:rPr>
          <w:rFonts w:asciiTheme="minorHAnsi" w:hAnsiTheme="minorHAnsi" w:cstheme="minorHAnsi"/>
          <w:szCs w:val="22"/>
        </w:rPr>
        <w:t>m</w:t>
      </w:r>
      <w:r w:rsidRPr="00DC3FB5">
        <w:rPr>
          <w:rFonts w:asciiTheme="minorHAnsi" w:hAnsiTheme="minorHAnsi" w:cstheme="minorHAnsi"/>
          <w:szCs w:val="22"/>
        </w:rPr>
        <w:t xml:space="preserve"> přijetí návrhu na její uzavření smluvní straně, která návrh na uza</w:t>
      </w:r>
      <w:r w:rsidR="00BF3774" w:rsidRPr="00DC3FB5">
        <w:rPr>
          <w:rFonts w:asciiTheme="minorHAnsi" w:hAnsiTheme="minorHAnsi" w:cstheme="minorHAnsi"/>
          <w:szCs w:val="22"/>
        </w:rPr>
        <w:t>vření Prováděcí smlouvy učinila</w:t>
      </w:r>
      <w:r w:rsidR="00452735" w:rsidRPr="00DC3FB5">
        <w:rPr>
          <w:rFonts w:asciiTheme="minorHAnsi" w:hAnsiTheme="minorHAnsi" w:cstheme="minorHAnsi"/>
          <w:szCs w:val="22"/>
        </w:rPr>
        <w:t>,</w:t>
      </w:r>
      <w:r w:rsidR="00BF3774" w:rsidRPr="00DC3FB5">
        <w:rPr>
          <w:rFonts w:asciiTheme="minorHAnsi" w:hAnsiTheme="minorHAnsi" w:cstheme="minorHAnsi"/>
          <w:szCs w:val="22"/>
        </w:rPr>
        <w:t xml:space="preserve"> a potvrzením výzvy v souladu s odst. 1.6 Rámcové smlouvy.</w:t>
      </w:r>
      <w:r w:rsidR="00097773" w:rsidRPr="00DC3FB5">
        <w:rPr>
          <w:rFonts w:asciiTheme="minorHAnsi" w:hAnsiTheme="minorHAnsi" w:cstheme="minorHAnsi"/>
          <w:szCs w:val="22"/>
        </w:rPr>
        <w:t xml:space="preserve"> V případě, že</w:t>
      </w:r>
      <w:r w:rsidR="002B6C4C" w:rsidRPr="00DC3FB5">
        <w:rPr>
          <w:rFonts w:asciiTheme="minorHAnsi" w:hAnsiTheme="minorHAnsi" w:cstheme="minorHAnsi"/>
          <w:szCs w:val="22"/>
        </w:rPr>
        <w:t xml:space="preserve"> však</w:t>
      </w:r>
      <w:r w:rsidR="00097773" w:rsidRPr="00DC3FB5">
        <w:rPr>
          <w:rFonts w:asciiTheme="minorHAnsi" w:hAnsiTheme="minorHAnsi" w:cstheme="minorHAnsi"/>
          <w:szCs w:val="22"/>
        </w:rPr>
        <w:t xml:space="preserve"> tato Prováděcí smlouva splňuje podmínky pro její uveřejnění v registru smluv dle zákona č. 340/2015 Sb., ve </w:t>
      </w:r>
      <w:r w:rsidR="00097773" w:rsidRPr="00DC3FB5">
        <w:rPr>
          <w:rFonts w:asciiTheme="minorHAnsi" w:hAnsiTheme="minorHAnsi" w:cstheme="minorHAnsi"/>
          <w:szCs w:val="22"/>
        </w:rPr>
        <w:lastRenderedPageBreak/>
        <w:t xml:space="preserve">znění pozdějších předpisů, </w:t>
      </w:r>
      <w:r w:rsidR="00FB42D5" w:rsidRPr="00DC3FB5">
        <w:rPr>
          <w:rFonts w:asciiTheme="minorHAnsi" w:hAnsiTheme="minorHAnsi" w:cstheme="minorHAnsi"/>
          <w:szCs w:val="22"/>
        </w:rPr>
        <w:t>nabude</w:t>
      </w:r>
      <w:r w:rsidR="00097773" w:rsidRPr="00DC3FB5">
        <w:rPr>
          <w:rFonts w:asciiTheme="minorHAnsi" w:hAnsiTheme="minorHAnsi" w:cstheme="minorHAnsi"/>
          <w:szCs w:val="22"/>
        </w:rPr>
        <w:t xml:space="preserve"> Prováděcí smlouva účinnosti dnem jejího uveřejnění v registru smluv</w:t>
      </w:r>
      <w:r w:rsidR="00D5192E" w:rsidRPr="00DC3FB5">
        <w:rPr>
          <w:rFonts w:asciiTheme="minorHAnsi" w:hAnsiTheme="minorHAnsi" w:cstheme="minorHAnsi"/>
          <w:szCs w:val="22"/>
        </w:rPr>
        <w:t>.</w:t>
      </w:r>
    </w:p>
    <w:p w14:paraId="51E971A9" w14:textId="1803CC6B" w:rsidR="00156C98" w:rsidRPr="00DC3FB5" w:rsidRDefault="00156C98" w:rsidP="00AE4BD7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se uzavírá na dobu určitou, a to do na dobu </w:t>
      </w:r>
      <w:r w:rsidR="003C376B">
        <w:rPr>
          <w:rFonts w:asciiTheme="minorHAnsi" w:hAnsiTheme="minorHAnsi" w:cstheme="minorHAnsi"/>
          <w:szCs w:val="22"/>
        </w:rPr>
        <w:t>šesti</w:t>
      </w:r>
      <w:r w:rsidR="00877CD1" w:rsidRPr="00DC3FB5">
        <w:rPr>
          <w:rFonts w:asciiTheme="minorHAnsi" w:hAnsiTheme="minorHAnsi" w:cstheme="minorHAnsi"/>
          <w:szCs w:val="22"/>
        </w:rPr>
        <w:t xml:space="preserve"> měsíců</w:t>
      </w:r>
      <w:r w:rsidRPr="00DC3FB5">
        <w:rPr>
          <w:rFonts w:asciiTheme="minorHAnsi" w:hAnsiTheme="minorHAnsi" w:cstheme="minorHAnsi"/>
          <w:szCs w:val="22"/>
        </w:rPr>
        <w:t xml:space="preserve"> ode dne nabytí její účinnosti. </w:t>
      </w:r>
    </w:p>
    <w:p w14:paraId="03BA4853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odstoupit od této Prováděcí smlouvy za podmínek uvedených v odst. </w:t>
      </w:r>
      <w:r w:rsidR="00B418A8" w:rsidRPr="00DC3FB5">
        <w:rPr>
          <w:rFonts w:asciiTheme="minorHAnsi" w:hAnsiTheme="minorHAnsi" w:cstheme="minorHAnsi"/>
          <w:szCs w:val="22"/>
        </w:rPr>
        <w:t>8.6</w:t>
      </w:r>
      <w:r w:rsidRPr="00DC3FB5">
        <w:rPr>
          <w:rFonts w:asciiTheme="minorHAnsi" w:hAnsiTheme="minorHAnsi" w:cstheme="minorHAnsi"/>
          <w:szCs w:val="22"/>
        </w:rPr>
        <w:t xml:space="preserve"> a </w:t>
      </w:r>
      <w:r w:rsidR="00B418A8" w:rsidRPr="00DC3FB5">
        <w:rPr>
          <w:rFonts w:asciiTheme="minorHAnsi" w:hAnsiTheme="minorHAnsi" w:cstheme="minorHAnsi"/>
          <w:szCs w:val="22"/>
        </w:rPr>
        <w:t>8.7</w:t>
      </w:r>
      <w:r w:rsidRPr="00DC3FB5">
        <w:rPr>
          <w:rFonts w:asciiTheme="minorHAnsi" w:hAnsiTheme="minorHAnsi" w:cstheme="minorHAnsi"/>
          <w:szCs w:val="22"/>
        </w:rPr>
        <w:t xml:space="preserve"> Rámcové smlouvy. </w:t>
      </w:r>
    </w:p>
    <w:p w14:paraId="1C754928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2F59B1B8" w:rsidR="00365B6D" w:rsidRPr="00DC3FB5" w:rsidRDefault="00365B6D" w:rsidP="00365B6D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DC3FB5">
        <w:rPr>
          <w:rFonts w:asciiTheme="minorHAnsi" w:hAnsiTheme="minorHAnsi" w:cstheme="minorHAnsi"/>
          <w:szCs w:val="22"/>
        </w:rPr>
        <w:t>Poskytovatel svým podpisem níže potvrzuje, že souhlasí s tím, aby obraz této Prováděcí smlouvy</w:t>
      </w:r>
      <w:r w:rsidR="00E84D27">
        <w:rPr>
          <w:rFonts w:asciiTheme="minorHAnsi" w:hAnsiTheme="minorHAnsi" w:cstheme="minorHAnsi"/>
          <w:szCs w:val="22"/>
        </w:rPr>
        <w:t>,</w:t>
      </w:r>
      <w:r w:rsidR="002A0753" w:rsidRPr="00DC3FB5">
        <w:rPr>
          <w:rFonts w:asciiTheme="minorHAnsi" w:hAnsiTheme="minorHAnsi" w:cstheme="minorHAnsi"/>
          <w:szCs w:val="22"/>
        </w:rPr>
        <w:t xml:space="preserve"> včetně jejích příloh</w:t>
      </w:r>
      <w:r w:rsidR="00E84D27">
        <w:rPr>
          <w:rFonts w:asciiTheme="minorHAnsi" w:hAnsiTheme="minorHAnsi" w:cstheme="minorHAnsi"/>
          <w:szCs w:val="22"/>
        </w:rPr>
        <w:t xml:space="preserve"> a případných dodatků a </w:t>
      </w:r>
      <w:proofErr w:type="spellStart"/>
      <w:r w:rsidR="00E84D27">
        <w:rPr>
          <w:rFonts w:asciiTheme="minorHAnsi" w:hAnsiTheme="minorHAnsi" w:cstheme="minorHAnsi"/>
          <w:szCs w:val="22"/>
        </w:rPr>
        <w:t>metadat</w:t>
      </w:r>
      <w:proofErr w:type="spellEnd"/>
      <w:r w:rsidR="002A0753" w:rsidRPr="00DC3FB5">
        <w:rPr>
          <w:rFonts w:asciiTheme="minorHAnsi" w:hAnsiTheme="minorHAnsi" w:cstheme="minorHAnsi"/>
          <w:szCs w:val="22"/>
        </w:rPr>
        <w:t xml:space="preserve"> k této Prováděcí smlouvě</w:t>
      </w:r>
      <w:r w:rsidR="00E84D27">
        <w:rPr>
          <w:rFonts w:asciiTheme="minorHAnsi" w:hAnsiTheme="minorHAnsi" w:cstheme="minorHAnsi"/>
          <w:szCs w:val="22"/>
        </w:rPr>
        <w:t>,</w:t>
      </w:r>
      <w:r w:rsidR="002A0753" w:rsidRPr="00DC3FB5">
        <w:rPr>
          <w:rFonts w:asciiTheme="minorHAnsi" w:hAnsiTheme="minorHAnsi" w:cstheme="minorHAnsi"/>
          <w:szCs w:val="22"/>
        </w:rPr>
        <w:t xml:space="preserve">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</w:t>
      </w:r>
      <w:r w:rsidR="00E84D27">
        <w:rPr>
          <w:rFonts w:asciiTheme="minorHAnsi" w:hAnsiTheme="minorHAnsi" w:cstheme="minorHAnsi"/>
          <w:szCs w:val="22"/>
        </w:rPr>
        <w:t>č</w:t>
      </w:r>
      <w:r w:rsidR="002A0753" w:rsidRPr="00DC3FB5">
        <w:rPr>
          <w:rFonts w:asciiTheme="minorHAnsi" w:hAnsiTheme="minorHAnsi" w:cstheme="minorHAnsi"/>
          <w:szCs w:val="22"/>
        </w:rPr>
        <w:t>eno právo Poskytovatele k jejich odeslání. Z</w:t>
      </w:r>
      <w:r w:rsidR="00DF4D5A" w:rsidRPr="00DC3FB5">
        <w:rPr>
          <w:rFonts w:asciiTheme="minorHAnsi" w:hAnsiTheme="minorHAnsi" w:cstheme="minorHAnsi"/>
          <w:szCs w:val="22"/>
        </w:rPr>
        <w:t xml:space="preserve"> důvodu uveřejnění této Prováděcí smlouvy v registru smluv</w:t>
      </w:r>
      <w:r w:rsidR="00E84D27">
        <w:rPr>
          <w:rFonts w:asciiTheme="minorHAnsi" w:hAnsiTheme="minorHAnsi" w:cstheme="minorHAnsi"/>
          <w:szCs w:val="22"/>
        </w:rPr>
        <w:t xml:space="preserve">, </w:t>
      </w:r>
      <w:r w:rsidR="00E84D27" w:rsidRPr="00DC3FB5">
        <w:rPr>
          <w:rFonts w:asciiTheme="minorHAnsi" w:hAnsiTheme="minorHAnsi" w:cstheme="minorHAnsi"/>
          <w:szCs w:val="22"/>
        </w:rPr>
        <w:t>nepodléhá</w:t>
      </w:r>
      <w:r w:rsidR="00DF4D5A" w:rsidRPr="00DC3FB5">
        <w:rPr>
          <w:rFonts w:asciiTheme="minorHAnsi" w:hAnsiTheme="minorHAnsi" w:cstheme="minorHAnsi"/>
          <w:szCs w:val="22"/>
        </w:rPr>
        <w:t xml:space="preserve"> tato smlouva povinnosti uveřejnění na profilu zadavatele (</w:t>
      </w:r>
      <w:r w:rsidR="00A66577" w:rsidRPr="00DC3FB5">
        <w:rPr>
          <w:rFonts w:asciiTheme="minorHAnsi" w:hAnsiTheme="minorHAnsi" w:cstheme="minorHAnsi"/>
          <w:szCs w:val="22"/>
        </w:rPr>
        <w:t>O</w:t>
      </w:r>
      <w:r w:rsidR="00DF4D5A" w:rsidRPr="00DC3FB5">
        <w:rPr>
          <w:rFonts w:asciiTheme="minorHAnsi" w:hAnsiTheme="minorHAnsi" w:cstheme="minorHAnsi"/>
          <w:szCs w:val="22"/>
        </w:rPr>
        <w:t>bjednatele) s odkazem na ustanovení § 219 odst. 1 písm. d) ZZVZ.</w:t>
      </w:r>
      <w:r w:rsidR="00DF4D5A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77E60D35" w14:textId="77777777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>Harmonogram plnění</w:t>
            </w:r>
          </w:p>
        </w:tc>
      </w:tr>
    </w:tbl>
    <w:p w14:paraId="3929B9BD" w14:textId="77777777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je uzavřena ve čtyřech stejnopisech, z nichž každá strana obdrží po dvou stejnopisech.</w:t>
      </w:r>
    </w:p>
    <w:p w14:paraId="383F7909" w14:textId="77777777" w:rsidR="00DC3FB5" w:rsidRPr="00DC3FB5" w:rsidRDefault="00DC3FB5" w:rsidP="00DC3F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10C7548A" w14:textId="288C889A" w:rsidR="00DD159F" w:rsidRPr="00DC3FB5" w:rsidRDefault="009E40DF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proofErr w:type="gramStart"/>
      <w:r w:rsidR="007C0F11">
        <w:rPr>
          <w:rFonts w:asciiTheme="minorHAnsi" w:hAnsiTheme="minorHAnsi" w:cstheme="minorHAnsi"/>
          <w:szCs w:val="22"/>
        </w:rPr>
        <w:t>3.10.2022</w:t>
      </w:r>
      <w:proofErr w:type="gramEnd"/>
      <w:r w:rsidR="007C0F11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="00B74802" w:rsidRPr="00DC3FB5">
        <w:rPr>
          <w:rFonts w:asciiTheme="minorHAnsi" w:hAnsiTheme="minorHAnsi" w:cstheme="minorHAnsi"/>
          <w:szCs w:val="22"/>
        </w:rPr>
        <w:t xml:space="preserve">                      </w:t>
      </w: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7C0F11">
        <w:rPr>
          <w:rFonts w:asciiTheme="minorHAnsi" w:hAnsiTheme="minorHAnsi" w:cstheme="minorHAnsi"/>
          <w:szCs w:val="22"/>
        </w:rPr>
        <w:t>26.9.2022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4A02F38C" w14:textId="77777777" w:rsidR="00DD159F" w:rsidRDefault="00DD159F" w:rsidP="00156C98">
      <w:pPr>
        <w:pStyle w:val="RLProhlensmluvnchstran"/>
        <w:rPr>
          <w:rFonts w:asciiTheme="minorHAnsi" w:hAnsiTheme="minorHAnsi" w:cstheme="minorHAnsi"/>
          <w:sz w:val="22"/>
          <w:szCs w:val="22"/>
        </w:rPr>
      </w:pPr>
    </w:p>
    <w:p w14:paraId="713E789D" w14:textId="77777777" w:rsidR="00DC3FB5" w:rsidRPr="00DC3FB5" w:rsidRDefault="00DC3FB5" w:rsidP="00156C98">
      <w:pPr>
        <w:pStyle w:val="RLProhlensmluvnchstran"/>
        <w:rPr>
          <w:rFonts w:asciiTheme="minorHAnsi" w:hAnsiTheme="minorHAnsi" w:cstheme="minorHAnsi"/>
          <w:sz w:val="22"/>
          <w:szCs w:val="22"/>
        </w:rPr>
      </w:pPr>
    </w:p>
    <w:p w14:paraId="6E460B49" w14:textId="625C9A57" w:rsidR="00DD159F" w:rsidRPr="00DC3FB5" w:rsidRDefault="00DC3FB5" w:rsidP="002F6AB8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  <w:t>Petr Kutálek</w:t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</w:r>
      <w:r w:rsidR="007C0F11">
        <w:rPr>
          <w:rFonts w:asciiTheme="minorHAnsi" w:hAnsiTheme="minorHAnsi" w:cstheme="minorHAnsi"/>
          <w:b w:val="0"/>
          <w:sz w:val="22"/>
          <w:szCs w:val="22"/>
        </w:rPr>
        <w:tab/>
        <w:t>Pavel Šiška</w:t>
      </w:r>
    </w:p>
    <w:p w14:paraId="102BF006" w14:textId="77777777" w:rsidR="002F6AB8" w:rsidRPr="004E49FE" w:rsidRDefault="002F6AB8" w:rsidP="002F6AB8">
      <w:pPr>
        <w:pStyle w:val="doplnuchaze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bCs/>
          <w:sz w:val="24"/>
          <w:szCs w:val="24"/>
        </w:rPr>
        <w:t>Česká republika - Ministerstvo zemědělství</w:t>
      </w:r>
      <w:r w:rsidRPr="00DC3FB5">
        <w:rPr>
          <w:rFonts w:asciiTheme="minorHAnsi" w:hAnsiTheme="minorHAnsi" w:cstheme="minorHAnsi"/>
          <w:sz w:val="24"/>
          <w:szCs w:val="24"/>
        </w:rPr>
        <w:t xml:space="preserve"> </w:t>
      </w:r>
      <w:r w:rsidRPr="00DC3FB5">
        <w:rPr>
          <w:rFonts w:asciiTheme="minorHAnsi" w:hAnsiTheme="minorHAnsi" w:cstheme="minorHAnsi"/>
          <w:sz w:val="24"/>
          <w:szCs w:val="24"/>
        </w:rPr>
        <w:tab/>
      </w:r>
      <w:r w:rsidRPr="00DC3FB5">
        <w:rPr>
          <w:rFonts w:asciiTheme="minorHAnsi" w:hAnsiTheme="minorHAnsi" w:cstheme="minorHAnsi"/>
          <w:sz w:val="24"/>
          <w:szCs w:val="24"/>
          <w:lang w:val="cs-CZ"/>
        </w:rPr>
        <w:t xml:space="preserve">                </w:t>
      </w:r>
      <w:proofErr w:type="spellStart"/>
      <w:r w:rsidRPr="004E49FE">
        <w:rPr>
          <w:rFonts w:asciiTheme="minorHAnsi" w:hAnsiTheme="minorHAnsi" w:cstheme="minorHAnsi"/>
          <w:sz w:val="24"/>
          <w:szCs w:val="24"/>
        </w:rPr>
        <w:t>Deloitte</w:t>
      </w:r>
      <w:proofErr w:type="spellEnd"/>
      <w:r w:rsidRPr="004E49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49FE">
        <w:rPr>
          <w:rFonts w:asciiTheme="minorHAnsi" w:hAnsiTheme="minorHAnsi" w:cstheme="minorHAnsi"/>
          <w:sz w:val="24"/>
          <w:szCs w:val="24"/>
        </w:rPr>
        <w:t>A</w:t>
      </w:r>
      <w:r w:rsidRPr="004E49FE">
        <w:rPr>
          <w:rFonts w:asciiTheme="minorHAnsi" w:hAnsiTheme="minorHAnsi" w:cstheme="minorHAnsi"/>
          <w:sz w:val="24"/>
          <w:szCs w:val="24"/>
          <w:lang w:val="cs-CZ"/>
        </w:rPr>
        <w:t>dvisory</w:t>
      </w:r>
      <w:proofErr w:type="spellEnd"/>
      <w:r w:rsidRPr="004E49FE">
        <w:rPr>
          <w:rFonts w:asciiTheme="minorHAnsi" w:hAnsiTheme="minorHAnsi" w:cstheme="minorHAnsi"/>
          <w:sz w:val="24"/>
          <w:szCs w:val="24"/>
          <w:lang w:val="cs-CZ"/>
        </w:rPr>
        <w:t xml:space="preserve"> s.r.o.</w:t>
      </w:r>
    </w:p>
    <w:p w14:paraId="00A3DD71" w14:textId="7D9F200E" w:rsidR="002F6AB8" w:rsidRPr="004E49FE" w:rsidRDefault="002F6AB8" w:rsidP="002F6AB8">
      <w:pPr>
        <w:pStyle w:val="RLdajeosmluvnstran0"/>
        <w:spacing w:after="0"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4E49FE">
        <w:rPr>
          <w:rFonts w:asciiTheme="minorHAnsi" w:hAnsiTheme="minorHAnsi" w:cstheme="minorHAnsi"/>
          <w:sz w:val="24"/>
          <w:szCs w:val="24"/>
        </w:rPr>
        <w:t xml:space="preserve">     Ing. Petr Kutál</w:t>
      </w:r>
      <w:r w:rsidRPr="004E49FE">
        <w:rPr>
          <w:rFonts w:asciiTheme="minorHAnsi" w:hAnsiTheme="minorHAnsi" w:cstheme="minorHAnsi"/>
          <w:szCs w:val="24"/>
        </w:rPr>
        <w:t>e</w:t>
      </w:r>
      <w:r w:rsidRPr="004E49FE">
        <w:rPr>
          <w:rFonts w:asciiTheme="minorHAnsi" w:hAnsiTheme="minorHAnsi" w:cstheme="minorHAnsi"/>
          <w:sz w:val="24"/>
          <w:szCs w:val="24"/>
        </w:rPr>
        <w:t>k</w:t>
      </w:r>
      <w:r w:rsidR="00B74802" w:rsidRPr="004E49FE">
        <w:rPr>
          <w:rFonts w:asciiTheme="minorHAnsi" w:hAnsiTheme="minorHAnsi" w:cstheme="minorHAnsi"/>
          <w:sz w:val="24"/>
          <w:szCs w:val="24"/>
        </w:rPr>
        <w:t>,</w:t>
      </w:r>
      <w:r w:rsidRPr="004E49FE">
        <w:rPr>
          <w:rFonts w:asciiTheme="minorHAnsi" w:hAnsiTheme="minorHAnsi" w:cstheme="minorHAnsi"/>
          <w:sz w:val="24"/>
          <w:szCs w:val="24"/>
        </w:rPr>
        <w:tab/>
      </w:r>
      <w:r w:rsidRPr="004E49FE">
        <w:rPr>
          <w:rFonts w:asciiTheme="minorHAnsi" w:hAnsiTheme="minorHAnsi" w:cstheme="minorHAnsi"/>
          <w:sz w:val="24"/>
          <w:szCs w:val="24"/>
        </w:rPr>
        <w:tab/>
      </w:r>
      <w:r w:rsidRPr="004E49FE">
        <w:rPr>
          <w:rFonts w:asciiTheme="minorHAnsi" w:hAnsiTheme="minorHAnsi" w:cstheme="minorHAnsi"/>
          <w:sz w:val="24"/>
          <w:szCs w:val="24"/>
        </w:rPr>
        <w:tab/>
      </w:r>
      <w:r w:rsidRPr="004E49FE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="00FB42D5" w:rsidRPr="004E49FE">
        <w:rPr>
          <w:rFonts w:asciiTheme="minorHAnsi" w:hAnsiTheme="minorHAnsi" w:cstheme="minorHAnsi"/>
          <w:sz w:val="24"/>
          <w:szCs w:val="24"/>
        </w:rPr>
        <w:t>Pavel Ši</w:t>
      </w:r>
      <w:r w:rsidR="00866FB9" w:rsidRPr="004E49FE">
        <w:rPr>
          <w:rFonts w:asciiTheme="minorHAnsi" w:hAnsiTheme="minorHAnsi" w:cstheme="minorHAnsi"/>
          <w:sz w:val="24"/>
          <w:szCs w:val="24"/>
        </w:rPr>
        <w:t>š</w:t>
      </w:r>
      <w:r w:rsidR="00FB42D5" w:rsidRPr="004E49FE">
        <w:rPr>
          <w:rFonts w:asciiTheme="minorHAnsi" w:hAnsiTheme="minorHAnsi" w:cstheme="minorHAnsi"/>
          <w:sz w:val="24"/>
          <w:szCs w:val="24"/>
        </w:rPr>
        <w:t>ka</w:t>
      </w:r>
      <w:r w:rsidRPr="004E49F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C78660D" w14:textId="77777777" w:rsidR="00B74802" w:rsidRPr="004E49FE" w:rsidRDefault="00B74802" w:rsidP="00B74802">
      <w:pPr>
        <w:pStyle w:val="RLdajeosmluvnstran"/>
        <w:framePr w:w="3439" w:hSpace="141" w:wrap="around" w:vAnchor="text" w:hAnchor="page" w:x="1588" w:y="1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ředitel Odboru bezpečnostní politiky a krizového řízení</w:t>
      </w:r>
    </w:p>
    <w:p w14:paraId="61EFF29D" w14:textId="77777777" w:rsidR="00B74802" w:rsidRPr="004E49FE" w:rsidRDefault="00B74802" w:rsidP="00B74802">
      <w:pPr>
        <w:pStyle w:val="RLdajeosmluvnstran"/>
        <w:framePr w:w="3439" w:hSpace="141" w:wrap="around" w:vAnchor="text" w:hAnchor="page" w:x="1588" w:y="1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                                   </w:t>
      </w:r>
    </w:p>
    <w:p w14:paraId="7B2D390A" w14:textId="4634401D" w:rsidR="00B74802" w:rsidRPr="00DC3FB5" w:rsidRDefault="00B74802" w:rsidP="00B74802">
      <w:pPr>
        <w:pStyle w:val="RLdajeosmluvnstran"/>
        <w:framePr w:w="3439" w:hSpace="141" w:wrap="around" w:vAnchor="text" w:hAnchor="page" w:x="6712" w:y="35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Partner Poradenství v oblasti Řízení rizik, na základě </w:t>
      </w:r>
      <w:r w:rsidR="00D50C51"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plné moci</w:t>
      </w: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 </w:t>
      </w:r>
      <w:proofErr w:type="gramStart"/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ze</w:t>
      </w:r>
      <w:proofErr w:type="gramEnd"/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 </w:t>
      </w:r>
      <w:r w:rsidR="00FB42D5"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3</w:t>
      </w: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. </w:t>
      </w:r>
      <w:r w:rsidR="00D50C51"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1</w:t>
      </w:r>
      <w:r w:rsidR="00D1391D"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2</w:t>
      </w: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. 20</w:t>
      </w:r>
      <w:r w:rsidR="00FB42D5"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2</w:t>
      </w:r>
      <w:r w:rsidR="00D1391D"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1</w:t>
      </w:r>
    </w:p>
    <w:p w14:paraId="10F2270D" w14:textId="77777777" w:rsidR="00B74802" w:rsidRPr="00B74802" w:rsidRDefault="00B74802" w:rsidP="00B74802">
      <w:pPr>
        <w:pStyle w:val="RLdajeosmluvnstran"/>
        <w:framePr w:w="3439" w:hSpace="141" w:wrap="around" w:vAnchor="text" w:hAnchor="page" w:x="6712" w:y="35"/>
        <w:spacing w:after="0"/>
        <w:rPr>
          <w:rFonts w:eastAsia="Calibri" w:cs="Calibri"/>
          <w:color w:val="000000"/>
          <w:sz w:val="24"/>
          <w:u w:color="000000"/>
          <w:bdr w:val="nil"/>
        </w:rPr>
      </w:pPr>
      <w:r w:rsidRPr="00B74802">
        <w:rPr>
          <w:rFonts w:eastAsia="Calibri" w:cs="Calibri"/>
          <w:color w:val="000000"/>
          <w:sz w:val="24"/>
          <w:u w:color="000000"/>
          <w:bdr w:val="nil"/>
        </w:rPr>
        <w:t xml:space="preserve">                                   </w:t>
      </w:r>
    </w:p>
    <w:p w14:paraId="4B162CEA" w14:textId="54A417A4" w:rsidR="002F6AB8" w:rsidRPr="005F537A" w:rsidRDefault="005F537A" w:rsidP="00B74802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        </w:t>
      </w:r>
    </w:p>
    <w:p w14:paraId="2CC5DE62" w14:textId="77777777" w:rsidR="00DD159F" w:rsidRDefault="00DD159F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3DF1131E" w14:textId="77777777" w:rsidR="00DD159F" w:rsidRDefault="00DD159F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6477449B" w14:textId="77777777" w:rsidR="00CC5499" w:rsidRPr="00BF62CF" w:rsidRDefault="00CC5499" w:rsidP="00BF62CF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Cs w:val="22"/>
        </w:rPr>
      </w:pPr>
      <w:r w:rsidRPr="00BF62CF">
        <w:rPr>
          <w:rFonts w:ascii="Arial" w:hAnsi="Arial" w:cs="Arial"/>
          <w:szCs w:val="22"/>
        </w:rPr>
        <w:lastRenderedPageBreak/>
        <w:t>Příloha č. 1</w:t>
      </w:r>
    </w:p>
    <w:p w14:paraId="4E8FDEED" w14:textId="77777777" w:rsidR="00CC5499" w:rsidRPr="00DC3FB5" w:rsidRDefault="00CC5499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lang w:eastAsia="cs-CZ"/>
        </w:rPr>
      </w:pPr>
      <w:r w:rsidRPr="00DC3FB5">
        <w:rPr>
          <w:rFonts w:asciiTheme="minorHAnsi" w:hAnsiTheme="minorHAnsi" w:cstheme="minorHAnsi"/>
          <w:b/>
          <w:lang w:eastAsia="cs-CZ"/>
        </w:rPr>
        <w:t>Předmět plnění</w:t>
      </w:r>
    </w:p>
    <w:p w14:paraId="53D469AC" w14:textId="31AC0ABC" w:rsidR="0088137A" w:rsidRPr="00DC3FB5" w:rsidRDefault="00CC5499" w:rsidP="003A28EA">
      <w:pPr>
        <w:jc w:val="both"/>
        <w:rPr>
          <w:rFonts w:asciiTheme="minorHAnsi" w:hAnsiTheme="minorHAnsi" w:cstheme="minorHAnsi"/>
          <w:lang w:eastAsia="cs-CZ"/>
        </w:rPr>
      </w:pPr>
      <w:r w:rsidRPr="00DC3FB5">
        <w:rPr>
          <w:rFonts w:asciiTheme="minorHAnsi" w:hAnsiTheme="minorHAnsi" w:cstheme="minorHAnsi"/>
          <w:lang w:eastAsia="cs-CZ"/>
        </w:rPr>
        <w:t>Předmětem</w:t>
      </w:r>
      <w:r w:rsidR="00414BE7" w:rsidRPr="00DC3FB5">
        <w:rPr>
          <w:rFonts w:asciiTheme="minorHAnsi" w:hAnsiTheme="minorHAnsi" w:cstheme="minorHAnsi"/>
          <w:lang w:eastAsia="cs-CZ"/>
        </w:rPr>
        <w:t xml:space="preserve"> plnění</w:t>
      </w:r>
      <w:r w:rsidRPr="00DC3FB5">
        <w:rPr>
          <w:rFonts w:asciiTheme="minorHAnsi" w:hAnsiTheme="minorHAnsi" w:cstheme="minorHAnsi"/>
          <w:lang w:eastAsia="cs-CZ"/>
        </w:rPr>
        <w:t xml:space="preserve"> je</w:t>
      </w:r>
      <w:r w:rsidR="00B74802" w:rsidRPr="00DC3FB5">
        <w:rPr>
          <w:rFonts w:asciiTheme="minorHAnsi" w:hAnsiTheme="minorHAnsi" w:cstheme="minorHAnsi"/>
          <w:lang w:eastAsia="cs-CZ"/>
        </w:rPr>
        <w:t xml:space="preserve"> poskytnutí</w:t>
      </w:r>
      <w:r w:rsidRPr="00DC3FB5">
        <w:rPr>
          <w:rFonts w:asciiTheme="minorHAnsi" w:hAnsiTheme="minorHAnsi" w:cstheme="minorHAnsi"/>
          <w:lang w:eastAsia="cs-CZ"/>
        </w:rPr>
        <w:t xml:space="preserve"> bezpečnostních informačních auditů a komplexních penetračních testů, včetně souvisejících služeb, v prostředí Ministerstva zemědělství </w:t>
      </w:r>
      <w:r w:rsidR="0084754F" w:rsidRPr="00DC3FB5">
        <w:rPr>
          <w:rFonts w:asciiTheme="minorHAnsi" w:hAnsiTheme="minorHAnsi" w:cstheme="minorHAnsi"/>
          <w:lang w:eastAsia="cs-CZ"/>
        </w:rPr>
        <w:t>Poskytovatelem</w:t>
      </w:r>
      <w:r w:rsidR="00C937B4" w:rsidRPr="00DC3FB5">
        <w:rPr>
          <w:rFonts w:asciiTheme="minorHAnsi" w:hAnsiTheme="minorHAnsi" w:cstheme="minorHAnsi"/>
          <w:lang w:eastAsia="cs-CZ"/>
        </w:rPr>
        <w:t>,</w:t>
      </w:r>
      <w:r w:rsidRPr="00DC3FB5">
        <w:rPr>
          <w:rFonts w:asciiTheme="minorHAnsi" w:hAnsiTheme="minorHAnsi" w:cstheme="minorHAnsi"/>
          <w:lang w:eastAsia="cs-CZ"/>
        </w:rPr>
        <w:t xml:space="preserve"> s velkým důrazem na splnění podmínky nezávislosti.</w:t>
      </w:r>
    </w:p>
    <w:p w14:paraId="2E4F5146" w14:textId="53AF44BE" w:rsidR="0088137A" w:rsidRPr="00DC3FB5" w:rsidRDefault="0088137A" w:rsidP="003A28EA">
      <w:pPr>
        <w:jc w:val="both"/>
        <w:rPr>
          <w:rFonts w:asciiTheme="minorHAnsi" w:hAnsiTheme="minorHAnsi" w:cstheme="minorHAnsi"/>
          <w:lang w:eastAsia="cs-CZ"/>
        </w:rPr>
      </w:pPr>
      <w:r w:rsidRPr="00DC3FB5">
        <w:rPr>
          <w:rFonts w:asciiTheme="minorHAnsi" w:hAnsiTheme="minorHAnsi" w:cstheme="minorHAnsi"/>
          <w:lang w:eastAsia="cs-CZ"/>
        </w:rPr>
        <w:t xml:space="preserve">Primárním předmětem těchto služeb je zajištění odborných profesních služeb ICT dle konkrétních potřeb Objednatele v oblasti problematiky bezpečnostních informačních auditů a komplexních penetračních testů pro Objednatele, příp. celý </w:t>
      </w:r>
      <w:r w:rsidR="009A7AEF" w:rsidRPr="00DC3FB5">
        <w:rPr>
          <w:rFonts w:asciiTheme="minorHAnsi" w:hAnsiTheme="minorHAnsi" w:cstheme="minorHAnsi"/>
          <w:lang w:eastAsia="cs-CZ"/>
        </w:rPr>
        <w:t>resort</w:t>
      </w:r>
      <w:r w:rsidRPr="00DC3FB5">
        <w:rPr>
          <w:rFonts w:asciiTheme="minorHAnsi" w:hAnsiTheme="minorHAnsi" w:cstheme="minorHAnsi"/>
          <w:lang w:eastAsia="cs-CZ"/>
        </w:rPr>
        <w:t xml:space="preserve"> MZe v souladu se závaznými standardy a principy Objednatele, zejména dle zákona č. 181/2014 Sb., o kybernetické bezpečnosti a o změně souvisejících zákonů (zákon o kybernetické bezpečnosti), a norem ISO 27000. Jedná o následující činnosti, jejichž specifikace je uvedena v bodu 2. této přílohy</w:t>
      </w:r>
      <w:r w:rsidR="004028EF" w:rsidRPr="00DC3FB5">
        <w:rPr>
          <w:rFonts w:asciiTheme="minorHAnsi" w:hAnsiTheme="minorHAnsi" w:cstheme="minorHAnsi"/>
          <w:lang w:eastAsia="cs-CZ"/>
        </w:rPr>
        <w:t>.</w:t>
      </w:r>
    </w:p>
    <w:p w14:paraId="39212F98" w14:textId="52EED292" w:rsidR="0012746B" w:rsidRPr="00DC3FB5" w:rsidRDefault="00A304C8" w:rsidP="0012746B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2A65AF1E" w14:textId="4942BCA3" w:rsidR="0012746B" w:rsidRPr="00DC3FB5" w:rsidRDefault="007E1C61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b/>
        </w:rPr>
        <w:t>Specifikace předmětu požadovaného plnění:</w:t>
      </w:r>
    </w:p>
    <w:p w14:paraId="19FBDBA1" w14:textId="3005D3EB" w:rsidR="0012746B" w:rsidRPr="00DC3FB5" w:rsidRDefault="0012746B" w:rsidP="003A28EA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Budou provedeny</w:t>
      </w:r>
      <w:r w:rsidR="00D7512E">
        <w:rPr>
          <w:rFonts w:asciiTheme="minorHAnsi" w:hAnsiTheme="minorHAnsi" w:cstheme="minorHAnsi"/>
        </w:rPr>
        <w:t xml:space="preserve"> drobné penetrační </w:t>
      </w:r>
      <w:r w:rsidR="00D7512E" w:rsidRPr="00D7512E">
        <w:rPr>
          <w:rFonts w:asciiTheme="minorHAnsi" w:hAnsiTheme="minorHAnsi" w:cstheme="minorHAnsi"/>
        </w:rPr>
        <w:t>testy menších systémů a</w:t>
      </w:r>
      <w:r w:rsidRPr="00D7512E">
        <w:rPr>
          <w:rFonts w:asciiTheme="minorHAnsi" w:hAnsiTheme="minorHAnsi" w:cstheme="minorHAnsi"/>
        </w:rPr>
        <w:t xml:space="preserve"> penetrační testy </w:t>
      </w:r>
      <w:r w:rsidR="0084144F" w:rsidRPr="00D7512E">
        <w:rPr>
          <w:rFonts w:asciiTheme="minorHAnsi" w:hAnsiTheme="minorHAnsi" w:cstheme="minorHAnsi"/>
        </w:rPr>
        <w:t>„</w:t>
      </w:r>
      <w:proofErr w:type="spellStart"/>
      <w:r w:rsidR="0084144F" w:rsidRPr="00D7512E">
        <w:rPr>
          <w:rFonts w:asciiTheme="minorHAnsi" w:hAnsiTheme="minorHAnsi" w:cstheme="minorHAnsi"/>
        </w:rPr>
        <w:t>Blackbox</w:t>
      </w:r>
      <w:proofErr w:type="spellEnd"/>
      <w:r w:rsidR="0084144F" w:rsidRPr="00D7512E">
        <w:rPr>
          <w:rFonts w:asciiTheme="minorHAnsi" w:hAnsiTheme="minorHAnsi" w:cstheme="minorHAnsi"/>
        </w:rPr>
        <w:t>“ systém</w:t>
      </w:r>
      <w:r w:rsidR="00D7512E" w:rsidRPr="00D7512E">
        <w:rPr>
          <w:rFonts w:asciiTheme="minorHAnsi" w:hAnsiTheme="minorHAnsi" w:cstheme="minorHAnsi"/>
        </w:rPr>
        <w:t>ů</w:t>
      </w:r>
      <w:r w:rsidR="0084144F" w:rsidRPr="00D7512E">
        <w:rPr>
          <w:rFonts w:asciiTheme="minorHAnsi" w:hAnsiTheme="minorHAnsi" w:cstheme="minorHAnsi"/>
        </w:rPr>
        <w:t xml:space="preserve"> </w:t>
      </w:r>
      <w:r w:rsidRPr="00D7512E">
        <w:rPr>
          <w:rFonts w:asciiTheme="minorHAnsi" w:hAnsiTheme="minorHAnsi" w:cstheme="minorHAnsi"/>
        </w:rPr>
        <w:t xml:space="preserve">MZe </w:t>
      </w:r>
      <w:r w:rsidR="00D7512E">
        <w:rPr>
          <w:rFonts w:asciiTheme="minorHAnsi" w:hAnsiTheme="minorHAnsi" w:cstheme="minorHAnsi"/>
        </w:rPr>
        <w:t>(dále též „</w:t>
      </w:r>
      <w:proofErr w:type="spellStart"/>
      <w:r w:rsidR="00D7512E">
        <w:rPr>
          <w:rFonts w:asciiTheme="minorHAnsi" w:hAnsiTheme="minorHAnsi" w:cstheme="minorHAnsi"/>
        </w:rPr>
        <w:t>Blackbox</w:t>
      </w:r>
      <w:proofErr w:type="spellEnd"/>
      <w:r w:rsidR="00D7512E">
        <w:rPr>
          <w:rFonts w:asciiTheme="minorHAnsi" w:hAnsiTheme="minorHAnsi" w:cstheme="minorHAnsi"/>
        </w:rPr>
        <w:t xml:space="preserve">“) </w:t>
      </w:r>
      <w:r w:rsidRPr="00D7512E">
        <w:rPr>
          <w:rFonts w:asciiTheme="minorHAnsi" w:hAnsiTheme="minorHAnsi" w:cstheme="minorHAnsi"/>
        </w:rPr>
        <w:t>s cílem ověřit technologickou a konfigurační</w:t>
      </w:r>
      <w:r w:rsidRPr="00DC3FB5">
        <w:rPr>
          <w:rFonts w:asciiTheme="minorHAnsi" w:hAnsiTheme="minorHAnsi" w:cstheme="minorHAnsi"/>
        </w:rPr>
        <w:t xml:space="preserve"> bezpečnost daného portálu</w:t>
      </w:r>
      <w:r w:rsidR="000D7163" w:rsidRPr="00DC3FB5">
        <w:rPr>
          <w:rFonts w:asciiTheme="minorHAnsi" w:hAnsiTheme="minorHAnsi" w:cstheme="minorHAnsi"/>
        </w:rPr>
        <w:t>,</w:t>
      </w:r>
      <w:r w:rsidRPr="00DC3FB5">
        <w:rPr>
          <w:rFonts w:asciiTheme="minorHAnsi" w:hAnsiTheme="minorHAnsi" w:cstheme="minorHAnsi"/>
        </w:rPr>
        <w:t xml:space="preserve"> a to s ohledem na:</w:t>
      </w:r>
    </w:p>
    <w:p w14:paraId="6E257F22" w14:textId="77777777" w:rsidR="0012746B" w:rsidRPr="00DC3FB5" w:rsidRDefault="0012746B" w:rsidP="0012746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možné dlouhodobé nedostatky přetrvávající na technologii</w:t>
      </w:r>
    </w:p>
    <w:p w14:paraId="2F8B3EC7" w14:textId="77777777" w:rsidR="0012746B" w:rsidRPr="00DC3FB5" w:rsidRDefault="0012746B" w:rsidP="0012746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možné nedostatky </w:t>
      </w:r>
      <w:r w:rsidR="000D7163" w:rsidRPr="00DC3FB5">
        <w:rPr>
          <w:rFonts w:asciiTheme="minorHAnsi" w:hAnsiTheme="minorHAnsi" w:cstheme="minorHAnsi"/>
        </w:rPr>
        <w:t>nesprávnou (nevhodnou)</w:t>
      </w:r>
      <w:r w:rsidR="002746DE" w:rsidRPr="00DC3FB5">
        <w:rPr>
          <w:rFonts w:asciiTheme="minorHAnsi" w:hAnsiTheme="minorHAnsi" w:cstheme="minorHAnsi"/>
        </w:rPr>
        <w:t xml:space="preserve"> implementací</w:t>
      </w:r>
      <w:r w:rsidRPr="00DC3FB5">
        <w:rPr>
          <w:rFonts w:asciiTheme="minorHAnsi" w:hAnsiTheme="minorHAnsi" w:cstheme="minorHAnsi"/>
        </w:rPr>
        <w:t xml:space="preserve"> technologi</w:t>
      </w:r>
      <w:r w:rsidR="002746DE" w:rsidRPr="00DC3FB5">
        <w:rPr>
          <w:rFonts w:asciiTheme="minorHAnsi" w:hAnsiTheme="minorHAnsi" w:cstheme="minorHAnsi"/>
        </w:rPr>
        <w:t>e</w:t>
      </w:r>
    </w:p>
    <w:p w14:paraId="0BF422DA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2FE9AE68" w14:textId="2F76B279" w:rsidR="0012746B" w:rsidRPr="00DC3FB5" w:rsidRDefault="0012746B" w:rsidP="003A28EA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Předmětem testů je ověření </w:t>
      </w:r>
      <w:r w:rsidR="0084144F" w:rsidRPr="0084144F">
        <w:rPr>
          <w:rFonts w:asciiTheme="minorHAnsi" w:hAnsiTheme="minorHAnsi" w:cstheme="minorHAnsi"/>
        </w:rPr>
        <w:t>„</w:t>
      </w:r>
      <w:proofErr w:type="spellStart"/>
      <w:r w:rsidR="0084144F" w:rsidRPr="0084144F">
        <w:rPr>
          <w:rFonts w:asciiTheme="minorHAnsi" w:hAnsiTheme="minorHAnsi" w:cstheme="minorHAnsi"/>
        </w:rPr>
        <w:t>Blackbox</w:t>
      </w:r>
      <w:proofErr w:type="spellEnd"/>
      <w:r w:rsidR="0084144F" w:rsidRPr="0084144F">
        <w:rPr>
          <w:rFonts w:asciiTheme="minorHAnsi" w:hAnsiTheme="minorHAnsi" w:cstheme="minorHAnsi"/>
        </w:rPr>
        <w:t>“ systému MZe</w:t>
      </w:r>
      <w:r w:rsidRPr="00DC3FB5">
        <w:rPr>
          <w:rFonts w:asciiTheme="minorHAnsi" w:hAnsiTheme="minorHAnsi" w:cstheme="minorHAnsi"/>
        </w:rPr>
        <w:t xml:space="preserve"> a identifikace jeho případných závažných zranitelností, které by mohl</w:t>
      </w:r>
      <w:r w:rsidR="000D7163" w:rsidRPr="00DC3FB5">
        <w:rPr>
          <w:rFonts w:asciiTheme="minorHAnsi" w:hAnsiTheme="minorHAnsi" w:cstheme="minorHAnsi"/>
        </w:rPr>
        <w:t>y</w:t>
      </w:r>
      <w:r w:rsidRPr="00DC3FB5">
        <w:rPr>
          <w:rFonts w:asciiTheme="minorHAnsi" w:hAnsiTheme="minorHAnsi" w:cstheme="minorHAnsi"/>
        </w:rPr>
        <w:t xml:space="preserve"> vést k ohrožení požadovaných parametrů jeho provozu nebo k jeho neoprávněnému způsobu použití/zneužití. Spolu s identifikací zranitelností bude ověřena též jejich reálná </w:t>
      </w:r>
      <w:proofErr w:type="spellStart"/>
      <w:r w:rsidRPr="00DC3FB5">
        <w:rPr>
          <w:rFonts w:asciiTheme="minorHAnsi" w:hAnsiTheme="minorHAnsi" w:cstheme="minorHAnsi"/>
        </w:rPr>
        <w:t>zneužitelnost</w:t>
      </w:r>
      <w:proofErr w:type="spellEnd"/>
      <w:r w:rsidRPr="00DC3FB5">
        <w:rPr>
          <w:rFonts w:asciiTheme="minorHAnsi" w:hAnsiTheme="minorHAnsi" w:cstheme="minorHAnsi"/>
        </w:rPr>
        <w:t xml:space="preserve"> či možnost</w:t>
      </w:r>
      <w:r w:rsidR="005B4DEA" w:rsidRPr="00DC3FB5">
        <w:rPr>
          <w:rFonts w:asciiTheme="minorHAnsi" w:hAnsiTheme="minorHAnsi" w:cstheme="minorHAnsi"/>
        </w:rPr>
        <w:t xml:space="preserve"> jejich</w:t>
      </w:r>
      <w:r w:rsidRPr="00DC3FB5">
        <w:rPr>
          <w:rFonts w:asciiTheme="minorHAnsi" w:hAnsiTheme="minorHAnsi" w:cstheme="minorHAnsi"/>
        </w:rPr>
        <w:t xml:space="preserve"> výskytu</w:t>
      </w:r>
      <w:r w:rsidR="005B4DEA" w:rsidRPr="00DC3FB5">
        <w:rPr>
          <w:rFonts w:asciiTheme="minorHAnsi" w:hAnsiTheme="minorHAnsi" w:cstheme="minorHAnsi"/>
        </w:rPr>
        <w:t xml:space="preserve"> nebo</w:t>
      </w:r>
      <w:r w:rsidR="00F83267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uplatnění a vymezena hlavní účinná opatření k jejich eliminaci. </w:t>
      </w:r>
    </w:p>
    <w:p w14:paraId="32D4A1E0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46DE0591" w14:textId="77777777" w:rsidR="0012746B" w:rsidRPr="00DC3FB5" w:rsidRDefault="0012746B" w:rsidP="0012746B">
      <w:p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Penetrační testy budou zahrnovat:</w:t>
      </w:r>
    </w:p>
    <w:p w14:paraId="62F2FBE1" w14:textId="28867C3C" w:rsidR="0012746B" w:rsidRPr="00DC3FB5" w:rsidRDefault="0012746B" w:rsidP="00113FB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Externí penetrační test prostředí „</w:t>
      </w:r>
      <w:proofErr w:type="spellStart"/>
      <w:r w:rsidR="0084144F">
        <w:rPr>
          <w:rFonts w:asciiTheme="minorHAnsi" w:hAnsiTheme="minorHAnsi" w:cstheme="minorHAnsi"/>
        </w:rPr>
        <w:t>Blackbox</w:t>
      </w:r>
      <w:proofErr w:type="spellEnd"/>
      <w:r w:rsidRPr="00DC3FB5">
        <w:rPr>
          <w:rFonts w:asciiTheme="minorHAnsi" w:hAnsiTheme="minorHAnsi" w:cstheme="minorHAnsi"/>
        </w:rPr>
        <w:t>“</w:t>
      </w:r>
    </w:p>
    <w:p w14:paraId="1EB5DD0D" w14:textId="77AF3FAE" w:rsidR="0012746B" w:rsidRPr="00DC3FB5" w:rsidRDefault="0084144F" w:rsidP="00113FB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Případný následný i</w:t>
      </w:r>
      <w:r w:rsidR="0012746B" w:rsidRPr="00DC3FB5">
        <w:rPr>
          <w:rFonts w:asciiTheme="minorHAnsi" w:hAnsiTheme="minorHAnsi" w:cstheme="minorHAnsi"/>
        </w:rPr>
        <w:t xml:space="preserve">nterní penetrační test </w:t>
      </w:r>
      <w:r w:rsidRPr="00DC3FB5">
        <w:rPr>
          <w:rFonts w:asciiTheme="minorHAnsi" w:hAnsiTheme="minorHAnsi" w:cstheme="minorHAnsi"/>
        </w:rPr>
        <w:t>prostředí „</w:t>
      </w:r>
      <w:proofErr w:type="spellStart"/>
      <w:r>
        <w:rPr>
          <w:rFonts w:asciiTheme="minorHAnsi" w:hAnsiTheme="minorHAnsi" w:cstheme="minorHAnsi"/>
        </w:rPr>
        <w:t>Blackbox</w:t>
      </w:r>
      <w:proofErr w:type="spellEnd"/>
      <w:r w:rsidRPr="00DC3FB5">
        <w:rPr>
          <w:rFonts w:asciiTheme="minorHAnsi" w:hAnsiTheme="minorHAnsi" w:cstheme="minorHAnsi"/>
        </w:rPr>
        <w:t>“</w:t>
      </w:r>
    </w:p>
    <w:p w14:paraId="41EE0E4B" w14:textId="2E597EE9" w:rsidR="0012746B" w:rsidRPr="00DC3FB5" w:rsidRDefault="0012746B" w:rsidP="00113FB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Testy konfigurace </w:t>
      </w:r>
      <w:r w:rsidR="00D7512E" w:rsidRPr="00DC3FB5">
        <w:rPr>
          <w:rFonts w:asciiTheme="minorHAnsi" w:hAnsiTheme="minorHAnsi" w:cstheme="minorHAnsi"/>
        </w:rPr>
        <w:t>„</w:t>
      </w:r>
      <w:proofErr w:type="spellStart"/>
      <w:r w:rsidR="00D7512E">
        <w:rPr>
          <w:rFonts w:asciiTheme="minorHAnsi" w:hAnsiTheme="minorHAnsi" w:cstheme="minorHAnsi"/>
        </w:rPr>
        <w:t>Blackbox</w:t>
      </w:r>
      <w:proofErr w:type="spellEnd"/>
      <w:r w:rsidR="00D7512E" w:rsidRPr="00DC3FB5">
        <w:rPr>
          <w:rFonts w:asciiTheme="minorHAnsi" w:hAnsiTheme="minorHAnsi" w:cstheme="minorHAnsi"/>
        </w:rPr>
        <w:t>“</w:t>
      </w:r>
    </w:p>
    <w:p w14:paraId="64A73387" w14:textId="77777777" w:rsidR="0012746B" w:rsidRPr="00DC3FB5" w:rsidRDefault="0012746B" w:rsidP="003A28E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Skenování známých zranitelností systému jako celku</w:t>
      </w:r>
    </w:p>
    <w:p w14:paraId="6671C3BE" w14:textId="77777777" w:rsidR="0012746B" w:rsidRPr="00DC3FB5" w:rsidRDefault="0012746B" w:rsidP="0012746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Zpracování zprávy z penetračních testů</w:t>
      </w:r>
    </w:p>
    <w:p w14:paraId="356F3E8B" w14:textId="06B225D5" w:rsidR="0012746B" w:rsidRDefault="0012746B" w:rsidP="0012746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Případný </w:t>
      </w:r>
      <w:proofErr w:type="spellStart"/>
      <w:r w:rsidRPr="00DC3FB5">
        <w:rPr>
          <w:rFonts w:asciiTheme="minorHAnsi" w:hAnsiTheme="minorHAnsi" w:cstheme="minorHAnsi"/>
        </w:rPr>
        <w:t>retest</w:t>
      </w:r>
      <w:proofErr w:type="spellEnd"/>
      <w:r w:rsidRPr="00DC3FB5">
        <w:rPr>
          <w:rFonts w:asciiTheme="minorHAnsi" w:hAnsiTheme="minorHAnsi" w:cstheme="minorHAnsi"/>
        </w:rPr>
        <w:t xml:space="preserve"> po odstranění identifikovaných slabin a nedostatků.</w:t>
      </w:r>
    </w:p>
    <w:p w14:paraId="7933BB9B" w14:textId="77777777" w:rsidR="00A1794E" w:rsidRDefault="00A1794E" w:rsidP="00A1794E">
      <w:pPr>
        <w:rPr>
          <w:rFonts w:asciiTheme="minorHAnsi" w:hAnsiTheme="minorHAnsi" w:cstheme="minorHAnsi"/>
        </w:rPr>
      </w:pPr>
    </w:p>
    <w:p w14:paraId="7B621851" w14:textId="2FAB85C7" w:rsidR="00A1794E" w:rsidRPr="00DB6B38" w:rsidRDefault="00A1794E" w:rsidP="00A1794E">
      <w:p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 xml:space="preserve">Dále </w:t>
      </w:r>
      <w:r w:rsidR="00041922" w:rsidRPr="00DB6B38">
        <w:rPr>
          <w:rFonts w:asciiTheme="minorHAnsi" w:hAnsiTheme="minorHAnsi" w:cstheme="minorHAnsi"/>
        </w:rPr>
        <w:t xml:space="preserve">mohou být požadovány služby </w:t>
      </w:r>
      <w:r w:rsidR="00413C62">
        <w:rPr>
          <w:rFonts w:asciiTheme="minorHAnsi" w:hAnsiTheme="minorHAnsi" w:cstheme="minorHAnsi"/>
        </w:rPr>
        <w:t>penetračních testů</w:t>
      </w:r>
      <w:r w:rsidR="006D6A71">
        <w:rPr>
          <w:rFonts w:asciiTheme="minorHAnsi" w:hAnsiTheme="minorHAnsi" w:cstheme="minorHAnsi"/>
        </w:rPr>
        <w:t xml:space="preserve"> a</w:t>
      </w:r>
      <w:r w:rsidR="00413C62">
        <w:rPr>
          <w:rFonts w:asciiTheme="minorHAnsi" w:hAnsiTheme="minorHAnsi" w:cstheme="minorHAnsi"/>
        </w:rPr>
        <w:t xml:space="preserve"> </w:t>
      </w:r>
      <w:r w:rsidR="00041922" w:rsidRPr="00DB6B38">
        <w:rPr>
          <w:rFonts w:asciiTheme="minorHAnsi" w:hAnsiTheme="minorHAnsi" w:cstheme="minorHAnsi"/>
        </w:rPr>
        <w:t>bezpečnostního posouzení realizačních záměrů</w:t>
      </w:r>
      <w:r w:rsidR="0062585F" w:rsidRPr="00DB6B38">
        <w:rPr>
          <w:rFonts w:asciiTheme="minorHAnsi" w:hAnsiTheme="minorHAnsi" w:cstheme="minorHAnsi"/>
        </w:rPr>
        <w:t xml:space="preserve"> a bezpečnostních kontrol v souvislosti s uvedeným posouzením,</w:t>
      </w:r>
      <w:r w:rsidR="00041922" w:rsidRPr="00DB6B38">
        <w:rPr>
          <w:rFonts w:asciiTheme="minorHAnsi" w:hAnsiTheme="minorHAnsi" w:cstheme="minorHAnsi"/>
        </w:rPr>
        <w:t xml:space="preserve"> v závislosti na aktuálních potřebách zadavatele</w:t>
      </w:r>
      <w:r w:rsidR="006D6A71">
        <w:rPr>
          <w:rFonts w:asciiTheme="minorHAnsi" w:hAnsiTheme="minorHAnsi" w:cstheme="minorHAnsi"/>
        </w:rPr>
        <w:t xml:space="preserve"> pro další systémy MZe</w:t>
      </w:r>
      <w:r w:rsidR="00041922" w:rsidRPr="00DB6B38">
        <w:rPr>
          <w:rFonts w:asciiTheme="minorHAnsi" w:hAnsiTheme="minorHAnsi" w:cstheme="minorHAnsi"/>
        </w:rPr>
        <w:t>.</w:t>
      </w:r>
    </w:p>
    <w:p w14:paraId="580F9F33" w14:textId="3ECDC421" w:rsidR="008F033F" w:rsidRPr="00DB6B38" w:rsidRDefault="008F033F" w:rsidP="00A1794E">
      <w:pPr>
        <w:rPr>
          <w:rFonts w:asciiTheme="minorHAnsi" w:hAnsiTheme="minorHAnsi" w:cstheme="minorHAnsi"/>
        </w:rPr>
      </w:pPr>
    </w:p>
    <w:p w14:paraId="5B122603" w14:textId="56DF455E" w:rsidR="008F033F" w:rsidRPr="00DB6B38" w:rsidRDefault="008F033F" w:rsidP="008F033F">
      <w:p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 xml:space="preserve">Bezpečnostní </w:t>
      </w:r>
      <w:r w:rsidR="00041922" w:rsidRPr="00DB6B38">
        <w:rPr>
          <w:rFonts w:asciiTheme="minorHAnsi" w:hAnsiTheme="minorHAnsi" w:cstheme="minorHAnsi"/>
        </w:rPr>
        <w:t>posouzení</w:t>
      </w:r>
      <w:r w:rsidRPr="00DB6B38">
        <w:rPr>
          <w:rFonts w:asciiTheme="minorHAnsi" w:hAnsiTheme="minorHAnsi" w:cstheme="minorHAnsi"/>
        </w:rPr>
        <w:t xml:space="preserve"> bude zahrnovat</w:t>
      </w:r>
      <w:r w:rsidR="00BA569C" w:rsidRPr="00DB6B38">
        <w:rPr>
          <w:rFonts w:asciiTheme="minorHAnsi" w:hAnsiTheme="minorHAnsi" w:cstheme="minorHAnsi"/>
        </w:rPr>
        <w:t xml:space="preserve"> minimálně</w:t>
      </w:r>
      <w:r w:rsidRPr="00DB6B38">
        <w:rPr>
          <w:rFonts w:asciiTheme="minorHAnsi" w:hAnsiTheme="minorHAnsi" w:cstheme="minorHAnsi"/>
        </w:rPr>
        <w:t>:</w:t>
      </w:r>
    </w:p>
    <w:p w14:paraId="2A5E6557" w14:textId="3B258F2B" w:rsidR="008F033F" w:rsidRPr="00DB6B38" w:rsidRDefault="00041922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Kontrola</w:t>
      </w:r>
      <w:r w:rsidR="008F033F" w:rsidRPr="00DB6B38">
        <w:rPr>
          <w:rFonts w:asciiTheme="minorHAnsi" w:hAnsiTheme="minorHAnsi" w:cstheme="minorHAnsi"/>
        </w:rPr>
        <w:t xml:space="preserve"> </w:t>
      </w:r>
      <w:r w:rsidRPr="00DB6B38">
        <w:rPr>
          <w:rFonts w:asciiTheme="minorHAnsi" w:hAnsiTheme="minorHAnsi" w:cstheme="minorHAnsi"/>
        </w:rPr>
        <w:t>dokumentace k</w:t>
      </w:r>
      <w:r w:rsidR="00DB6B38">
        <w:rPr>
          <w:rFonts w:asciiTheme="minorHAnsi" w:hAnsiTheme="minorHAnsi" w:cstheme="minorHAnsi"/>
        </w:rPr>
        <w:t> </w:t>
      </w:r>
      <w:r w:rsidRPr="00DB6B38">
        <w:rPr>
          <w:rFonts w:asciiTheme="minorHAnsi" w:hAnsiTheme="minorHAnsi" w:cstheme="minorHAnsi"/>
        </w:rPr>
        <w:t>záměr</w:t>
      </w:r>
      <w:r w:rsidR="00DB6B38">
        <w:rPr>
          <w:rFonts w:asciiTheme="minorHAnsi" w:hAnsiTheme="minorHAnsi" w:cstheme="minorHAnsi"/>
        </w:rPr>
        <w:t>ům projektů</w:t>
      </w:r>
      <w:r w:rsidRPr="00DB6B38">
        <w:rPr>
          <w:rFonts w:asciiTheme="minorHAnsi" w:hAnsiTheme="minorHAnsi" w:cstheme="minorHAnsi"/>
        </w:rPr>
        <w:t xml:space="preserve"> a identifikace informačně-bezpečnostních aspektů</w:t>
      </w:r>
    </w:p>
    <w:p w14:paraId="28DDD49C" w14:textId="47BDD337" w:rsidR="00B84601" w:rsidRPr="00DB6B38" w:rsidRDefault="00041922" w:rsidP="00B84601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Zhodnocení možných bezpečnostních rizik a soulad s Bezpečnostními politikami MZe</w:t>
      </w:r>
    </w:p>
    <w:p w14:paraId="2DF21937" w14:textId="649ED681" w:rsidR="0062585F" w:rsidRPr="00DB6B38" w:rsidRDefault="00041922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 xml:space="preserve">Doporučení vedoucí k opatřením </w:t>
      </w:r>
      <w:r w:rsidR="00DB6B38">
        <w:rPr>
          <w:rFonts w:asciiTheme="minorHAnsi" w:hAnsiTheme="minorHAnsi" w:cstheme="minorHAnsi"/>
        </w:rPr>
        <w:t>na</w:t>
      </w:r>
      <w:r w:rsidRPr="00DB6B38">
        <w:rPr>
          <w:rFonts w:asciiTheme="minorHAnsi" w:hAnsiTheme="minorHAnsi" w:cstheme="minorHAnsi"/>
        </w:rPr>
        <w:t xml:space="preserve"> minimalizaci rizika v souladu s identifikovanými </w:t>
      </w:r>
      <w:r w:rsidR="0062585F" w:rsidRPr="00DB6B38">
        <w:rPr>
          <w:rFonts w:asciiTheme="minorHAnsi" w:hAnsiTheme="minorHAnsi" w:cstheme="minorHAnsi"/>
        </w:rPr>
        <w:t xml:space="preserve">bezpečnostními </w:t>
      </w:r>
      <w:r w:rsidRPr="00DB6B38">
        <w:rPr>
          <w:rFonts w:asciiTheme="minorHAnsi" w:hAnsiTheme="minorHAnsi" w:cstheme="minorHAnsi"/>
        </w:rPr>
        <w:t>riziky, nebo k odstranění nekonzistencí vzhledem k</w:t>
      </w:r>
      <w:r w:rsidR="0062585F" w:rsidRPr="00DB6B38">
        <w:rPr>
          <w:rFonts w:asciiTheme="minorHAnsi" w:hAnsiTheme="minorHAnsi" w:cstheme="minorHAnsi"/>
        </w:rPr>
        <w:t> </w:t>
      </w:r>
      <w:r w:rsidRPr="00DB6B38">
        <w:rPr>
          <w:rFonts w:asciiTheme="minorHAnsi" w:hAnsiTheme="minorHAnsi" w:cstheme="minorHAnsi"/>
        </w:rPr>
        <w:t>BP</w:t>
      </w:r>
    </w:p>
    <w:p w14:paraId="0262884F" w14:textId="7025C39C" w:rsidR="008F033F" w:rsidRPr="00DB6B38" w:rsidRDefault="0062585F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Kontrola faktického stavu bezpečnostních aspektů po realizaci projektu</w:t>
      </w:r>
      <w:r w:rsidR="00041922" w:rsidRPr="00DB6B38">
        <w:rPr>
          <w:rFonts w:asciiTheme="minorHAnsi" w:hAnsiTheme="minorHAnsi" w:cstheme="minorHAnsi"/>
        </w:rPr>
        <w:t xml:space="preserve"> </w:t>
      </w:r>
    </w:p>
    <w:p w14:paraId="05738C4B" w14:textId="6374B892" w:rsidR="008F033F" w:rsidRPr="00DB6B38" w:rsidRDefault="008F033F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Z</w:t>
      </w:r>
      <w:r w:rsidR="00BA569C" w:rsidRPr="00DB6B38">
        <w:rPr>
          <w:rFonts w:asciiTheme="minorHAnsi" w:hAnsiTheme="minorHAnsi" w:cstheme="minorHAnsi"/>
        </w:rPr>
        <w:t xml:space="preserve">pracování </w:t>
      </w:r>
      <w:r w:rsidR="0062585F" w:rsidRPr="00DB6B38">
        <w:rPr>
          <w:rFonts w:asciiTheme="minorHAnsi" w:hAnsiTheme="minorHAnsi" w:cstheme="minorHAnsi"/>
        </w:rPr>
        <w:t>vyjádření k bezpečnostnímu posouzení nebo kontrole faktického stavu po realizaci</w:t>
      </w:r>
    </w:p>
    <w:p w14:paraId="07BF3144" w14:textId="77777777" w:rsidR="0012746B" w:rsidRPr="00DC3FB5" w:rsidRDefault="0012746B" w:rsidP="0012746B">
      <w:pPr>
        <w:ind w:left="360"/>
        <w:rPr>
          <w:rFonts w:asciiTheme="minorHAnsi" w:hAnsiTheme="minorHAnsi" w:cstheme="minorHAnsi"/>
        </w:rPr>
      </w:pPr>
    </w:p>
    <w:p w14:paraId="257B2CE2" w14:textId="55FE8BC4" w:rsidR="0012746B" w:rsidRPr="00DC3FB5" w:rsidRDefault="0012746B" w:rsidP="004028EF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DC3FB5">
        <w:rPr>
          <w:rFonts w:asciiTheme="minorHAnsi" w:hAnsiTheme="minorHAnsi" w:cstheme="minorHAnsi"/>
          <w:b/>
        </w:rPr>
        <w:t>Výstup penetračních testů</w:t>
      </w:r>
      <w:r w:rsidR="00BA569C">
        <w:rPr>
          <w:rFonts w:asciiTheme="minorHAnsi" w:hAnsiTheme="minorHAnsi" w:cstheme="minorHAnsi"/>
          <w:b/>
        </w:rPr>
        <w:t xml:space="preserve"> a bezpečnostních auditů</w:t>
      </w:r>
    </w:p>
    <w:p w14:paraId="017598F8" w14:textId="77777777" w:rsidR="0012746B" w:rsidRPr="00A1794E" w:rsidRDefault="0012746B" w:rsidP="00A1794E">
      <w:pPr>
        <w:rPr>
          <w:rFonts w:asciiTheme="minorHAnsi" w:hAnsiTheme="minorHAnsi" w:cstheme="minorHAnsi"/>
        </w:rPr>
      </w:pPr>
      <w:r w:rsidRPr="00A1794E">
        <w:rPr>
          <w:rFonts w:asciiTheme="minorHAnsi" w:hAnsiTheme="minorHAnsi" w:cstheme="minorHAnsi"/>
        </w:rPr>
        <w:t>Výstupem penetračních testů bude zpráva z penetračních testů zahrnující:</w:t>
      </w:r>
    </w:p>
    <w:p w14:paraId="177A24C8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Manažerský souhrn hlavních zjištění a doporučení</w:t>
      </w:r>
    </w:p>
    <w:p w14:paraId="43E1D976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lastRenderedPageBreak/>
        <w:t>Základní informace o provedeném bezpečnostním testu (časový rámec, cíl a rozsah, použité postupy a techniky)</w:t>
      </w:r>
    </w:p>
    <w:p w14:paraId="4A6049D0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Souhrnné informace k průběhu provedených testů s důrazem na faktory ovlivňující jejich průběh a výsledek</w:t>
      </w:r>
    </w:p>
    <w:p w14:paraId="6AFC8CB9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Popis bezpečnostních slabin a specifikace doporučených protiopatření s důrazem na úroveň rizik jednotlivých slabin a prioritu doporučovaných opatření.</w:t>
      </w:r>
    </w:p>
    <w:p w14:paraId="12A829A2" w14:textId="77777777" w:rsidR="00A1794E" w:rsidRDefault="00A1794E" w:rsidP="00A1794E">
      <w:pPr>
        <w:rPr>
          <w:rFonts w:asciiTheme="minorHAnsi" w:hAnsiTheme="minorHAnsi" w:cstheme="minorHAnsi"/>
        </w:rPr>
      </w:pPr>
    </w:p>
    <w:p w14:paraId="16BE8393" w14:textId="23B0E273" w:rsidR="00A1794E" w:rsidRDefault="00A1794E" w:rsidP="00A1794E">
      <w:pPr>
        <w:rPr>
          <w:rFonts w:asciiTheme="minorHAnsi" w:hAnsiTheme="minorHAnsi" w:cstheme="minorHAnsi"/>
        </w:rPr>
      </w:pPr>
      <w:r w:rsidRPr="00A1794E">
        <w:rPr>
          <w:rFonts w:asciiTheme="minorHAnsi" w:hAnsiTheme="minorHAnsi" w:cstheme="minorHAnsi"/>
        </w:rPr>
        <w:t xml:space="preserve">Výstupem </w:t>
      </w:r>
      <w:r>
        <w:rPr>
          <w:rFonts w:asciiTheme="minorHAnsi" w:hAnsiTheme="minorHAnsi" w:cstheme="minorHAnsi"/>
        </w:rPr>
        <w:t xml:space="preserve">bezpečnostního </w:t>
      </w:r>
      <w:r w:rsidR="00DB6B38">
        <w:rPr>
          <w:rFonts w:asciiTheme="minorHAnsi" w:hAnsiTheme="minorHAnsi" w:cstheme="minorHAnsi"/>
        </w:rPr>
        <w:t>posouzení</w:t>
      </w:r>
      <w:r>
        <w:rPr>
          <w:rFonts w:asciiTheme="minorHAnsi" w:hAnsiTheme="minorHAnsi" w:cstheme="minorHAnsi"/>
        </w:rPr>
        <w:t xml:space="preserve"> </w:t>
      </w:r>
      <w:r w:rsidRPr="00A1794E">
        <w:rPr>
          <w:rFonts w:asciiTheme="minorHAnsi" w:hAnsiTheme="minorHAnsi" w:cstheme="minorHAnsi"/>
        </w:rPr>
        <w:t>bude zpráva zahrnující:</w:t>
      </w:r>
    </w:p>
    <w:p w14:paraId="3D0CFF83" w14:textId="77777777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Manažerský souhrn hlavních zjištění a doporučení</w:t>
      </w:r>
    </w:p>
    <w:p w14:paraId="36B31729" w14:textId="4AA5133C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Základní informace o provedeném bezpečnostním </w:t>
      </w:r>
      <w:r w:rsidR="00DB6B38">
        <w:rPr>
          <w:rFonts w:asciiTheme="minorHAnsi" w:hAnsiTheme="minorHAnsi" w:cstheme="minorHAnsi"/>
        </w:rPr>
        <w:t>posouzení</w:t>
      </w:r>
      <w:r w:rsidRPr="00DC3FB5">
        <w:rPr>
          <w:rFonts w:asciiTheme="minorHAnsi" w:hAnsiTheme="minorHAnsi" w:cstheme="minorHAnsi"/>
        </w:rPr>
        <w:t xml:space="preserve"> (časový rámec, cíl a rozsah, použité postupy a techniky)</w:t>
      </w:r>
    </w:p>
    <w:p w14:paraId="0F8C602E" w14:textId="4A07D66E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Souhrnné informace </w:t>
      </w:r>
      <w:r>
        <w:rPr>
          <w:rFonts w:asciiTheme="minorHAnsi" w:hAnsiTheme="minorHAnsi" w:cstheme="minorHAnsi"/>
        </w:rPr>
        <w:t>o</w:t>
      </w:r>
      <w:r w:rsidRPr="00DC3FB5">
        <w:rPr>
          <w:rFonts w:asciiTheme="minorHAnsi" w:hAnsiTheme="minorHAnsi" w:cstheme="minorHAnsi"/>
        </w:rPr>
        <w:t xml:space="preserve"> </w:t>
      </w:r>
      <w:r w:rsidR="00DB6B38">
        <w:rPr>
          <w:rFonts w:asciiTheme="minorHAnsi" w:hAnsiTheme="minorHAnsi" w:cstheme="minorHAnsi"/>
        </w:rPr>
        <w:t xml:space="preserve">kontrole faktického stavu </w:t>
      </w:r>
      <w:r w:rsidR="004670F8">
        <w:rPr>
          <w:rFonts w:asciiTheme="minorHAnsi" w:hAnsiTheme="minorHAnsi" w:cstheme="minorHAnsi"/>
        </w:rPr>
        <w:t>realizovaných bezpečnostních opatření, způsob jejich kontroly</w:t>
      </w:r>
      <w:r w:rsidRPr="00DC3FB5">
        <w:rPr>
          <w:rFonts w:asciiTheme="minorHAnsi" w:hAnsiTheme="minorHAnsi" w:cstheme="minorHAnsi"/>
        </w:rPr>
        <w:t xml:space="preserve"> s důrazem na faktory ovlivňující jejich průběh a výsledek</w:t>
      </w:r>
    </w:p>
    <w:p w14:paraId="175287D9" w14:textId="096F72C0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Popis bezpečnostních </w:t>
      </w:r>
      <w:r>
        <w:rPr>
          <w:rFonts w:asciiTheme="minorHAnsi" w:hAnsiTheme="minorHAnsi" w:cstheme="minorHAnsi"/>
        </w:rPr>
        <w:t>rizik</w:t>
      </w:r>
      <w:r w:rsidRPr="00DC3FB5">
        <w:rPr>
          <w:rFonts w:asciiTheme="minorHAnsi" w:hAnsiTheme="minorHAnsi" w:cstheme="minorHAnsi"/>
        </w:rPr>
        <w:t xml:space="preserve"> a specifikace doporučených protiopatření s důrazem na úroveň rizik jednotlivých slabin a prioritu doporučovaných opatření.</w:t>
      </w:r>
    </w:p>
    <w:p w14:paraId="029648AD" w14:textId="77777777" w:rsidR="00D86B8B" w:rsidRPr="00A1794E" w:rsidRDefault="00D86B8B" w:rsidP="00A1794E">
      <w:pPr>
        <w:rPr>
          <w:rFonts w:asciiTheme="minorHAnsi" w:hAnsiTheme="minorHAnsi" w:cstheme="minorHAnsi"/>
        </w:rPr>
      </w:pPr>
    </w:p>
    <w:p w14:paraId="0661FDD9" w14:textId="77777777" w:rsidR="0012746B" w:rsidRPr="00DC3FB5" w:rsidRDefault="0012746B" w:rsidP="004028EF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DC3FB5">
        <w:rPr>
          <w:rFonts w:asciiTheme="minorHAnsi" w:hAnsiTheme="minorHAnsi" w:cstheme="minorHAnsi"/>
          <w:b/>
        </w:rPr>
        <w:t>Ochrana informací MZe a požadavky na součinnost</w:t>
      </w:r>
    </w:p>
    <w:p w14:paraId="78541BFC" w14:textId="509494E8" w:rsidR="0012746B" w:rsidRPr="00DC3FB5" w:rsidRDefault="0012746B" w:rsidP="003A28EA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Potřebné informace budou zjišťovány formou konzultací s určenými pracovníky </w:t>
      </w:r>
      <w:r w:rsidR="00375F87" w:rsidRPr="00DC3FB5">
        <w:rPr>
          <w:rFonts w:asciiTheme="minorHAnsi" w:hAnsiTheme="minorHAnsi" w:cstheme="minorHAnsi"/>
        </w:rPr>
        <w:t>Objednatele</w:t>
      </w:r>
      <w:r w:rsidRPr="00DC3FB5">
        <w:rPr>
          <w:rFonts w:asciiTheme="minorHAnsi" w:hAnsiTheme="minorHAnsi" w:cstheme="minorHAnsi"/>
        </w:rPr>
        <w:t xml:space="preserve"> a </w:t>
      </w:r>
      <w:r w:rsidR="00375F87" w:rsidRPr="00DC3FB5">
        <w:rPr>
          <w:rFonts w:asciiTheme="minorHAnsi" w:hAnsiTheme="minorHAnsi" w:cstheme="minorHAnsi"/>
        </w:rPr>
        <w:t>Poskytovatele</w:t>
      </w:r>
      <w:r w:rsidRPr="00DC3FB5">
        <w:rPr>
          <w:rFonts w:asciiTheme="minorHAnsi" w:hAnsiTheme="minorHAnsi" w:cstheme="minorHAnsi"/>
        </w:rPr>
        <w:t xml:space="preserve"> s tím, že v případě potřeby budou též zpřístupněny vybrané nutné informace a dokumenty (např. uživatelská dokumentace, popisy architektury řešení, konfigurací a nastavení použitých komponent, popisy komunikačních protokolů, apod.). Maximální zatížení zaměstnanců </w:t>
      </w:r>
      <w:r w:rsidR="00375F87" w:rsidRPr="00DC3FB5">
        <w:rPr>
          <w:rFonts w:asciiTheme="minorHAnsi" w:hAnsiTheme="minorHAnsi" w:cstheme="minorHAnsi"/>
        </w:rPr>
        <w:t>Objednatele</w:t>
      </w:r>
      <w:r w:rsidRPr="00DC3FB5">
        <w:rPr>
          <w:rFonts w:asciiTheme="minorHAnsi" w:hAnsiTheme="minorHAnsi" w:cstheme="minorHAnsi"/>
        </w:rPr>
        <w:t xml:space="preserve"> nepřekročí </w:t>
      </w:r>
      <w:r w:rsidR="00495388">
        <w:rPr>
          <w:rFonts w:asciiTheme="minorHAnsi" w:hAnsiTheme="minorHAnsi" w:cstheme="minorHAnsi"/>
        </w:rPr>
        <w:t>10</w:t>
      </w:r>
      <w:r w:rsidR="00D86B8B">
        <w:rPr>
          <w:rFonts w:asciiTheme="minorHAnsi" w:hAnsiTheme="minorHAnsi" w:cstheme="minorHAnsi"/>
        </w:rPr>
        <w:t xml:space="preserve"> ČLD</w:t>
      </w:r>
      <w:r w:rsidRPr="00DC3FB5">
        <w:rPr>
          <w:rFonts w:asciiTheme="minorHAnsi" w:hAnsiTheme="minorHAnsi" w:cstheme="minorHAnsi"/>
        </w:rPr>
        <w:t xml:space="preserve">. </w:t>
      </w:r>
    </w:p>
    <w:p w14:paraId="4DC28E8D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3BE3A8BD" w14:textId="78E21CCB" w:rsidR="0012746B" w:rsidRPr="00DC3FB5" w:rsidRDefault="0012746B" w:rsidP="0012746B">
      <w:p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 Po dobu provádění </w:t>
      </w:r>
      <w:r w:rsidR="00D86B8B">
        <w:rPr>
          <w:rFonts w:asciiTheme="minorHAnsi" w:hAnsiTheme="minorHAnsi" w:cstheme="minorHAnsi"/>
        </w:rPr>
        <w:t xml:space="preserve">bezpečnostních a </w:t>
      </w:r>
      <w:r w:rsidRPr="00DC3FB5">
        <w:rPr>
          <w:rFonts w:asciiTheme="minorHAnsi" w:hAnsiTheme="minorHAnsi" w:cstheme="minorHAnsi"/>
        </w:rPr>
        <w:t>penetračních testů budou</w:t>
      </w:r>
      <w:r w:rsidR="00886474" w:rsidRPr="00DC3FB5">
        <w:rPr>
          <w:rFonts w:asciiTheme="minorHAnsi" w:hAnsiTheme="minorHAnsi" w:cstheme="minorHAnsi"/>
        </w:rPr>
        <w:t xml:space="preserve"> </w:t>
      </w:r>
      <w:r w:rsidR="0095413A" w:rsidRPr="00DC3FB5">
        <w:rPr>
          <w:rFonts w:asciiTheme="minorHAnsi" w:hAnsiTheme="minorHAnsi" w:cstheme="minorHAnsi"/>
        </w:rPr>
        <w:t>v rámci součinnosti</w:t>
      </w:r>
      <w:r w:rsidR="00D31519" w:rsidRPr="00DC3FB5">
        <w:rPr>
          <w:rFonts w:asciiTheme="minorHAnsi" w:hAnsiTheme="minorHAnsi" w:cstheme="minorHAnsi"/>
        </w:rPr>
        <w:t>,</w:t>
      </w:r>
      <w:r w:rsidR="0095413A" w:rsidRPr="00DC3FB5">
        <w:rPr>
          <w:rFonts w:asciiTheme="minorHAnsi" w:hAnsiTheme="minorHAnsi" w:cstheme="minorHAnsi"/>
        </w:rPr>
        <w:t xml:space="preserve"> </w:t>
      </w:r>
      <w:r w:rsidR="00886474" w:rsidRPr="00DC3FB5">
        <w:rPr>
          <w:rFonts w:asciiTheme="minorHAnsi" w:hAnsiTheme="minorHAnsi" w:cstheme="minorHAnsi"/>
        </w:rPr>
        <w:t>Objednatelem</w:t>
      </w:r>
      <w:r w:rsidRPr="00DC3FB5">
        <w:rPr>
          <w:rFonts w:asciiTheme="minorHAnsi" w:hAnsiTheme="minorHAnsi" w:cstheme="minorHAnsi"/>
        </w:rPr>
        <w:t xml:space="preserve"> zajištěny</w:t>
      </w:r>
      <w:r w:rsidR="0095413A" w:rsidRPr="00DC3FB5">
        <w:rPr>
          <w:rFonts w:asciiTheme="minorHAnsi" w:hAnsiTheme="minorHAnsi" w:cstheme="minorHAnsi"/>
        </w:rPr>
        <w:t xml:space="preserve"> tyto technologické podmínky</w:t>
      </w:r>
      <w:r w:rsidRPr="00DC3FB5">
        <w:rPr>
          <w:rFonts w:asciiTheme="minorHAnsi" w:hAnsiTheme="minorHAnsi" w:cstheme="minorHAnsi"/>
        </w:rPr>
        <w:t xml:space="preserve">: </w:t>
      </w:r>
    </w:p>
    <w:p w14:paraId="27CD3B9F" w14:textId="117EFD3B" w:rsidR="0012746B" w:rsidRPr="00DC3FB5" w:rsidRDefault="0012746B" w:rsidP="00113FB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Stabilita testovaných prostředí (zejména z hlediska konfigurace, prvků a verzí systémového a aplikačního vybavení)</w:t>
      </w:r>
    </w:p>
    <w:p w14:paraId="0774F7E4" w14:textId="77777777" w:rsidR="0012746B" w:rsidRPr="00DC3FB5" w:rsidRDefault="0012746B" w:rsidP="0012746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Dostatečná exkluzivita k provedení testů v tom smyslu, že nebudou prováděny jiné aktivity, které by s testováním byly kolizní (např. zátěžové testy, rekonfigurace apod.).</w:t>
      </w:r>
    </w:p>
    <w:p w14:paraId="2D5690FD" w14:textId="16D0B51E" w:rsidR="0012746B" w:rsidRPr="00DC3FB5" w:rsidRDefault="0012746B" w:rsidP="00113FB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Případné potřebné přístupy, role a účty nutné k testování. </w:t>
      </w:r>
    </w:p>
    <w:p w14:paraId="6D05055C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74AB9740" w14:textId="77777777" w:rsidR="0012746B" w:rsidRPr="00DC3FB5" w:rsidRDefault="0012746B" w:rsidP="0012746B">
      <w:p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Testy budou prováděny takovým způsobem, aby byla minimalizována rizika jejich negativního dopadu na infrastrukturu a aplikace </w:t>
      </w:r>
      <w:r w:rsidR="00375F87" w:rsidRPr="00DC3FB5">
        <w:rPr>
          <w:rFonts w:asciiTheme="minorHAnsi" w:hAnsiTheme="minorHAnsi" w:cstheme="minorHAnsi"/>
        </w:rPr>
        <w:t>Objednatele</w:t>
      </w:r>
      <w:r w:rsidRPr="00DC3FB5">
        <w:rPr>
          <w:rFonts w:asciiTheme="minorHAnsi" w:hAnsiTheme="minorHAnsi" w:cstheme="minorHAnsi"/>
        </w:rPr>
        <w:t>, zejména:</w:t>
      </w:r>
    </w:p>
    <w:p w14:paraId="75D663C3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3CBE373C" w14:textId="77777777" w:rsidR="0012746B" w:rsidRPr="00DC3FB5" w:rsidRDefault="0012746B" w:rsidP="0012746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testy budou prováděny ve stanovených prostředích a ve stanoveném rozsahu</w:t>
      </w:r>
    </w:p>
    <w:p w14:paraId="5A3FF9E2" w14:textId="77777777" w:rsidR="0012746B" w:rsidRPr="00DC3FB5" w:rsidRDefault="0012746B" w:rsidP="0012746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automatizované nástroje (např. skenery zranitelností) budou nastaveny po dohodě</w:t>
      </w:r>
      <w:r w:rsidR="00F351EA" w:rsidRPr="00DC3FB5">
        <w:rPr>
          <w:rFonts w:asciiTheme="minorHAnsi" w:hAnsiTheme="minorHAnsi" w:cstheme="minorHAnsi"/>
        </w:rPr>
        <w:t xml:space="preserve"> s Objednatelem</w:t>
      </w:r>
      <w:r w:rsidRPr="00DC3FB5">
        <w:rPr>
          <w:rFonts w:asciiTheme="minorHAnsi" w:hAnsiTheme="minorHAnsi" w:cstheme="minorHAnsi"/>
        </w:rPr>
        <w:t xml:space="preserve"> s akceptovatelnou mírou intenzity skenování. Nebudou prováděny činnosti, které by mohly závažným způsobem negativně ovlivnit provozovanou internetovou/intranetovou infrastrukturu bez předešlého souhlasu pověřených pracovníků MZe.</w:t>
      </w:r>
    </w:p>
    <w:p w14:paraId="6362412B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4B53FB0E" w14:textId="0C40CED0" w:rsidR="00DF0B41" w:rsidRPr="00C22A78" w:rsidRDefault="0012746B" w:rsidP="003A28EA">
      <w:pPr>
        <w:jc w:val="both"/>
        <w:rPr>
          <w:b/>
        </w:rPr>
      </w:pPr>
      <w:r w:rsidRPr="00DC3FB5">
        <w:rPr>
          <w:rFonts w:asciiTheme="minorHAnsi" w:hAnsiTheme="minorHAnsi" w:cstheme="minorHAnsi"/>
        </w:rPr>
        <w:t>V případě zjištění závažné chyby může být, po dohodě s MZe, provedeno</w:t>
      </w:r>
      <w:r w:rsidR="00225036" w:rsidRPr="00DC3FB5">
        <w:rPr>
          <w:rFonts w:asciiTheme="minorHAnsi" w:hAnsiTheme="minorHAnsi" w:cstheme="minorHAnsi"/>
        </w:rPr>
        <w:t xml:space="preserve"> intenzivnější </w:t>
      </w:r>
      <w:r w:rsidR="0095413A" w:rsidRPr="00DC3FB5">
        <w:rPr>
          <w:rFonts w:asciiTheme="minorHAnsi" w:hAnsiTheme="minorHAnsi" w:cstheme="minorHAnsi"/>
        </w:rPr>
        <w:t xml:space="preserve">(s dopadem do </w:t>
      </w:r>
      <w:r w:rsidR="00E84D27" w:rsidRPr="00DC3FB5">
        <w:rPr>
          <w:rFonts w:asciiTheme="minorHAnsi" w:hAnsiTheme="minorHAnsi" w:cstheme="minorHAnsi"/>
        </w:rPr>
        <w:t>dostupnosti) nebo</w:t>
      </w:r>
      <w:r w:rsidR="0095413A" w:rsidRPr="00DC3FB5">
        <w:rPr>
          <w:rFonts w:asciiTheme="minorHAnsi" w:hAnsiTheme="minorHAnsi" w:cstheme="minorHAnsi"/>
        </w:rPr>
        <w:t xml:space="preserve"> </w:t>
      </w:r>
      <w:r w:rsidR="00E84D27" w:rsidRPr="00DC3FB5">
        <w:rPr>
          <w:rFonts w:asciiTheme="minorHAnsi" w:hAnsiTheme="minorHAnsi" w:cstheme="minorHAnsi"/>
        </w:rPr>
        <w:t>invazivnější (s dopadem</w:t>
      </w:r>
      <w:r w:rsidR="0095413A" w:rsidRPr="00DC3FB5">
        <w:rPr>
          <w:rFonts w:asciiTheme="minorHAnsi" w:hAnsiTheme="minorHAnsi" w:cstheme="minorHAnsi"/>
        </w:rPr>
        <w:t xml:space="preserve"> do stability) </w:t>
      </w:r>
      <w:r w:rsidR="00225036" w:rsidRPr="00DC3FB5">
        <w:rPr>
          <w:rFonts w:asciiTheme="minorHAnsi" w:hAnsiTheme="minorHAnsi" w:cstheme="minorHAnsi"/>
        </w:rPr>
        <w:t>prověření</w:t>
      </w:r>
      <w:r w:rsidRPr="00DC3FB5">
        <w:rPr>
          <w:rFonts w:asciiTheme="minorHAnsi" w:hAnsiTheme="minorHAnsi" w:cstheme="minorHAnsi"/>
        </w:rPr>
        <w:t>.</w:t>
      </w:r>
      <w:r w:rsidR="0095413A" w:rsidRPr="00DC3FB5">
        <w:rPr>
          <w:rFonts w:asciiTheme="minorHAnsi" w:hAnsiTheme="minorHAnsi" w:cstheme="minorHAnsi"/>
        </w:rPr>
        <w:t xml:space="preserve"> Pro tyto potřeby musí být vyhrazen samostatný termín nebo režim, po schválení Objednatelem.</w:t>
      </w:r>
      <w:r w:rsidR="003A28EA" w:rsidRPr="00DC3FB5">
        <w:rPr>
          <w:rFonts w:asciiTheme="minorHAnsi" w:hAnsiTheme="minorHAnsi" w:cstheme="minorHAnsi"/>
        </w:rPr>
        <w:t xml:space="preserve"> </w:t>
      </w:r>
      <w:r w:rsidR="00DF0B41" w:rsidRPr="00DC3FB5">
        <w:rPr>
          <w:rFonts w:asciiTheme="minorHAnsi" w:hAnsiTheme="minorHAnsi" w:cstheme="minorHAnsi"/>
        </w:rPr>
        <w:t xml:space="preserve">Pro vyloučení pochybností smluvní strany uvádí, že v souladu s článkem </w:t>
      </w:r>
      <w:r w:rsidR="00016C8E" w:rsidRPr="00DC3FB5">
        <w:rPr>
          <w:rFonts w:asciiTheme="minorHAnsi" w:hAnsiTheme="minorHAnsi" w:cstheme="minorHAnsi"/>
        </w:rPr>
        <w:t>4.4</w:t>
      </w:r>
      <w:r w:rsidR="00DF0B41" w:rsidRPr="00DC3FB5">
        <w:rPr>
          <w:rFonts w:asciiTheme="minorHAnsi" w:hAnsiTheme="minorHAnsi" w:cstheme="minorHAnsi"/>
        </w:rPr>
        <w:t xml:space="preserve"> rámcové smlouvy výše uvedené služby jsou služby, které </w:t>
      </w:r>
      <w:r w:rsidR="00016C8E" w:rsidRPr="00DC3FB5">
        <w:rPr>
          <w:rFonts w:asciiTheme="minorHAnsi" w:hAnsiTheme="minorHAnsi" w:cstheme="minorHAnsi"/>
        </w:rPr>
        <w:t>b</w:t>
      </w:r>
      <w:r w:rsidR="00DF0B41" w:rsidRPr="00DC3FB5">
        <w:rPr>
          <w:rFonts w:asciiTheme="minorHAnsi" w:hAnsiTheme="minorHAnsi" w:cstheme="minorHAnsi"/>
        </w:rPr>
        <w:t>udou evidovány ve Výkazech</w:t>
      </w:r>
      <w:r w:rsidR="00016C8E" w:rsidRPr="00DC3FB5">
        <w:rPr>
          <w:rFonts w:asciiTheme="minorHAnsi" w:hAnsiTheme="minorHAnsi" w:cstheme="minorHAnsi"/>
        </w:rPr>
        <w:t xml:space="preserve"> poskytnutých služeb</w:t>
      </w:r>
      <w:r w:rsidR="00DF0B41" w:rsidRPr="00DC3FB5">
        <w:rPr>
          <w:rFonts w:asciiTheme="minorHAnsi" w:hAnsiTheme="minorHAnsi" w:cstheme="minorHAnsi"/>
        </w:rPr>
        <w:t xml:space="preserve"> předložených Poskytovatelem Objednateli po ukončení měsíce, ve kterém byly </w:t>
      </w:r>
      <w:r w:rsidR="00B24C91" w:rsidRPr="00DC3FB5">
        <w:rPr>
          <w:rFonts w:asciiTheme="minorHAnsi" w:hAnsiTheme="minorHAnsi" w:cstheme="minorHAnsi"/>
        </w:rPr>
        <w:t>služby</w:t>
      </w:r>
      <w:r w:rsidR="00DF0B41" w:rsidRPr="00DC3FB5">
        <w:rPr>
          <w:rFonts w:asciiTheme="minorHAnsi" w:hAnsiTheme="minorHAnsi" w:cstheme="minorHAnsi"/>
        </w:rPr>
        <w:t xml:space="preserve"> poskytovány.</w:t>
      </w:r>
      <w:r w:rsidR="009C3AF8" w:rsidRPr="00DC3FB5">
        <w:rPr>
          <w:rFonts w:asciiTheme="minorHAnsi" w:hAnsiTheme="minorHAnsi" w:cstheme="minorHAnsi"/>
        </w:rPr>
        <w:t xml:space="preserve"> Za tímto účelem bude Poskytovatel předávat elektronicky týdenní předběžné souhrny těchto služeb jako podklad pro měsíční kontrolu skutečně provedených a poskytnutých služeb. Akceptace skutečně provedených a poskytnutých služeb se provádí na základě schválení výkazu poskytnutých služeb.</w:t>
      </w:r>
      <w:r w:rsidR="009C3AF8">
        <w:t xml:space="preserve"> </w:t>
      </w:r>
    </w:p>
    <w:p w14:paraId="6FD31C14" w14:textId="77777777" w:rsidR="00156C98" w:rsidRDefault="00156C98" w:rsidP="00156C98">
      <w:pPr>
        <w:rPr>
          <w:rFonts w:eastAsia="Times New Roman" w:cs="Arial"/>
          <w:highlight w:val="yellow"/>
        </w:rPr>
      </w:pPr>
    </w:p>
    <w:p w14:paraId="451A8B24" w14:textId="2882C9A7" w:rsidR="00B84601" w:rsidRDefault="00B84601">
      <w:pPr>
        <w:rPr>
          <w:rFonts w:eastAsia="Times New Roman" w:cs="Arial"/>
          <w:highlight w:val="yellow"/>
        </w:rPr>
      </w:pPr>
    </w:p>
    <w:p w14:paraId="10E91CDC" w14:textId="77777777" w:rsidR="00CB0E4F" w:rsidRPr="003D2ABF" w:rsidRDefault="00CB0E4F" w:rsidP="00CB0E4F">
      <w:pPr>
        <w:pStyle w:val="RLlneksmlouvy"/>
        <w:numPr>
          <w:ilvl w:val="0"/>
          <w:numId w:val="0"/>
        </w:numPr>
        <w:ind w:left="737" w:hanging="737"/>
        <w:jc w:val="center"/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t>Příloha č. 2</w:t>
      </w:r>
    </w:p>
    <w:p w14:paraId="2BF7F576" w14:textId="77777777" w:rsidR="00BF62CF" w:rsidRPr="003D2ABF" w:rsidRDefault="00CB0E4F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  <w:szCs w:val="22"/>
        </w:rPr>
        <w:t>Harmonogram</w:t>
      </w:r>
      <w:r w:rsidR="0048755A" w:rsidRPr="003D2ABF">
        <w:rPr>
          <w:rFonts w:asciiTheme="minorHAnsi" w:hAnsiTheme="minorHAnsi" w:cstheme="minorHAnsi"/>
          <w:b/>
          <w:szCs w:val="22"/>
        </w:rPr>
        <w:t xml:space="preserve"> a termín</w:t>
      </w:r>
      <w:r w:rsidRPr="003D2ABF">
        <w:rPr>
          <w:rFonts w:asciiTheme="minorHAnsi" w:hAnsiTheme="minorHAnsi" w:cstheme="minorHAnsi"/>
          <w:b/>
          <w:szCs w:val="22"/>
        </w:rPr>
        <w:t xml:space="preserve"> plnění</w:t>
      </w:r>
    </w:p>
    <w:p w14:paraId="1ED05C58" w14:textId="62907134" w:rsidR="00CB0E4F" w:rsidRPr="003D2ABF" w:rsidRDefault="00F83267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</w:rPr>
        <w:t xml:space="preserve">Závazný </w:t>
      </w:r>
      <w:r w:rsidR="00CB0E4F" w:rsidRPr="003D2ABF">
        <w:rPr>
          <w:rFonts w:asciiTheme="minorHAnsi" w:hAnsiTheme="minorHAnsi" w:cstheme="minorHAnsi"/>
          <w:b/>
        </w:rPr>
        <w:t>harmonogram</w:t>
      </w:r>
      <w:r w:rsidR="00696202" w:rsidRPr="003D2ABF">
        <w:rPr>
          <w:rFonts w:asciiTheme="minorHAnsi" w:hAnsiTheme="minorHAnsi" w:cstheme="minorHAnsi"/>
          <w:b/>
        </w:rPr>
        <w:t xml:space="preserve"> plnění</w:t>
      </w:r>
      <w:r w:rsidR="00CB0E4F" w:rsidRPr="003D2ABF">
        <w:rPr>
          <w:rFonts w:asciiTheme="minorHAnsi" w:hAnsiTheme="minorHAnsi" w:cstheme="minorHAnsi"/>
          <w:b/>
        </w:rPr>
        <w:t xml:space="preserve"> </w:t>
      </w:r>
    </w:p>
    <w:p w14:paraId="23053F6C" w14:textId="4178DBF5" w:rsidR="00D31519" w:rsidRPr="003D2ABF" w:rsidRDefault="00CB0E4F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Penetrační testy </w:t>
      </w:r>
      <w:r w:rsidR="00A932B5">
        <w:rPr>
          <w:rFonts w:asciiTheme="minorHAnsi" w:hAnsiTheme="minorHAnsi" w:cstheme="minorHAnsi"/>
        </w:rPr>
        <w:t xml:space="preserve">a bezpečnostní audity </w:t>
      </w:r>
      <w:r w:rsidRPr="003D2ABF">
        <w:rPr>
          <w:rFonts w:asciiTheme="minorHAnsi" w:hAnsiTheme="minorHAnsi" w:cstheme="minorHAnsi"/>
        </w:rPr>
        <w:t>budou probíhat v předem stanovených termínech po</w:t>
      </w:r>
      <w:r w:rsidR="003B2E76" w:rsidRPr="003D2ABF">
        <w:rPr>
          <w:rFonts w:asciiTheme="minorHAnsi" w:hAnsiTheme="minorHAnsi" w:cstheme="minorHAnsi"/>
        </w:rPr>
        <w:t xml:space="preserve"> vzájemné </w:t>
      </w:r>
      <w:r w:rsidRPr="003D2ABF">
        <w:rPr>
          <w:rFonts w:asciiTheme="minorHAnsi" w:hAnsiTheme="minorHAnsi" w:cstheme="minorHAnsi"/>
        </w:rPr>
        <w:t>dohodě</w:t>
      </w:r>
      <w:r w:rsidR="003B2E76" w:rsidRPr="003D2ABF">
        <w:rPr>
          <w:rFonts w:asciiTheme="minorHAnsi" w:hAnsiTheme="minorHAnsi" w:cstheme="minorHAnsi"/>
        </w:rPr>
        <w:t xml:space="preserve"> Objednatele a Poskytovatele</w:t>
      </w:r>
      <w:r w:rsidR="00F351EA" w:rsidRPr="003D2ABF">
        <w:rPr>
          <w:rFonts w:asciiTheme="minorHAnsi" w:hAnsiTheme="minorHAnsi" w:cstheme="minorHAnsi"/>
        </w:rPr>
        <w:t>,</w:t>
      </w:r>
      <w:r w:rsidR="003B2E76" w:rsidRPr="003D2ABF">
        <w:rPr>
          <w:rFonts w:asciiTheme="minorHAnsi" w:hAnsiTheme="minorHAnsi" w:cstheme="minorHAnsi"/>
        </w:rPr>
        <w:t xml:space="preserve"> a to v rámci platnosti této </w:t>
      </w:r>
      <w:r w:rsidR="00F351EA" w:rsidRPr="003D2ABF">
        <w:rPr>
          <w:rFonts w:asciiTheme="minorHAnsi" w:hAnsiTheme="minorHAnsi" w:cstheme="minorHAnsi"/>
        </w:rPr>
        <w:t xml:space="preserve">Prováděcí </w:t>
      </w:r>
      <w:r w:rsidR="003B2E76" w:rsidRPr="003D2ABF">
        <w:rPr>
          <w:rFonts w:asciiTheme="minorHAnsi" w:hAnsiTheme="minorHAnsi" w:cstheme="minorHAnsi"/>
        </w:rPr>
        <w:t>smlouvy a jejího trvání.</w:t>
      </w:r>
    </w:p>
    <w:p w14:paraId="38F8CF1C" w14:textId="77777777" w:rsidR="002A607F" w:rsidRPr="003D2ABF" w:rsidRDefault="00D31519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Dohoda termínů provedení jednotlivých činností bude uskutečňována v rámci společných jednání. Z těchto jednání bude prováděn zápis, </w:t>
      </w:r>
      <w:r w:rsidR="002A607F" w:rsidRPr="003D2ABF">
        <w:rPr>
          <w:rFonts w:asciiTheme="minorHAnsi" w:hAnsiTheme="minorHAnsi" w:cstheme="minorHAnsi"/>
        </w:rPr>
        <w:t>jež bude obsahovat závazné termíny pro uskutečnění jednotlivých dílčích činností.</w:t>
      </w:r>
      <w:r w:rsidR="003B2E76" w:rsidRPr="003D2ABF">
        <w:rPr>
          <w:rFonts w:asciiTheme="minorHAnsi" w:hAnsiTheme="minorHAnsi" w:cstheme="minorHAnsi"/>
        </w:rPr>
        <w:t xml:space="preserve"> </w:t>
      </w:r>
      <w:r w:rsidR="002A607F" w:rsidRPr="003D2ABF">
        <w:rPr>
          <w:rFonts w:asciiTheme="minorHAnsi" w:hAnsiTheme="minorHAnsi" w:cstheme="minorHAnsi"/>
        </w:rPr>
        <w:t>V případě nedodržení termínu realizace bude uplatněna sankce dle článku 9.1. Rámcové smlouvy.</w:t>
      </w:r>
    </w:p>
    <w:p w14:paraId="3A7368D9" w14:textId="6EE39AF5" w:rsidR="00CB0E4F" w:rsidRDefault="003B2E76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>Pro potřeby testů mohou být</w:t>
      </w:r>
      <w:r w:rsidR="00CB0E4F" w:rsidRPr="003D2ABF">
        <w:rPr>
          <w:rFonts w:asciiTheme="minorHAnsi" w:hAnsiTheme="minorHAnsi" w:cstheme="minorHAnsi"/>
        </w:rPr>
        <w:t xml:space="preserve"> využívány doby mimo provozní špičky</w:t>
      </w:r>
      <w:r w:rsidRPr="003D2ABF">
        <w:rPr>
          <w:rFonts w:asciiTheme="minorHAnsi" w:hAnsiTheme="minorHAnsi" w:cstheme="minorHAnsi"/>
        </w:rPr>
        <w:t>, tedy v době v pracovních dnech od 18 do 6 hodin a o víkendech</w:t>
      </w:r>
      <w:r w:rsidR="002E191F">
        <w:rPr>
          <w:rFonts w:asciiTheme="minorHAnsi" w:hAnsiTheme="minorHAnsi" w:cstheme="minorHAnsi"/>
        </w:rPr>
        <w:t>, případně dle domluvy s Objednatelem</w:t>
      </w:r>
      <w:r w:rsidR="00CB0E4F" w:rsidRPr="003D2ABF">
        <w:rPr>
          <w:rFonts w:asciiTheme="minorHAnsi" w:hAnsiTheme="minorHAnsi" w:cstheme="minorHAnsi"/>
        </w:rPr>
        <w:t xml:space="preserve">. K ukončení </w:t>
      </w:r>
      <w:r w:rsidR="00CB0E4F" w:rsidRPr="00D86B8B">
        <w:rPr>
          <w:rFonts w:asciiTheme="minorHAnsi" w:hAnsiTheme="minorHAnsi" w:cstheme="minorHAnsi"/>
        </w:rPr>
        <w:t xml:space="preserve">služby dojde </w:t>
      </w:r>
      <w:r w:rsidR="00495388">
        <w:rPr>
          <w:rFonts w:asciiTheme="minorHAnsi" w:hAnsiTheme="minorHAnsi" w:cstheme="minorHAnsi"/>
        </w:rPr>
        <w:t xml:space="preserve">do </w:t>
      </w:r>
      <w:proofErr w:type="gramStart"/>
      <w:r w:rsidR="00495388">
        <w:rPr>
          <w:rFonts w:asciiTheme="minorHAnsi" w:hAnsiTheme="minorHAnsi" w:cstheme="minorHAnsi"/>
        </w:rPr>
        <w:t>31.10.2023</w:t>
      </w:r>
      <w:proofErr w:type="gramEnd"/>
      <w:r w:rsidR="00CB0E4F" w:rsidRPr="003D2ABF">
        <w:rPr>
          <w:rFonts w:asciiTheme="minorHAnsi" w:hAnsiTheme="minorHAnsi" w:cstheme="minorHAnsi"/>
        </w:rPr>
        <w:t>.</w:t>
      </w:r>
    </w:p>
    <w:p w14:paraId="0BCF96E3" w14:textId="77777777" w:rsidR="003D2ABF" w:rsidRPr="003D2ABF" w:rsidRDefault="003D2ABF" w:rsidP="00CB0E4F">
      <w:pPr>
        <w:keepNext/>
        <w:keepLines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773"/>
        <w:gridCol w:w="196"/>
      </w:tblGrid>
      <w:tr w:rsidR="00CB0E4F" w:rsidRPr="003D2ABF" w14:paraId="795AD2D3" w14:textId="77777777" w:rsidTr="00B348A8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88A0E3E" w14:textId="77777777" w:rsidR="00CB0E4F" w:rsidRPr="003D2ABF" w:rsidRDefault="00CB0E4F" w:rsidP="000B66FA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Fáze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63515051" w14:textId="440A4463" w:rsidR="00CB0E4F" w:rsidRPr="003D2ABF" w:rsidRDefault="00CB0E4F" w:rsidP="00886474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Název</w:t>
            </w:r>
            <w:r w:rsidR="00886474" w:rsidRPr="003D2ABF">
              <w:rPr>
                <w:rFonts w:asciiTheme="minorHAnsi" w:hAnsiTheme="minorHAnsi" w:cstheme="minorHAnsi"/>
                <w:szCs w:val="22"/>
              </w:rPr>
              <w:t xml:space="preserve"> činnosti</w:t>
            </w:r>
            <w:r w:rsidRPr="003D2AB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41830D91" w14:textId="0121D631" w:rsidR="00CB0E4F" w:rsidRPr="003D2ABF" w:rsidRDefault="00CB0E4F" w:rsidP="002E191F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 xml:space="preserve"> (ČL</w:t>
            </w:r>
            <w:r w:rsidR="002E191F">
              <w:rPr>
                <w:rFonts w:asciiTheme="minorHAnsi" w:hAnsiTheme="minorHAnsi" w:cstheme="minorHAnsi"/>
                <w:szCs w:val="22"/>
              </w:rPr>
              <w:t>D</w:t>
            </w:r>
            <w:r w:rsidR="0047487D" w:rsidRPr="003D2ABF"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  <w:r w:rsidRPr="003D2AB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5BAC3ADB" w14:textId="77777777" w:rsidR="00CB0E4F" w:rsidRPr="003D2ABF" w:rsidRDefault="00CB0E4F" w:rsidP="000B66FA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D6A71" w:rsidRPr="00D1391D" w14:paraId="5D06F3AD" w14:textId="77777777" w:rsidTr="00B348A8">
        <w:trPr>
          <w:cantSplit/>
        </w:trPr>
        <w:tc>
          <w:tcPr>
            <w:tcW w:w="851" w:type="dxa"/>
          </w:tcPr>
          <w:p w14:paraId="2C56DEBE" w14:textId="77777777" w:rsidR="006D6A71" w:rsidRPr="00D1391D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D1391D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</w:tcPr>
          <w:p w14:paraId="1BABDCB1" w14:textId="73CEDC45" w:rsidR="006D6A71" w:rsidRPr="00D1391D" w:rsidDel="004401AC" w:rsidRDefault="005911D7" w:rsidP="00495388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D1391D">
              <w:rPr>
                <w:rFonts w:asciiTheme="minorHAnsi" w:hAnsiTheme="minorHAnsi" w:cstheme="minorHAnsi"/>
                <w:szCs w:val="22"/>
              </w:rPr>
              <w:t>Provedení penetrační</w:t>
            </w:r>
            <w:r w:rsidR="006D6A71" w:rsidRPr="00D1391D">
              <w:rPr>
                <w:rFonts w:asciiTheme="minorHAnsi" w:hAnsiTheme="minorHAnsi" w:cstheme="minorHAnsi"/>
                <w:szCs w:val="22"/>
              </w:rPr>
              <w:t>h</w:t>
            </w:r>
            <w:r w:rsidRPr="00D1391D">
              <w:rPr>
                <w:rFonts w:asciiTheme="minorHAnsi" w:hAnsiTheme="minorHAnsi" w:cstheme="minorHAnsi"/>
                <w:szCs w:val="22"/>
              </w:rPr>
              <w:t>o</w:t>
            </w:r>
            <w:r w:rsidR="006D6A71" w:rsidRPr="00D1391D">
              <w:rPr>
                <w:rFonts w:asciiTheme="minorHAnsi" w:hAnsiTheme="minorHAnsi" w:cstheme="minorHAnsi"/>
                <w:szCs w:val="22"/>
              </w:rPr>
              <w:t xml:space="preserve"> test</w:t>
            </w:r>
            <w:r w:rsidRPr="00D1391D">
              <w:rPr>
                <w:rFonts w:asciiTheme="minorHAnsi" w:hAnsiTheme="minorHAnsi" w:cstheme="minorHAnsi"/>
                <w:szCs w:val="22"/>
              </w:rPr>
              <w:t>u</w:t>
            </w:r>
            <w:r w:rsidR="006D6A71" w:rsidRPr="00D1391D">
              <w:rPr>
                <w:rFonts w:asciiTheme="minorHAnsi" w:hAnsiTheme="minorHAnsi" w:cstheme="minorHAnsi"/>
                <w:szCs w:val="22"/>
              </w:rPr>
              <w:t xml:space="preserve"> a bezpečnostníh</w:t>
            </w:r>
            <w:r w:rsidRPr="00D1391D">
              <w:rPr>
                <w:rFonts w:asciiTheme="minorHAnsi" w:hAnsiTheme="minorHAnsi" w:cstheme="minorHAnsi"/>
                <w:szCs w:val="22"/>
              </w:rPr>
              <w:t>o</w:t>
            </w:r>
            <w:r w:rsidR="006D6A71" w:rsidRPr="00D1391D">
              <w:rPr>
                <w:rFonts w:asciiTheme="minorHAnsi" w:hAnsiTheme="minorHAnsi" w:cstheme="minorHAnsi"/>
                <w:szCs w:val="22"/>
              </w:rPr>
              <w:t xml:space="preserve"> audit</w:t>
            </w:r>
            <w:r w:rsidRPr="00D1391D">
              <w:rPr>
                <w:rFonts w:asciiTheme="minorHAnsi" w:hAnsiTheme="minorHAnsi" w:cstheme="minorHAnsi"/>
                <w:szCs w:val="22"/>
              </w:rPr>
              <w:t xml:space="preserve">u </w:t>
            </w:r>
            <w:r w:rsidRPr="00D1391D">
              <w:rPr>
                <w:rFonts w:asciiTheme="minorHAnsi" w:hAnsiTheme="minorHAnsi" w:cstheme="minorHAnsi"/>
              </w:rPr>
              <w:t>„</w:t>
            </w:r>
            <w:proofErr w:type="spellStart"/>
            <w:r w:rsidR="00495388" w:rsidRPr="00D1391D">
              <w:rPr>
                <w:rFonts w:asciiTheme="minorHAnsi" w:hAnsiTheme="minorHAnsi" w:cstheme="minorHAnsi"/>
              </w:rPr>
              <w:t>Blackbox</w:t>
            </w:r>
            <w:proofErr w:type="spellEnd"/>
            <w:r w:rsidRPr="00D1391D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773" w:type="dxa"/>
            <w:shd w:val="clear" w:color="auto" w:fill="auto"/>
          </w:tcPr>
          <w:p w14:paraId="2B3E3896" w14:textId="78B0087A" w:rsidR="006D6A71" w:rsidRPr="00D1391D" w:rsidRDefault="008B3E4C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1391D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196" w:type="dxa"/>
            <w:shd w:val="clear" w:color="auto" w:fill="auto"/>
          </w:tcPr>
          <w:p w14:paraId="0D0D9482" w14:textId="77777777" w:rsidR="006D6A71" w:rsidRPr="00D1391D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D6A71" w:rsidRPr="003D2ABF" w14:paraId="4B3F89AF" w14:textId="77777777" w:rsidTr="00B348A8">
        <w:trPr>
          <w:cantSplit/>
        </w:trPr>
        <w:tc>
          <w:tcPr>
            <w:tcW w:w="851" w:type="dxa"/>
            <w:tcBorders>
              <w:top w:val="double" w:sz="4" w:space="0" w:color="auto"/>
            </w:tcBorders>
          </w:tcPr>
          <w:p w14:paraId="3C1F9AED" w14:textId="77777777" w:rsidR="006D6A71" w:rsidRPr="00D1391D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14:paraId="23875542" w14:textId="77777777" w:rsidR="006D6A71" w:rsidRPr="00D1391D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D1391D">
              <w:rPr>
                <w:rFonts w:asciiTheme="minorHAnsi" w:hAnsiTheme="minorHAnsi" w:cstheme="minorHAnsi"/>
                <w:szCs w:val="22"/>
              </w:rPr>
              <w:t>CELKEM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</w:tcPr>
          <w:p w14:paraId="19DE92AE" w14:textId="49F05A91" w:rsidR="006D6A71" w:rsidRPr="00D1391D" w:rsidRDefault="008B3E4C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1391D">
              <w:rPr>
                <w:rFonts w:asciiTheme="minorHAnsi" w:hAnsiTheme="minorHAnsi" w:cstheme="minorHAnsi"/>
                <w:szCs w:val="22"/>
              </w:rPr>
              <w:t>6</w:t>
            </w:r>
            <w:r w:rsidR="006D6A71" w:rsidRPr="00D1391D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196" w:type="dxa"/>
            <w:tcBorders>
              <w:top w:val="double" w:sz="4" w:space="0" w:color="auto"/>
            </w:tcBorders>
            <w:shd w:val="clear" w:color="auto" w:fill="auto"/>
          </w:tcPr>
          <w:p w14:paraId="0AADDE8D" w14:textId="77777777" w:rsidR="006D6A71" w:rsidRPr="00D1391D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F91DCD5" w14:textId="75FD5E87" w:rsidR="00CB0E4F" w:rsidRPr="003D2ABF" w:rsidRDefault="0047487D" w:rsidP="00CB0E4F">
      <w:pPr>
        <w:keepNext/>
        <w:keepLines/>
        <w:jc w:val="both"/>
        <w:rPr>
          <w:rStyle w:val="dn"/>
          <w:rFonts w:asciiTheme="minorHAnsi" w:hAnsiTheme="minorHAnsi" w:cstheme="minorHAnsi"/>
          <w:sz w:val="20"/>
          <w:szCs w:val="20"/>
        </w:rPr>
      </w:pPr>
      <w:r w:rsidRPr="003D2ABF">
        <w:rPr>
          <w:rStyle w:val="Znakapoznpodarou"/>
          <w:rFonts w:asciiTheme="minorHAnsi" w:hAnsiTheme="minorHAnsi" w:cstheme="minorHAnsi"/>
        </w:rPr>
        <w:footnoteRef/>
      </w:r>
      <w:r w:rsidRPr="003D2ABF">
        <w:rPr>
          <w:rFonts w:asciiTheme="minorHAnsi" w:hAnsiTheme="minorHAnsi" w:cstheme="minorHAnsi"/>
        </w:rPr>
        <w:t xml:space="preserve"> </w:t>
      </w:r>
      <w:r w:rsidRPr="003D2ABF">
        <w:rPr>
          <w:rStyle w:val="dn"/>
          <w:rFonts w:asciiTheme="minorHAnsi" w:hAnsiTheme="minorHAnsi" w:cstheme="minorHAnsi"/>
          <w:sz w:val="20"/>
          <w:szCs w:val="20"/>
        </w:rPr>
        <w:t xml:space="preserve">předpokládaný počet </w:t>
      </w:r>
      <w:r w:rsidR="002E191F">
        <w:rPr>
          <w:rStyle w:val="dn"/>
          <w:rFonts w:asciiTheme="minorHAnsi" w:hAnsiTheme="minorHAnsi" w:cstheme="minorHAnsi"/>
          <w:sz w:val="20"/>
          <w:szCs w:val="20"/>
        </w:rPr>
        <w:t>dní</w:t>
      </w:r>
      <w:r w:rsidRPr="003D2ABF">
        <w:rPr>
          <w:rStyle w:val="dn"/>
          <w:rFonts w:asciiTheme="minorHAnsi" w:hAnsiTheme="minorHAnsi" w:cstheme="minorHAnsi"/>
          <w:sz w:val="20"/>
          <w:szCs w:val="20"/>
        </w:rPr>
        <w:t xml:space="preserve"> potřebných na straně poskytovatele k poskytnutí poptávaných služeb</w:t>
      </w:r>
    </w:p>
    <w:p w14:paraId="2985B121" w14:textId="77777777" w:rsidR="0047487D" w:rsidRPr="003D2ABF" w:rsidRDefault="0047487D" w:rsidP="00CB0E4F">
      <w:pPr>
        <w:keepNext/>
        <w:keepLines/>
        <w:jc w:val="both"/>
        <w:rPr>
          <w:rFonts w:asciiTheme="minorHAnsi" w:hAnsiTheme="minorHAnsi" w:cstheme="minorHAnsi"/>
        </w:rPr>
      </w:pPr>
    </w:p>
    <w:p w14:paraId="79D1C48C" w14:textId="39BC8A0C" w:rsidR="00CB0E4F" w:rsidRPr="003D2ABF" w:rsidRDefault="00CB0E4F" w:rsidP="00CB0E4F">
      <w:pPr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V rámci harmonogramu je proveden návrh </w:t>
      </w:r>
      <w:r w:rsidR="00886474" w:rsidRPr="003D2ABF">
        <w:rPr>
          <w:rFonts w:asciiTheme="minorHAnsi" w:hAnsiTheme="minorHAnsi" w:cstheme="minorHAnsi"/>
        </w:rPr>
        <w:t>ČL</w:t>
      </w:r>
      <w:r w:rsidR="002E191F">
        <w:rPr>
          <w:rFonts w:asciiTheme="minorHAnsi" w:hAnsiTheme="minorHAnsi" w:cstheme="minorHAnsi"/>
        </w:rPr>
        <w:t>D</w:t>
      </w:r>
      <w:r w:rsidR="00D969CA" w:rsidRPr="003D2ABF">
        <w:rPr>
          <w:rFonts w:asciiTheme="minorHAnsi" w:hAnsiTheme="minorHAnsi" w:cstheme="minorHAnsi"/>
        </w:rPr>
        <w:t>,</w:t>
      </w:r>
      <w:r w:rsidRPr="003D2ABF">
        <w:rPr>
          <w:rFonts w:asciiTheme="minorHAnsi" w:hAnsiTheme="minorHAnsi" w:cstheme="minorHAnsi"/>
        </w:rPr>
        <w:t xml:space="preserve"> a to v celkové výši </w:t>
      </w:r>
      <w:r w:rsidR="00413C62">
        <w:rPr>
          <w:rFonts w:asciiTheme="minorHAnsi" w:hAnsiTheme="minorHAnsi" w:cstheme="minorHAnsi"/>
        </w:rPr>
        <w:t>uvedené v buňce CELKEM</w:t>
      </w:r>
      <w:r w:rsidR="003B2E76" w:rsidRPr="003D2ABF">
        <w:rPr>
          <w:rFonts w:asciiTheme="minorHAnsi" w:hAnsiTheme="minorHAnsi" w:cstheme="minorHAnsi"/>
        </w:rPr>
        <w:t>,</w:t>
      </w:r>
      <w:r w:rsidR="00BF62CF" w:rsidRPr="003D2ABF">
        <w:rPr>
          <w:rFonts w:asciiTheme="minorHAnsi" w:hAnsiTheme="minorHAnsi" w:cstheme="minorHAnsi"/>
        </w:rPr>
        <w:t xml:space="preserve"> </w:t>
      </w:r>
      <w:r w:rsidR="003B2E76" w:rsidRPr="003D2ABF">
        <w:rPr>
          <w:rFonts w:asciiTheme="minorHAnsi" w:hAnsiTheme="minorHAnsi" w:cstheme="minorHAnsi"/>
        </w:rPr>
        <w:t>tedy celková fakturovaná částka v rámci této prováděcí smlouvy nepřesáhne jejich uvedený počet</w:t>
      </w:r>
      <w:r w:rsidRPr="003D2ABF">
        <w:rPr>
          <w:rFonts w:asciiTheme="minorHAnsi" w:hAnsiTheme="minorHAnsi" w:cstheme="minorHAnsi"/>
        </w:rPr>
        <w:t>.</w:t>
      </w:r>
      <w:r w:rsidR="00886474" w:rsidRPr="003D2ABF" w:rsidDel="00886474">
        <w:rPr>
          <w:rFonts w:asciiTheme="minorHAnsi" w:hAnsiTheme="minorHAnsi" w:cstheme="minorHAnsi"/>
        </w:rPr>
        <w:t xml:space="preserve"> </w:t>
      </w:r>
    </w:p>
    <w:p w14:paraId="6A1C87E2" w14:textId="77777777" w:rsidR="0048755A" w:rsidRPr="003D2ABF" w:rsidRDefault="0048755A" w:rsidP="00BF62CF">
      <w:pPr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>Obecné ujednání:</w:t>
      </w:r>
    </w:p>
    <w:p w14:paraId="6395C94F" w14:textId="77777777" w:rsidR="0048755A" w:rsidRPr="003D2ABF" w:rsidRDefault="0048755A" w:rsidP="0048755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t>Fakturace bude probíhat s odkazem na čl. 4.4 Rámcové smlouvy o poskytování služeb.</w:t>
      </w:r>
    </w:p>
    <w:p w14:paraId="61B4A4A0" w14:textId="77777777" w:rsidR="0048755A" w:rsidRPr="003D2ABF" w:rsidRDefault="0048755A" w:rsidP="00CB0E4F">
      <w:pPr>
        <w:rPr>
          <w:rFonts w:asciiTheme="minorHAnsi" w:hAnsiTheme="minorHAnsi" w:cstheme="minorHAnsi"/>
        </w:rPr>
      </w:pPr>
    </w:p>
    <w:p w14:paraId="0DCA4616" w14:textId="77777777" w:rsidR="00CB0E4F" w:rsidRPr="003D2ABF" w:rsidRDefault="00CB0E4F" w:rsidP="00CB0E4F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  <w:r w:rsidRPr="003D2ABF">
        <w:rPr>
          <w:rFonts w:asciiTheme="minorHAnsi" w:hAnsiTheme="minorHAnsi" w:cstheme="minorHAnsi"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1CEE57B4" w14:textId="77777777" w:rsidR="007C0F11" w:rsidRPr="00DC3FB5" w:rsidRDefault="007C0F11" w:rsidP="007C0F11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proofErr w:type="gramStart"/>
      <w:r>
        <w:rPr>
          <w:rFonts w:asciiTheme="minorHAnsi" w:hAnsiTheme="minorHAnsi" w:cstheme="minorHAnsi"/>
          <w:szCs w:val="22"/>
        </w:rPr>
        <w:t>3.10.2022</w:t>
      </w:r>
      <w:proofErr w:type="gramEnd"/>
      <w:r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  <w:t xml:space="preserve">                      V Praze dne </w:t>
      </w:r>
      <w:r>
        <w:rPr>
          <w:rFonts w:asciiTheme="minorHAnsi" w:hAnsiTheme="minorHAnsi" w:cstheme="minorHAnsi"/>
          <w:szCs w:val="22"/>
        </w:rPr>
        <w:t>26.9.2022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7EA75700" w14:textId="77777777" w:rsidR="007C0F11" w:rsidRDefault="007C0F11" w:rsidP="007C0F11">
      <w:pPr>
        <w:pStyle w:val="RLProhlensmluvnchstran"/>
        <w:jc w:val="both"/>
        <w:rPr>
          <w:rFonts w:asciiTheme="minorHAnsi" w:hAnsiTheme="minorHAnsi" w:cstheme="minorHAnsi"/>
          <w:sz w:val="22"/>
          <w:szCs w:val="22"/>
        </w:rPr>
      </w:pPr>
    </w:p>
    <w:p w14:paraId="19C3DD1D" w14:textId="2DB7153F" w:rsidR="007C0F11" w:rsidRDefault="007C0F11" w:rsidP="007C0F11">
      <w:pPr>
        <w:pStyle w:val="RLProhlensmluvnchstr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Poskytovatel:</w:t>
      </w:r>
      <w:bookmarkStart w:id="0" w:name="_GoBack"/>
      <w:bookmarkEnd w:id="0"/>
    </w:p>
    <w:p w14:paraId="74C18732" w14:textId="77777777" w:rsidR="007C0F11" w:rsidRPr="00DC3FB5" w:rsidRDefault="007C0F11" w:rsidP="007C0F11">
      <w:pPr>
        <w:pStyle w:val="RLProhlensmluvnchstran"/>
        <w:rPr>
          <w:rFonts w:asciiTheme="minorHAnsi" w:hAnsiTheme="minorHAnsi" w:cstheme="minorHAnsi"/>
          <w:sz w:val="22"/>
          <w:szCs w:val="22"/>
        </w:rPr>
      </w:pPr>
    </w:p>
    <w:p w14:paraId="3F6C6E18" w14:textId="77777777" w:rsidR="007C0F11" w:rsidRPr="00DC3FB5" w:rsidRDefault="007C0F11" w:rsidP="007C0F11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Petr Kutálek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Pavel Šiška</w:t>
      </w:r>
    </w:p>
    <w:p w14:paraId="3DC85BF8" w14:textId="77777777" w:rsidR="007C0F11" w:rsidRPr="004E49FE" w:rsidRDefault="007C0F11" w:rsidP="007C0F11">
      <w:pPr>
        <w:pStyle w:val="doplnuchaze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bCs/>
          <w:sz w:val="24"/>
          <w:szCs w:val="24"/>
        </w:rPr>
        <w:t>Česká republika - Ministerstvo zemědělství</w:t>
      </w:r>
      <w:r w:rsidRPr="00DC3FB5">
        <w:rPr>
          <w:rFonts w:asciiTheme="minorHAnsi" w:hAnsiTheme="minorHAnsi" w:cstheme="minorHAnsi"/>
          <w:sz w:val="24"/>
          <w:szCs w:val="24"/>
        </w:rPr>
        <w:t xml:space="preserve"> </w:t>
      </w:r>
      <w:r w:rsidRPr="00DC3FB5">
        <w:rPr>
          <w:rFonts w:asciiTheme="minorHAnsi" w:hAnsiTheme="minorHAnsi" w:cstheme="minorHAnsi"/>
          <w:sz w:val="24"/>
          <w:szCs w:val="24"/>
        </w:rPr>
        <w:tab/>
      </w:r>
      <w:r w:rsidRPr="00DC3FB5">
        <w:rPr>
          <w:rFonts w:asciiTheme="minorHAnsi" w:hAnsiTheme="minorHAnsi" w:cstheme="minorHAnsi"/>
          <w:sz w:val="24"/>
          <w:szCs w:val="24"/>
          <w:lang w:val="cs-CZ"/>
        </w:rPr>
        <w:t xml:space="preserve">                </w:t>
      </w:r>
      <w:proofErr w:type="spellStart"/>
      <w:r w:rsidRPr="004E49FE">
        <w:rPr>
          <w:rFonts w:asciiTheme="minorHAnsi" w:hAnsiTheme="minorHAnsi" w:cstheme="minorHAnsi"/>
          <w:sz w:val="24"/>
          <w:szCs w:val="24"/>
        </w:rPr>
        <w:t>Deloitte</w:t>
      </w:r>
      <w:proofErr w:type="spellEnd"/>
      <w:r w:rsidRPr="004E49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49FE">
        <w:rPr>
          <w:rFonts w:asciiTheme="minorHAnsi" w:hAnsiTheme="minorHAnsi" w:cstheme="minorHAnsi"/>
          <w:sz w:val="24"/>
          <w:szCs w:val="24"/>
        </w:rPr>
        <w:t>A</w:t>
      </w:r>
      <w:r w:rsidRPr="004E49FE">
        <w:rPr>
          <w:rFonts w:asciiTheme="minorHAnsi" w:hAnsiTheme="minorHAnsi" w:cstheme="minorHAnsi"/>
          <w:sz w:val="24"/>
          <w:szCs w:val="24"/>
          <w:lang w:val="cs-CZ"/>
        </w:rPr>
        <w:t>dvisory</w:t>
      </w:r>
      <w:proofErr w:type="spellEnd"/>
      <w:r w:rsidRPr="004E49FE">
        <w:rPr>
          <w:rFonts w:asciiTheme="minorHAnsi" w:hAnsiTheme="minorHAnsi" w:cstheme="minorHAnsi"/>
          <w:sz w:val="24"/>
          <w:szCs w:val="24"/>
          <w:lang w:val="cs-CZ"/>
        </w:rPr>
        <w:t xml:space="preserve"> s.r.o.</w:t>
      </w:r>
    </w:p>
    <w:p w14:paraId="4A7D1D59" w14:textId="77777777" w:rsidR="007C0F11" w:rsidRPr="004E49FE" w:rsidRDefault="007C0F11" w:rsidP="007C0F11">
      <w:pPr>
        <w:pStyle w:val="RLdajeosmluvnstran0"/>
        <w:spacing w:after="0"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4E49FE">
        <w:rPr>
          <w:rFonts w:asciiTheme="minorHAnsi" w:hAnsiTheme="minorHAnsi" w:cstheme="minorHAnsi"/>
          <w:sz w:val="24"/>
          <w:szCs w:val="24"/>
        </w:rPr>
        <w:t xml:space="preserve">     Ing. Petr Kutál</w:t>
      </w:r>
      <w:r w:rsidRPr="004E49FE">
        <w:rPr>
          <w:rFonts w:asciiTheme="minorHAnsi" w:hAnsiTheme="minorHAnsi" w:cstheme="minorHAnsi"/>
          <w:szCs w:val="24"/>
        </w:rPr>
        <w:t>e</w:t>
      </w:r>
      <w:r w:rsidRPr="004E49FE">
        <w:rPr>
          <w:rFonts w:asciiTheme="minorHAnsi" w:hAnsiTheme="minorHAnsi" w:cstheme="minorHAnsi"/>
          <w:sz w:val="24"/>
          <w:szCs w:val="24"/>
        </w:rPr>
        <w:t>k,</w:t>
      </w:r>
      <w:r w:rsidRPr="004E49FE">
        <w:rPr>
          <w:rFonts w:asciiTheme="minorHAnsi" w:hAnsiTheme="minorHAnsi" w:cstheme="minorHAnsi"/>
          <w:sz w:val="24"/>
          <w:szCs w:val="24"/>
        </w:rPr>
        <w:tab/>
      </w:r>
      <w:r w:rsidRPr="004E49FE">
        <w:rPr>
          <w:rFonts w:asciiTheme="minorHAnsi" w:hAnsiTheme="minorHAnsi" w:cstheme="minorHAnsi"/>
          <w:sz w:val="24"/>
          <w:szCs w:val="24"/>
        </w:rPr>
        <w:tab/>
      </w:r>
      <w:r w:rsidRPr="004E49FE">
        <w:rPr>
          <w:rFonts w:asciiTheme="minorHAnsi" w:hAnsiTheme="minorHAnsi" w:cstheme="minorHAnsi"/>
          <w:sz w:val="24"/>
          <w:szCs w:val="24"/>
        </w:rPr>
        <w:tab/>
      </w:r>
      <w:r w:rsidRPr="004E49FE">
        <w:rPr>
          <w:rFonts w:asciiTheme="minorHAnsi" w:hAnsiTheme="minorHAnsi" w:cstheme="minorHAnsi"/>
          <w:sz w:val="24"/>
          <w:szCs w:val="24"/>
        </w:rPr>
        <w:tab/>
        <w:t xml:space="preserve">                    Pavel Šiška, </w:t>
      </w:r>
    </w:p>
    <w:p w14:paraId="3CDBBA85" w14:textId="77777777" w:rsidR="007C0F11" w:rsidRPr="004E49FE" w:rsidRDefault="007C0F11" w:rsidP="007C0F11">
      <w:pPr>
        <w:pStyle w:val="RLdajeosmluvnstran"/>
        <w:framePr w:w="3439" w:hSpace="141" w:wrap="around" w:vAnchor="text" w:hAnchor="page" w:x="1588" w:y="1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ředitel Odboru bezpečnostní politiky a krizového řízení</w:t>
      </w:r>
    </w:p>
    <w:p w14:paraId="548F5C54" w14:textId="77777777" w:rsidR="007C0F11" w:rsidRPr="004E49FE" w:rsidRDefault="007C0F11" w:rsidP="007C0F11">
      <w:pPr>
        <w:pStyle w:val="RLdajeosmluvnstran"/>
        <w:framePr w:w="3439" w:hSpace="141" w:wrap="around" w:vAnchor="text" w:hAnchor="page" w:x="1588" w:y="1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                                   </w:t>
      </w:r>
    </w:p>
    <w:p w14:paraId="1AD5DE75" w14:textId="77777777" w:rsidR="007C0F11" w:rsidRPr="00DC3FB5" w:rsidRDefault="007C0F11" w:rsidP="007C0F11">
      <w:pPr>
        <w:pStyle w:val="RLdajeosmluvnstran"/>
        <w:framePr w:w="3439" w:hSpace="141" w:wrap="around" w:vAnchor="text" w:hAnchor="page" w:x="6712" w:y="35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Partner Poradenství v oblasti Řízení rizik, na základě plné moci </w:t>
      </w:r>
      <w:proofErr w:type="gramStart"/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ze</w:t>
      </w:r>
      <w:proofErr w:type="gramEnd"/>
      <w:r w:rsidRPr="004E49FE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 3. 12. 2021</w:t>
      </w:r>
    </w:p>
    <w:p w14:paraId="3D52045D" w14:textId="77777777" w:rsidR="00B27E33" w:rsidRDefault="00B27E33" w:rsidP="0047487D"/>
    <w:sectPr w:rsidR="00B27E33" w:rsidSect="00B27E33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6808E" w14:textId="77777777" w:rsidR="0073410B" w:rsidRDefault="0073410B" w:rsidP="00156C98">
      <w:r>
        <w:separator/>
      </w:r>
    </w:p>
  </w:endnote>
  <w:endnote w:type="continuationSeparator" w:id="0">
    <w:p w14:paraId="3610165C" w14:textId="77777777" w:rsidR="0073410B" w:rsidRDefault="0073410B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EAB45" w14:textId="7E955A98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C0F1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C0F1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DDC6" w14:textId="77777777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574F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813C9" w14:textId="77777777" w:rsidR="0073410B" w:rsidRDefault="0073410B" w:rsidP="00156C98">
      <w:r>
        <w:separator/>
      </w:r>
    </w:p>
  </w:footnote>
  <w:footnote w:type="continuationSeparator" w:id="0">
    <w:p w14:paraId="6BFC84EC" w14:textId="77777777" w:rsidR="0073410B" w:rsidRDefault="0073410B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1CA8" w14:textId="77777777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služeb - </w:t>
    </w:r>
    <w:r w:rsidRPr="00B91066">
      <w:rPr>
        <w:bCs/>
      </w:rPr>
      <w:t xml:space="preserve">číslo smlouvy: 596-2019-10023, číslo </w:t>
    </w:r>
    <w:proofErr w:type="spellStart"/>
    <w:r w:rsidRPr="00B91066">
      <w:rPr>
        <w:bCs/>
      </w:rPr>
      <w:t>sml</w:t>
    </w:r>
    <w:proofErr w:type="spellEnd"/>
    <w:r w:rsidRPr="00B91066">
      <w:rPr>
        <w:bCs/>
      </w:rPr>
      <w:t>. DMS 55513/2019-MZE-10023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15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16"/>
  </w:num>
  <w:num w:numId="14">
    <w:abstractNumId w:val="3"/>
  </w:num>
  <w:num w:numId="15">
    <w:abstractNumId w:val="2"/>
  </w:num>
  <w:num w:numId="16">
    <w:abstractNumId w:val="11"/>
  </w:num>
  <w:num w:numId="17">
    <w:abstractNumId w:val="17"/>
  </w:num>
  <w:num w:numId="18">
    <w:abstractNumId w:val="18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16B52"/>
    <w:rsid w:val="00016C8E"/>
    <w:rsid w:val="00020E1C"/>
    <w:rsid w:val="00031BBA"/>
    <w:rsid w:val="00041922"/>
    <w:rsid w:val="0005056F"/>
    <w:rsid w:val="0005738A"/>
    <w:rsid w:val="000574FE"/>
    <w:rsid w:val="00097773"/>
    <w:rsid w:val="000B0DCF"/>
    <w:rsid w:val="000B66FA"/>
    <w:rsid w:val="000D7163"/>
    <w:rsid w:val="000E508D"/>
    <w:rsid w:val="00113FBF"/>
    <w:rsid w:val="0012746B"/>
    <w:rsid w:val="00156C98"/>
    <w:rsid w:val="00167A80"/>
    <w:rsid w:val="00216D08"/>
    <w:rsid w:val="00225036"/>
    <w:rsid w:val="00273DBD"/>
    <w:rsid w:val="002746DE"/>
    <w:rsid w:val="00281E6E"/>
    <w:rsid w:val="002853F6"/>
    <w:rsid w:val="0029010C"/>
    <w:rsid w:val="002A0753"/>
    <w:rsid w:val="002A607F"/>
    <w:rsid w:val="002B6C4C"/>
    <w:rsid w:val="002D3DDA"/>
    <w:rsid w:val="002E191F"/>
    <w:rsid w:val="002F3BF8"/>
    <w:rsid w:val="002F6AB8"/>
    <w:rsid w:val="00343B7E"/>
    <w:rsid w:val="003641AF"/>
    <w:rsid w:val="00365B6D"/>
    <w:rsid w:val="00375F87"/>
    <w:rsid w:val="003A28EA"/>
    <w:rsid w:val="003B2E76"/>
    <w:rsid w:val="003C376B"/>
    <w:rsid w:val="003D074E"/>
    <w:rsid w:val="003D2ABF"/>
    <w:rsid w:val="003D5284"/>
    <w:rsid w:val="003F116E"/>
    <w:rsid w:val="00400F61"/>
    <w:rsid w:val="004028EF"/>
    <w:rsid w:val="00412588"/>
    <w:rsid w:val="00413C62"/>
    <w:rsid w:val="00414BE7"/>
    <w:rsid w:val="004167A5"/>
    <w:rsid w:val="00417B93"/>
    <w:rsid w:val="00440F35"/>
    <w:rsid w:val="0045071A"/>
    <w:rsid w:val="00452735"/>
    <w:rsid w:val="004670F8"/>
    <w:rsid w:val="0047487D"/>
    <w:rsid w:val="0048755A"/>
    <w:rsid w:val="00495388"/>
    <w:rsid w:val="004B2A30"/>
    <w:rsid w:val="004B6FEE"/>
    <w:rsid w:val="004E49FE"/>
    <w:rsid w:val="004E7A98"/>
    <w:rsid w:val="00553DE6"/>
    <w:rsid w:val="00562DF2"/>
    <w:rsid w:val="005911D7"/>
    <w:rsid w:val="005B4DEA"/>
    <w:rsid w:val="005F537A"/>
    <w:rsid w:val="0062585F"/>
    <w:rsid w:val="00651607"/>
    <w:rsid w:val="00675912"/>
    <w:rsid w:val="00696202"/>
    <w:rsid w:val="00696451"/>
    <w:rsid w:val="006D6A71"/>
    <w:rsid w:val="006E051D"/>
    <w:rsid w:val="006E5FDD"/>
    <w:rsid w:val="006F16BA"/>
    <w:rsid w:val="007001D2"/>
    <w:rsid w:val="00703CB0"/>
    <w:rsid w:val="00714A44"/>
    <w:rsid w:val="00720957"/>
    <w:rsid w:val="00726AD6"/>
    <w:rsid w:val="0073410B"/>
    <w:rsid w:val="007533C2"/>
    <w:rsid w:val="00755450"/>
    <w:rsid w:val="007A7362"/>
    <w:rsid w:val="007C0F11"/>
    <w:rsid w:val="007C1153"/>
    <w:rsid w:val="007D7E01"/>
    <w:rsid w:val="007E1C61"/>
    <w:rsid w:val="00803050"/>
    <w:rsid w:val="008264D9"/>
    <w:rsid w:val="0084144F"/>
    <w:rsid w:val="00847116"/>
    <w:rsid w:val="0084754F"/>
    <w:rsid w:val="00866FB9"/>
    <w:rsid w:val="00877CD1"/>
    <w:rsid w:val="0088137A"/>
    <w:rsid w:val="0088466A"/>
    <w:rsid w:val="008852E8"/>
    <w:rsid w:val="00886474"/>
    <w:rsid w:val="008950D0"/>
    <w:rsid w:val="008A0D08"/>
    <w:rsid w:val="008B3E4C"/>
    <w:rsid w:val="008C5B33"/>
    <w:rsid w:val="008D0E27"/>
    <w:rsid w:val="008D32CE"/>
    <w:rsid w:val="008F033F"/>
    <w:rsid w:val="009128D2"/>
    <w:rsid w:val="0095413A"/>
    <w:rsid w:val="009728A6"/>
    <w:rsid w:val="009A7AEF"/>
    <w:rsid w:val="009C3AF8"/>
    <w:rsid w:val="009C56BC"/>
    <w:rsid w:val="009D6255"/>
    <w:rsid w:val="009E40DF"/>
    <w:rsid w:val="00A06DC3"/>
    <w:rsid w:val="00A1305D"/>
    <w:rsid w:val="00A13655"/>
    <w:rsid w:val="00A14DC5"/>
    <w:rsid w:val="00A16661"/>
    <w:rsid w:val="00A1794E"/>
    <w:rsid w:val="00A213C8"/>
    <w:rsid w:val="00A247E4"/>
    <w:rsid w:val="00A25927"/>
    <w:rsid w:val="00A304C8"/>
    <w:rsid w:val="00A331EA"/>
    <w:rsid w:val="00A66577"/>
    <w:rsid w:val="00A72B53"/>
    <w:rsid w:val="00A932B5"/>
    <w:rsid w:val="00AA4738"/>
    <w:rsid w:val="00AA7A64"/>
    <w:rsid w:val="00AB1DF2"/>
    <w:rsid w:val="00AB67B6"/>
    <w:rsid w:val="00AE4BD7"/>
    <w:rsid w:val="00B24C91"/>
    <w:rsid w:val="00B27E33"/>
    <w:rsid w:val="00B320DA"/>
    <w:rsid w:val="00B348A8"/>
    <w:rsid w:val="00B418A8"/>
    <w:rsid w:val="00B571E9"/>
    <w:rsid w:val="00B574F6"/>
    <w:rsid w:val="00B63EA0"/>
    <w:rsid w:val="00B74802"/>
    <w:rsid w:val="00B80F74"/>
    <w:rsid w:val="00B84601"/>
    <w:rsid w:val="00B853AF"/>
    <w:rsid w:val="00B85699"/>
    <w:rsid w:val="00B91066"/>
    <w:rsid w:val="00B917DF"/>
    <w:rsid w:val="00BA569C"/>
    <w:rsid w:val="00BA70F8"/>
    <w:rsid w:val="00BA792B"/>
    <w:rsid w:val="00BD4EB9"/>
    <w:rsid w:val="00BF3774"/>
    <w:rsid w:val="00BF46B4"/>
    <w:rsid w:val="00BF5222"/>
    <w:rsid w:val="00BF62CF"/>
    <w:rsid w:val="00BF6FD2"/>
    <w:rsid w:val="00C06070"/>
    <w:rsid w:val="00C22DC3"/>
    <w:rsid w:val="00C338FE"/>
    <w:rsid w:val="00C42D03"/>
    <w:rsid w:val="00C849C3"/>
    <w:rsid w:val="00C937B4"/>
    <w:rsid w:val="00CB0E4F"/>
    <w:rsid w:val="00CB5BC3"/>
    <w:rsid w:val="00CC5499"/>
    <w:rsid w:val="00CE4CE3"/>
    <w:rsid w:val="00CE5ABC"/>
    <w:rsid w:val="00CF6F7E"/>
    <w:rsid w:val="00D02589"/>
    <w:rsid w:val="00D0409F"/>
    <w:rsid w:val="00D07A24"/>
    <w:rsid w:val="00D1391D"/>
    <w:rsid w:val="00D31519"/>
    <w:rsid w:val="00D33D4F"/>
    <w:rsid w:val="00D50C51"/>
    <w:rsid w:val="00D5192E"/>
    <w:rsid w:val="00D64F60"/>
    <w:rsid w:val="00D71AEC"/>
    <w:rsid w:val="00D7512E"/>
    <w:rsid w:val="00D778C5"/>
    <w:rsid w:val="00D86B8B"/>
    <w:rsid w:val="00D969CA"/>
    <w:rsid w:val="00DB0AE2"/>
    <w:rsid w:val="00DB6B38"/>
    <w:rsid w:val="00DC3FB5"/>
    <w:rsid w:val="00DD159F"/>
    <w:rsid w:val="00DE2FE9"/>
    <w:rsid w:val="00DF0B41"/>
    <w:rsid w:val="00DF4D5A"/>
    <w:rsid w:val="00E06945"/>
    <w:rsid w:val="00E37AC7"/>
    <w:rsid w:val="00E84D27"/>
    <w:rsid w:val="00EA7FE6"/>
    <w:rsid w:val="00EB1518"/>
    <w:rsid w:val="00F1327D"/>
    <w:rsid w:val="00F26EFF"/>
    <w:rsid w:val="00F351EA"/>
    <w:rsid w:val="00F368F3"/>
    <w:rsid w:val="00F83267"/>
    <w:rsid w:val="00F91639"/>
    <w:rsid w:val="00F96F6F"/>
    <w:rsid w:val="00FA2808"/>
    <w:rsid w:val="00FA5E04"/>
    <w:rsid w:val="00FB08ED"/>
    <w:rsid w:val="00FB27C2"/>
    <w:rsid w:val="00FB42D5"/>
    <w:rsid w:val="00FC6C26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F2707"/>
  <w15:docId w15:val="{ABE89300-4500-4689-A7FC-40A14FBF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var xmlns="408dc0fb-a9c5-4d65-bb93-3633971d6a85" xsi:nil="true"/>
    <ID_Projektu xmlns="408dc0fb-a9c5-4d65-bb93-3633971d6a85">33</ID_Projektu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PRZ" ma:contentTypeID="0x0101001BE200C948E09E4EBBDA3B8F1F1F507C00DD9162A70A77F64B84E731BD417638BF" ma:contentTypeVersion="18" ma:contentTypeDescription="" ma:contentTypeScope="" ma:versionID="65d6d8364b772a16a7829f622dc0843b">
  <xsd:schema xmlns:xsd="http://www.w3.org/2001/XMLSchema" xmlns:xs="http://www.w3.org/2001/XMLSchema" xmlns:p="http://schemas.microsoft.com/office/2006/metadata/properties" xmlns:ns2="408dc0fb-a9c5-4d65-bb93-3633971d6a85" xmlns:ns3="3ec16b59-11a9-4bfe-8186-7d744e55d36a" targetNamespace="http://schemas.microsoft.com/office/2006/metadata/properties" ma:root="true" ma:fieldsID="1c4b68a42596d8889793986d5786043d" ns2:_="" ns3:_="">
    <xsd:import namespace="408dc0fb-a9c5-4d65-bb93-3633971d6a85"/>
    <xsd:import namespace="3ec16b59-11a9-4bfe-8186-7d744e55d36a"/>
    <xsd:element name="properties">
      <xsd:complexType>
        <xsd:sequence>
          <xsd:element name="documentManagement">
            <xsd:complexType>
              <xsd:all>
                <xsd:element ref="ns2:ID_Projektu" minOccurs="0"/>
                <xsd:element ref="ns3:_dlc_DocId" minOccurs="0"/>
                <xsd:element ref="ns3:_dlc_DocIdUrl" minOccurs="0"/>
                <xsd:element ref="ns3:_dlc_DocIdPersistId" minOccurs="0"/>
                <xsd:element ref="ns2:Utv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dc0fb-a9c5-4d65-bb93-3633971d6a85" elementFormDefault="qualified">
    <xsd:import namespace="http://schemas.microsoft.com/office/2006/documentManagement/types"/>
    <xsd:import namespace="http://schemas.microsoft.com/office/infopath/2007/PartnerControls"/>
    <xsd:element name="ID_Projektu" ma:index="8" nillable="true" ma:displayName="ID_Projektu" ma:indexed="true" ma:list="{e8251c19-b507-4c68-95d4-632bbe55cf58}" ma:internalName="ID_Projektu" ma:readOnly="false" ma:showField="Title">
      <xsd:simpleType>
        <xsd:restriction base="dms:Lookup"/>
      </xsd:simpleType>
    </xsd:element>
    <xsd:element name="Utvar" ma:index="13" nillable="true" ma:displayName="Utvar" ma:list="{41ba0e12-796f-4f3a-bb4d-9717ae337175}" ma:internalName="Utvar" ma:showField="_x00da_tva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16b59-11a9-4bfe-8186-7d744e55d36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9A34-1343-407A-92DB-774682EF5F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C23123-DA48-4547-82D5-A02438F98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155B1C-133F-4922-BF3A-488126ED41A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08dc0fb-a9c5-4d65-bb93-3633971d6a85"/>
    <ds:schemaRef ds:uri="3ec16b59-11a9-4bfe-8186-7d744e55d36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4212DA-53C5-4FE9-B4B7-391386CFF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dc0fb-a9c5-4d65-bb93-3633971d6a85"/>
    <ds:schemaRef ds:uri="3ec16b59-11a9-4bfe-8186-7d744e55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6E49AD-85D5-4A70-A2AF-115CD119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2051</Words>
  <Characters>12107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Smetana</dc:creator>
  <cp:lastModifiedBy>Karel Štefl</cp:lastModifiedBy>
  <cp:revision>6</cp:revision>
  <cp:lastPrinted>2022-09-19T08:17:00Z</cp:lastPrinted>
  <dcterms:created xsi:type="dcterms:W3CDTF">2022-09-19T07:34:00Z</dcterms:created>
  <dcterms:modified xsi:type="dcterms:W3CDTF">2022-10-03T11:12:00Z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MZEPRZ-7-20007</vt:lpwstr>
  </property>
  <property fmtid="{D5CDD505-2E9C-101B-9397-08002B2CF9AE}" pid="3" name="_dlc_DocIdItemGuid">
    <vt:lpwstr>29d0abce-0f3a-4700-aabd-31652ae01678</vt:lpwstr>
  </property>
  <property fmtid="{D5CDD505-2E9C-101B-9397-08002B2CF9AE}" pid="4" name="_dlc_DocIdUrl">
    <vt:lpwstr>https://prz.mzem.net/sites/PRZ/DEV/_layouts/DocIdRedir.aspx?ID=MZEPRZ-7-20007, MZEPRZ-7-20007</vt:lpwstr>
  </property>
  <property fmtid="{D5CDD505-2E9C-101B-9397-08002B2CF9AE}" pid="5" name="WorkflowChangePath">
    <vt:lpwstr>8e7984ba-b413-44d6-b8c7-a6d14f1d2617,2;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2022-09-16T11:29:44Z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510495b9-de9e-4fc2-aa7b-1db847a2118e</vt:lpwstr>
  </property>
  <property fmtid="{D5CDD505-2E9C-101B-9397-08002B2CF9AE}" pid="12" name="MSIP_Label_ea60d57e-af5b-4752-ac57-3e4f28ca11dc_ContentBits">
    <vt:lpwstr>0</vt:lpwstr>
  </property>
</Properties>
</file>