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C956FD" w14:textId="77777777" w:rsidR="00564609" w:rsidRDefault="00831F35" w:rsidP="00564609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 </w:t>
      </w:r>
      <w:r w:rsidR="00564609">
        <w:rPr>
          <w:rFonts w:ascii="Garamond" w:hAnsi="Garamond"/>
          <w:sz w:val="28"/>
          <w:szCs w:val="28"/>
        </w:rPr>
        <w:t xml:space="preserve">Vedral Marek </w:t>
      </w:r>
    </w:p>
    <w:p w14:paraId="4DE14257" w14:textId="77777777" w:rsidR="00564609" w:rsidRDefault="00564609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Heleny Malířové 14, </w:t>
      </w:r>
    </w:p>
    <w:p w14:paraId="6D16912C" w14:textId="12C5EB51" w:rsidR="00831F35" w:rsidRPr="00831F35" w:rsidRDefault="00564609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63800 Brno</w:t>
      </w:r>
      <w:r w:rsidR="00831F35" w:rsidRPr="00831F35">
        <w:rPr>
          <w:rFonts w:ascii="Garamond" w:hAnsi="Garamond"/>
          <w:sz w:val="28"/>
          <w:szCs w:val="28"/>
        </w:rPr>
        <w:t xml:space="preserve"> </w:t>
      </w:r>
    </w:p>
    <w:p w14:paraId="15CC2725" w14:textId="107E92B4" w:rsidR="00831F35" w:rsidRPr="00831F35" w:rsidRDefault="00831F35" w:rsidP="00831F35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V Brně dne 2</w:t>
      </w:r>
      <w:r w:rsidR="00564609">
        <w:rPr>
          <w:rFonts w:ascii="Garamond" w:hAnsi="Garamond"/>
          <w:sz w:val="28"/>
          <w:szCs w:val="28"/>
        </w:rPr>
        <w:t>0</w:t>
      </w:r>
      <w:r w:rsidRPr="00831F35">
        <w:rPr>
          <w:rFonts w:ascii="Garamond" w:hAnsi="Garamond"/>
          <w:sz w:val="28"/>
          <w:szCs w:val="28"/>
        </w:rPr>
        <w:t>.</w:t>
      </w:r>
      <w:r w:rsidR="00564609">
        <w:rPr>
          <w:rFonts w:ascii="Garamond" w:hAnsi="Garamond"/>
          <w:sz w:val="28"/>
          <w:szCs w:val="28"/>
        </w:rPr>
        <w:t>října</w:t>
      </w:r>
      <w:r w:rsidRPr="00831F35">
        <w:rPr>
          <w:rFonts w:ascii="Garamond" w:hAnsi="Garamond"/>
          <w:sz w:val="28"/>
          <w:szCs w:val="28"/>
        </w:rPr>
        <w:t xml:space="preserve"> 2022 </w:t>
      </w:r>
    </w:p>
    <w:p w14:paraId="1E83AEB3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7C75141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RS11</w:t>
      </w:r>
      <w:r w:rsidR="00564609">
        <w:rPr>
          <w:rFonts w:ascii="Garamond" w:hAnsi="Garamond"/>
          <w:b/>
          <w:bCs/>
          <w:sz w:val="28"/>
          <w:szCs w:val="28"/>
        </w:rPr>
        <w:t>9</w:t>
      </w:r>
      <w:r w:rsidR="00135E3D">
        <w:rPr>
          <w:rFonts w:ascii="Garamond" w:hAnsi="Garamond"/>
          <w:b/>
          <w:bCs/>
          <w:sz w:val="28"/>
          <w:szCs w:val="28"/>
        </w:rPr>
        <w:t>2022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580334A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proofErr w:type="gramStart"/>
      <w:r w:rsidRPr="00831F35">
        <w:rPr>
          <w:rFonts w:ascii="Garamond" w:hAnsi="Garamond"/>
          <w:sz w:val="28"/>
          <w:szCs w:val="28"/>
        </w:rPr>
        <w:t>Okružní  příspěvková</w:t>
      </w:r>
      <w:proofErr w:type="gramEnd"/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170886C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Na základě Vaší cenové nabídky ze dne 1</w:t>
      </w:r>
      <w:r w:rsidR="00564609">
        <w:rPr>
          <w:rFonts w:ascii="Garamond" w:hAnsi="Garamond"/>
          <w:sz w:val="28"/>
          <w:szCs w:val="28"/>
        </w:rPr>
        <w:t>0</w:t>
      </w:r>
      <w:r w:rsidRPr="00831F35">
        <w:rPr>
          <w:rFonts w:ascii="Garamond" w:hAnsi="Garamond"/>
          <w:sz w:val="28"/>
          <w:szCs w:val="28"/>
        </w:rPr>
        <w:t xml:space="preserve"> </w:t>
      </w:r>
      <w:r w:rsidR="00564609">
        <w:rPr>
          <w:rFonts w:ascii="Garamond" w:hAnsi="Garamond"/>
          <w:sz w:val="28"/>
          <w:szCs w:val="28"/>
        </w:rPr>
        <w:t>října</w:t>
      </w:r>
      <w:r w:rsidRPr="00831F35">
        <w:rPr>
          <w:rFonts w:ascii="Garamond" w:hAnsi="Garamond"/>
          <w:sz w:val="28"/>
          <w:szCs w:val="28"/>
        </w:rPr>
        <w:t xml:space="preserve"> 2022 doručené elektronicky na naši poptávku objednávám: </w:t>
      </w:r>
    </w:p>
    <w:p w14:paraId="3674966C" w14:textId="3DA9506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564609">
        <w:rPr>
          <w:rFonts w:ascii="Garamond" w:hAnsi="Garamond"/>
          <w:sz w:val="28"/>
          <w:szCs w:val="28"/>
        </w:rPr>
        <w:t>Opravu podlahy výměnou ve společenské místnosti v přízemi DS Okružní</w:t>
      </w:r>
    </w:p>
    <w:p w14:paraId="31BB6E4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7E824061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souladu s poptávkou a dle nabídky, která tvoří přílohu této objednávky </w:t>
      </w:r>
    </w:p>
    <w:p w14:paraId="65ECB7FB" w14:textId="033E1A4A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cenu dle nabídky bez DPH </w:t>
      </w:r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 xml:space="preserve">119 669,30 </w:t>
      </w:r>
      <w:proofErr w:type="gramStart"/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>Kč</w:t>
      </w:r>
      <w:r w:rsidRPr="00831F35">
        <w:rPr>
          <w:rFonts w:ascii="Garamond" w:hAnsi="Garamond"/>
          <w:sz w:val="28"/>
          <w:szCs w:val="28"/>
        </w:rPr>
        <w:t>,-</w:t>
      </w:r>
      <w:proofErr w:type="gramEnd"/>
      <w:r w:rsidRPr="00831F35">
        <w:rPr>
          <w:rFonts w:ascii="Garamond" w:hAnsi="Garamond"/>
          <w:sz w:val="28"/>
          <w:szCs w:val="28"/>
        </w:rPr>
        <w:t xml:space="preserve"> Kč, cena s DPH </w:t>
      </w:r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>137 619,70 Kč</w:t>
      </w:r>
      <w:r w:rsidRPr="00831F35">
        <w:rPr>
          <w:rFonts w:ascii="Garamond" w:hAnsi="Garamond"/>
          <w:sz w:val="28"/>
          <w:szCs w:val="28"/>
        </w:rPr>
        <w:t xml:space="preserve">. </w:t>
      </w:r>
    </w:p>
    <w:p w14:paraId="455B0401" w14:textId="448A344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do </w:t>
      </w:r>
      <w:r w:rsidR="00E831EA">
        <w:rPr>
          <w:rFonts w:ascii="Garamond" w:hAnsi="Garamond"/>
          <w:sz w:val="28"/>
          <w:szCs w:val="28"/>
        </w:rPr>
        <w:t>6</w:t>
      </w:r>
      <w:r w:rsidRPr="00831F35">
        <w:rPr>
          <w:rFonts w:ascii="Garamond" w:hAnsi="Garamond"/>
          <w:sz w:val="28"/>
          <w:szCs w:val="28"/>
        </w:rPr>
        <w:t xml:space="preserve"> týdnů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F6EC4B7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B0D1523" w14:textId="040C2BFB" w:rsidR="00831F35" w:rsidRPr="00831F35" w:rsidRDefault="00831F35" w:rsidP="00831F35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p w14:paraId="750AA037" w14:textId="77777777" w:rsidR="00831F35" w:rsidRDefault="00831F35" w:rsidP="00831F35">
      <w:pPr>
        <w:spacing w:after="40"/>
        <w:rPr>
          <w:sz w:val="23"/>
          <w:szCs w:val="23"/>
        </w:rPr>
      </w:pPr>
    </w:p>
    <w:p w14:paraId="350153A2" w14:textId="77777777" w:rsidR="00831F35" w:rsidRDefault="00831F35" w:rsidP="00831F35">
      <w:pPr>
        <w:spacing w:after="40"/>
        <w:rPr>
          <w:sz w:val="23"/>
          <w:szCs w:val="23"/>
        </w:rPr>
      </w:pPr>
    </w:p>
    <w:p w14:paraId="007B7A0E" w14:textId="77777777" w:rsidR="00831F35" w:rsidRDefault="00831F35" w:rsidP="00831F35">
      <w:pPr>
        <w:spacing w:after="40"/>
        <w:rPr>
          <w:sz w:val="23"/>
          <w:szCs w:val="23"/>
        </w:rPr>
      </w:pPr>
    </w:p>
    <w:p w14:paraId="2F5F880D" w14:textId="77777777" w:rsidR="00831F35" w:rsidRDefault="00831F35" w:rsidP="00831F35">
      <w:pPr>
        <w:spacing w:after="40"/>
        <w:rPr>
          <w:sz w:val="23"/>
          <w:szCs w:val="23"/>
        </w:rPr>
      </w:pPr>
    </w:p>
    <w:p w14:paraId="50E5948F" w14:textId="77777777" w:rsidR="00831F35" w:rsidRDefault="00831F35" w:rsidP="00831F35">
      <w:pPr>
        <w:spacing w:after="40"/>
        <w:rPr>
          <w:sz w:val="23"/>
          <w:szCs w:val="23"/>
        </w:rPr>
      </w:pPr>
    </w:p>
    <w:p w14:paraId="00C694B1" w14:textId="585C3452" w:rsidR="001F5A03" w:rsidRDefault="00E831EA" w:rsidP="001F5A03">
      <w:pPr>
        <w:spacing w:line="240" w:lineRule="auto"/>
        <w:contextualSpacing/>
        <w:rPr>
          <w:rFonts w:ascii="Garamond" w:hAnsi="Garamond"/>
          <w:noProof/>
          <w:color w:val="000000" w:themeColor="text1"/>
          <w:sz w:val="28"/>
          <w:szCs w:val="28"/>
        </w:rPr>
      </w:pPr>
      <w:r>
        <w:rPr>
          <w:rFonts w:ascii="Garamond" w:hAnsi="Garamond"/>
          <w:noProof/>
          <w:color w:val="000000" w:themeColor="text1"/>
          <w:sz w:val="28"/>
          <w:szCs w:val="28"/>
        </w:rPr>
        <w:t>Příloha č.1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647"/>
        <w:gridCol w:w="1453"/>
        <w:gridCol w:w="1855"/>
      </w:tblGrid>
      <w:tr w:rsidR="00E831EA" w:rsidRPr="00E831EA" w14:paraId="36EE67A9" w14:textId="77777777" w:rsidTr="00E831EA">
        <w:trPr>
          <w:trHeight w:val="622"/>
        </w:trPr>
        <w:tc>
          <w:tcPr>
            <w:tcW w:w="1550" w:type="dxa"/>
            <w:tcBorders>
              <w:top w:val="single" w:sz="12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17A4643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A6A6A6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A6A6A6"/>
                <w:lang w:eastAsia="cs-CZ"/>
              </w:rPr>
              <w:t>MNOŽSTVÍ</w:t>
            </w:r>
          </w:p>
        </w:tc>
        <w:tc>
          <w:tcPr>
            <w:tcW w:w="4647" w:type="dxa"/>
            <w:tcBorders>
              <w:top w:val="single" w:sz="12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AE640DF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A6A6A6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A6A6A6"/>
                <w:lang w:eastAsia="cs-CZ"/>
              </w:rPr>
              <w:t>POPIS</w:t>
            </w:r>
          </w:p>
        </w:tc>
        <w:tc>
          <w:tcPr>
            <w:tcW w:w="1453" w:type="dxa"/>
            <w:tcBorders>
              <w:top w:val="single" w:sz="12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E537E43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A6A6A6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A6A6A6"/>
                <w:lang w:eastAsia="cs-CZ"/>
              </w:rPr>
              <w:t>JEDN. CENA</w:t>
            </w:r>
          </w:p>
        </w:tc>
        <w:tc>
          <w:tcPr>
            <w:tcW w:w="1855" w:type="dxa"/>
            <w:tcBorders>
              <w:top w:val="single" w:sz="12" w:space="0" w:color="DBCCBB"/>
              <w:left w:val="nil"/>
              <w:bottom w:val="single" w:sz="4" w:space="0" w:color="DBCCBB"/>
              <w:right w:val="single" w:sz="4" w:space="0" w:color="DBCCBB"/>
            </w:tcBorders>
            <w:shd w:val="clear" w:color="auto" w:fill="auto"/>
            <w:noWrap/>
            <w:vAlign w:val="center"/>
            <w:hideMark/>
          </w:tcPr>
          <w:p w14:paraId="341F7C40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A6A6A6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A6A6A6"/>
                <w:lang w:eastAsia="cs-CZ"/>
              </w:rPr>
              <w:t>ČÁSTKA</w:t>
            </w:r>
          </w:p>
        </w:tc>
      </w:tr>
      <w:tr w:rsidR="00E831EA" w:rsidRPr="00E831EA" w14:paraId="44AC51F2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30B9203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136,94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1DED7235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Vinylová podlaha </w:t>
            </w:r>
            <w:proofErr w:type="spell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Expona</w:t>
            </w:r>
            <w:proofErr w:type="spellEnd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 </w:t>
            </w:r>
            <w:proofErr w:type="spell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Domestic</w:t>
            </w:r>
            <w:proofErr w:type="spellEnd"/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9430B22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490,00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5C0EF3D0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67 100,60 Kč</w:t>
            </w:r>
          </w:p>
        </w:tc>
      </w:tr>
      <w:tr w:rsidR="00E831EA" w:rsidRPr="00E831EA" w14:paraId="7B8BAB6F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1D09386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43,00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59B830A7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Sokl   vč. montáže</w:t>
            </w: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A2F609F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110,00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569A6118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4 730,00 Kč</w:t>
            </w:r>
          </w:p>
        </w:tc>
      </w:tr>
      <w:tr w:rsidR="00E831EA" w:rsidRPr="00E831EA" w14:paraId="6A2070BD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83CB9BC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131,94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0CAE373E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proofErr w:type="spell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Samonvelační</w:t>
            </w:r>
            <w:proofErr w:type="spellEnd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 stěrka </w:t>
            </w:r>
            <w:proofErr w:type="spell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tl</w:t>
            </w:r>
            <w:proofErr w:type="spellEnd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 2 mm vč. penetrace</w:t>
            </w: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28A061D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180,00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5419500A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23 749,20 Kč</w:t>
            </w:r>
          </w:p>
        </w:tc>
      </w:tr>
      <w:tr w:rsidR="00E831EA" w:rsidRPr="00E831EA" w14:paraId="1F5F839A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991EC15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131,94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E1AD145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proofErr w:type="gram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Přebroušení  podkladu</w:t>
            </w:r>
            <w:proofErr w:type="gramEnd"/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5DB36C9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20,00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15D17418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2 638,80 Kč</w:t>
            </w:r>
          </w:p>
        </w:tc>
      </w:tr>
      <w:tr w:rsidR="00E831EA" w:rsidRPr="00E831EA" w14:paraId="328D3C10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E487E58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131,94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2E23AFD1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Nalepení vinylové podlahy</w:t>
            </w: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A1CA118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130,00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275CEA17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17 152,20 Kč</w:t>
            </w:r>
          </w:p>
        </w:tc>
      </w:tr>
      <w:tr w:rsidR="00E831EA" w:rsidRPr="00E831EA" w14:paraId="45341BB2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6F460521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131,94</w:t>
            </w: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C3FC297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Stržení staré podlahy</w:t>
            </w: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65190195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25,00 Kč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0B5E8C2C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3 298,50 Kč</w:t>
            </w:r>
          </w:p>
        </w:tc>
      </w:tr>
      <w:tr w:rsidR="00E831EA" w:rsidRPr="00E831EA" w14:paraId="1D1C1D17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B175FD7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AC4B5B0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OVRN (</w:t>
            </w:r>
            <w:proofErr w:type="gramStart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doprava ,přesun</w:t>
            </w:r>
            <w:proofErr w:type="gramEnd"/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 hmot)</w:t>
            </w: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77B0111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44E4EB1A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1 000,00 Kč</w:t>
            </w:r>
          </w:p>
        </w:tc>
      </w:tr>
      <w:tr w:rsidR="00E831EA" w:rsidRPr="00E831EA" w14:paraId="583D061C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587B8B54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169D0337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0910576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768B4759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31EA" w:rsidRPr="00E831EA" w14:paraId="0B1FCC74" w14:textId="77777777" w:rsidTr="00E831EA">
        <w:trPr>
          <w:trHeight w:val="622"/>
        </w:trPr>
        <w:tc>
          <w:tcPr>
            <w:tcW w:w="1550" w:type="dxa"/>
            <w:tcBorders>
              <w:top w:val="single" w:sz="4" w:space="0" w:color="DBCCBB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82045DA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7" w:type="dxa"/>
            <w:tcBorders>
              <w:top w:val="single" w:sz="4" w:space="0" w:color="DBCCBB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14:paraId="49248254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FFFFFF" w:fill="auto"/>
            <w:vAlign w:val="center"/>
            <w:hideMark/>
          </w:tcPr>
          <w:p w14:paraId="18A8AAF5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>MEZISOUČET</w:t>
            </w:r>
          </w:p>
        </w:tc>
        <w:tc>
          <w:tcPr>
            <w:tcW w:w="1855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19B335B3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119 669,30 Kč</w:t>
            </w:r>
          </w:p>
        </w:tc>
      </w:tr>
      <w:tr w:rsidR="00E831EA" w:rsidRPr="00E831EA" w14:paraId="7CA29C5D" w14:textId="77777777" w:rsidTr="00E831EA">
        <w:trPr>
          <w:trHeight w:val="622"/>
        </w:trPr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2900" w14:textId="617D8864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C0231B"/>
                <w:lang w:eastAsia="cs-CZ"/>
              </w:rPr>
            </w:pPr>
            <w:bookmarkStart w:id="0" w:name="RANGE!D20"/>
            <w:r w:rsidRPr="00E831EA">
              <w:rPr>
                <w:rFonts w:ascii="Arial" w:eastAsia="Times New Roman" w:hAnsi="Arial" w:cs="Arial"/>
                <w:color w:val="C0231B"/>
                <w:lang w:eastAsia="cs-CZ"/>
              </w:rPr>
              <w:t>KALKULACE VYCHÁZÍ Z TĚCHTO PODMÍNEK:</w:t>
            </w:r>
            <w:bookmarkEnd w:id="0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5478BAF1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SAZBA DANĚ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36A89681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bookmarkStart w:id="1" w:name="RANGE!G20"/>
            <w:proofErr w:type="gramStart"/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1,15%</w:t>
            </w:r>
            <w:bookmarkEnd w:id="1"/>
            <w:proofErr w:type="gramEnd"/>
          </w:p>
        </w:tc>
      </w:tr>
      <w:tr w:rsidR="00E831EA" w:rsidRPr="00E831EA" w14:paraId="00285337" w14:textId="77777777" w:rsidTr="00E831EA">
        <w:trPr>
          <w:trHeight w:val="622"/>
        </w:trPr>
        <w:tc>
          <w:tcPr>
            <w:tcW w:w="61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A342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164DE0A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DPH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55A6EEE9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17 950,40 Kč</w:t>
            </w:r>
          </w:p>
        </w:tc>
      </w:tr>
      <w:tr w:rsidR="00E831EA" w:rsidRPr="00E831EA" w14:paraId="2BB178DF" w14:textId="77777777" w:rsidTr="00E831EA">
        <w:trPr>
          <w:trHeight w:val="622"/>
        </w:trPr>
        <w:tc>
          <w:tcPr>
            <w:tcW w:w="61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0E0B" w14:textId="77777777" w:rsidR="00E831EA" w:rsidRPr="00E831EA" w:rsidRDefault="00E831EA" w:rsidP="00E8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5DE08427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JINÉ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093AB153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bookmarkStart w:id="2" w:name="RANGE!G22"/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 </w:t>
            </w:r>
            <w:bookmarkEnd w:id="2"/>
          </w:p>
        </w:tc>
      </w:tr>
      <w:tr w:rsidR="00E831EA" w:rsidRPr="00E831EA" w14:paraId="063E93BC" w14:textId="77777777" w:rsidTr="00E831EA">
        <w:trPr>
          <w:trHeight w:val="622"/>
        </w:trPr>
        <w:tc>
          <w:tcPr>
            <w:tcW w:w="61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6D3EF" w14:textId="77777777" w:rsidR="00E831EA" w:rsidRPr="00E831EA" w:rsidRDefault="00E831EA" w:rsidP="00E8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DBCCBB"/>
              <w:right w:val="nil"/>
            </w:tcBorders>
            <w:shd w:val="clear" w:color="auto" w:fill="auto"/>
            <w:vAlign w:val="center"/>
            <w:hideMark/>
          </w:tcPr>
          <w:p w14:paraId="33AD5842" w14:textId="77777777" w:rsidR="00E831EA" w:rsidRPr="00E831EA" w:rsidRDefault="00E831EA" w:rsidP="00E831E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color w:val="3F3122"/>
                <w:lang w:eastAsia="cs-CZ"/>
              </w:rPr>
              <w:t xml:space="preserve">CELKEM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1C1FAD0D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  <w:r w:rsidRPr="00E831EA"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  <w:t>137 619,70 Kč</w:t>
            </w:r>
          </w:p>
        </w:tc>
      </w:tr>
      <w:tr w:rsidR="00E831EA" w:rsidRPr="00E831EA" w14:paraId="3E8E2F71" w14:textId="77777777" w:rsidTr="00E831EA">
        <w:trPr>
          <w:trHeight w:val="622"/>
        </w:trPr>
        <w:tc>
          <w:tcPr>
            <w:tcW w:w="61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635C4" w14:textId="77777777" w:rsidR="00E831EA" w:rsidRPr="00E831EA" w:rsidRDefault="00E831EA" w:rsidP="00E8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68F5" w14:textId="77777777" w:rsidR="00E831EA" w:rsidRPr="00E831EA" w:rsidRDefault="00E831EA" w:rsidP="00E831EA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6728" w14:textId="77777777" w:rsidR="00E831EA" w:rsidRPr="00E831EA" w:rsidRDefault="00E831EA" w:rsidP="00E831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59CB" w14:textId="77777777" w:rsidR="00CC2CD5" w:rsidRDefault="00CC2CD5" w:rsidP="00E175F9">
      <w:pPr>
        <w:spacing w:after="0" w:line="240" w:lineRule="auto"/>
      </w:pPr>
      <w:r>
        <w:separator/>
      </w:r>
    </w:p>
  </w:endnote>
  <w:endnote w:type="continuationSeparator" w:id="0">
    <w:p w14:paraId="0AD75700" w14:textId="77777777" w:rsidR="00CC2CD5" w:rsidRDefault="00CC2CD5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9E86" w14:textId="77777777" w:rsidR="00CC2CD5" w:rsidRDefault="00CC2CD5" w:rsidP="00E175F9">
      <w:pPr>
        <w:spacing w:after="0" w:line="240" w:lineRule="auto"/>
      </w:pPr>
      <w:r>
        <w:separator/>
      </w:r>
    </w:p>
  </w:footnote>
  <w:footnote w:type="continuationSeparator" w:id="0">
    <w:p w14:paraId="3B120CFC" w14:textId="77777777" w:rsidR="00CC2CD5" w:rsidRDefault="00CC2CD5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B3EC0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42F10"/>
    <w:rsid w:val="00F46E38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7</cp:revision>
  <cp:lastPrinted>2022-10-20T16:04:00Z</cp:lastPrinted>
  <dcterms:created xsi:type="dcterms:W3CDTF">2022-09-26T12:47:00Z</dcterms:created>
  <dcterms:modified xsi:type="dcterms:W3CDTF">2022-10-20T16:13:00Z</dcterms:modified>
</cp:coreProperties>
</file>