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5101" w14:textId="37EA2F89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327B03">
        <w:rPr>
          <w:b/>
          <w:bCs/>
          <w:sz w:val="28"/>
          <w:szCs w:val="28"/>
        </w:rPr>
        <w:t>10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</w:r>
      <w:proofErr w:type="gramStart"/>
      <w:r w:rsidRPr="00CF5352">
        <w:rPr>
          <w:sz w:val="24"/>
        </w:rPr>
        <w:t>Prof.</w:t>
      </w:r>
      <w:proofErr w:type="gramEnd"/>
      <w:r w:rsidRPr="00CF5352">
        <w:rPr>
          <w:sz w:val="24"/>
        </w:rPr>
        <w:t xml:space="preserve">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Zapsáno v obchodním rejstříku vedeném Krajským soudem v Ústí nad Labem, </w:t>
      </w:r>
      <w:proofErr w:type="spellStart"/>
      <w:r w:rsidRPr="00CF5352">
        <w:rPr>
          <w:sz w:val="24"/>
        </w:rPr>
        <w:t>sp</w:t>
      </w:r>
      <w:proofErr w:type="spellEnd"/>
      <w:r w:rsidRPr="00CF5352">
        <w:rPr>
          <w:sz w:val="24"/>
        </w:rPr>
        <w:t>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1B3B8837" w14:textId="77777777" w:rsidR="00327B03" w:rsidRPr="00CF5352" w:rsidRDefault="00327B03" w:rsidP="00327B03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>
        <w:rPr>
          <w:b/>
          <w:sz w:val="24"/>
        </w:rPr>
        <w:t>Západočeská univerzita v Plzni</w:t>
      </w:r>
    </w:p>
    <w:p w14:paraId="55E571BC" w14:textId="77777777" w:rsidR="00327B03" w:rsidRPr="00CF5352" w:rsidRDefault="00327B03" w:rsidP="00327B03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>
        <w:rPr>
          <w:sz w:val="24"/>
        </w:rPr>
        <w:t>Univerzitní 2732/8, 301 00 Plzeň</w:t>
      </w:r>
    </w:p>
    <w:p w14:paraId="5E4910C6" w14:textId="77777777" w:rsidR="00327B03" w:rsidRPr="00CF5352" w:rsidRDefault="00327B03" w:rsidP="00327B03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>
        <w:rPr>
          <w:sz w:val="24"/>
        </w:rPr>
        <w:t>49777513</w:t>
      </w:r>
    </w:p>
    <w:p w14:paraId="34156B6D" w14:textId="77777777" w:rsidR="00327B03" w:rsidRPr="00CF5352" w:rsidRDefault="00327B03" w:rsidP="00327B03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>
        <w:rPr>
          <w:sz w:val="24"/>
        </w:rPr>
        <w:t xml:space="preserve">doc. Ing. Luděk </w:t>
      </w:r>
      <w:proofErr w:type="spellStart"/>
      <w:r>
        <w:rPr>
          <w:sz w:val="24"/>
        </w:rPr>
        <w:t>Hynčík</w:t>
      </w:r>
      <w:proofErr w:type="spellEnd"/>
      <w:r>
        <w:rPr>
          <w:sz w:val="24"/>
        </w:rPr>
        <w:t>, Ph.D., prorektor pro výzkum a vývoj</w:t>
      </w:r>
    </w:p>
    <w:p w14:paraId="522B5B87" w14:textId="155E6520" w:rsid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64633138" w14:textId="17ADADF4" w:rsidR="0024167B" w:rsidRPr="00CF5352" w:rsidRDefault="00985B5B" w:rsidP="00514E16">
      <w:pPr>
        <w:spacing w:after="120" w:line="240" w:lineRule="atLeast"/>
        <w:rPr>
          <w:b/>
          <w:sz w:val="24"/>
        </w:rPr>
      </w:pPr>
      <w:r>
        <w:rPr>
          <w:b/>
          <w:sz w:val="24"/>
        </w:rPr>
        <w:t>3</w:t>
      </w:r>
      <w:r w:rsidR="0024167B" w:rsidRPr="00CF5352">
        <w:rPr>
          <w:b/>
          <w:sz w:val="24"/>
        </w:rPr>
        <w:t xml:space="preserve">. </w:t>
      </w:r>
      <w:r w:rsidR="0024167B">
        <w:rPr>
          <w:b/>
          <w:sz w:val="24"/>
        </w:rPr>
        <w:t>Průmyslový partner</w:t>
      </w:r>
    </w:p>
    <w:p w14:paraId="4D879C5E" w14:textId="40F5C887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327B03">
        <w:rPr>
          <w:b/>
          <w:sz w:val="24"/>
        </w:rPr>
        <w:t>GTW BEARINGS s.r.o.</w:t>
      </w:r>
    </w:p>
    <w:p w14:paraId="6686ADAB" w14:textId="5ECE932F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327B03">
        <w:rPr>
          <w:sz w:val="24"/>
        </w:rPr>
        <w:t>č.p. 24, 330 11 Příšov</w:t>
      </w:r>
    </w:p>
    <w:p w14:paraId="57C16C0F" w14:textId="3A819272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327B03">
        <w:rPr>
          <w:sz w:val="24"/>
        </w:rPr>
        <w:t>25205242</w:t>
      </w:r>
    </w:p>
    <w:p w14:paraId="0A791932" w14:textId="2C1D3267" w:rsidR="00830ADC" w:rsidRPr="0024167B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327B03">
        <w:rPr>
          <w:sz w:val="24"/>
        </w:rPr>
        <w:t>Ing. Tomáš Skopeček, Ph.D., jednatel</w:t>
      </w:r>
    </w:p>
    <w:p w14:paraId="5780C4CF" w14:textId="5E0F1E84" w:rsidR="0024167B" w:rsidRDefault="0024167B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="00830ADC" w:rsidRPr="0024167B">
        <w:rPr>
          <w:b/>
          <w:sz w:val="24"/>
        </w:rPr>
        <w:t>Průmyslový partner</w:t>
      </w:r>
      <w:r w:rsidRPr="00CF5352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3A762CCF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“), na </w:t>
      </w:r>
      <w:proofErr w:type="gramStart"/>
      <w:r w:rsidRPr="0024167B">
        <w:rPr>
          <w:rFonts w:asciiTheme="minorHAnsi" w:hAnsiTheme="minorHAnsi" w:cstheme="minorHAnsi"/>
          <w:sz w:val="24"/>
          <w:szCs w:val="24"/>
        </w:rPr>
        <w:t>základě</w:t>
      </w:r>
      <w:proofErr w:type="gramEnd"/>
      <w:r w:rsidRPr="0024167B">
        <w:rPr>
          <w:rFonts w:asciiTheme="minorHAnsi" w:hAnsiTheme="minorHAnsi" w:cstheme="minorHAnsi"/>
          <w:sz w:val="24"/>
          <w:szCs w:val="24"/>
        </w:rPr>
        <w:t xml:space="preserve">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03F5FDA3" w:rsidR="00CF5352" w:rsidRDefault="00CF5352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V rámci </w:t>
      </w:r>
      <w:r w:rsidRPr="00327B03">
        <w:rPr>
          <w:rFonts w:asciiTheme="minorHAnsi" w:hAnsiTheme="minorHAnsi" w:cstheme="minorHAnsi"/>
          <w:sz w:val="24"/>
          <w:szCs w:val="24"/>
        </w:rPr>
        <w:t xml:space="preserve">Projektu předložila </w:t>
      </w:r>
      <w:r w:rsidRPr="00327B03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327B03">
        <w:rPr>
          <w:rFonts w:asciiTheme="minorHAnsi" w:hAnsiTheme="minorHAnsi" w:cstheme="minorHAnsi"/>
          <w:color w:val="auto"/>
          <w:sz w:val="24"/>
          <w:szCs w:val="24"/>
        </w:rPr>
        <w:t xml:space="preserve"> a Průmyslový partner</w:t>
      </w:r>
      <w:r w:rsidRPr="00327B0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27B03">
        <w:rPr>
          <w:rFonts w:asciiTheme="minorHAnsi" w:hAnsiTheme="minorHAnsi" w:cstheme="minorHAnsi"/>
          <w:sz w:val="24"/>
          <w:szCs w:val="24"/>
        </w:rPr>
        <w:t>dílčí projekt číslo</w:t>
      </w:r>
      <w:r w:rsidRPr="00327B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27B03" w:rsidRPr="00327B03">
        <w:rPr>
          <w:rFonts w:asciiTheme="minorHAnsi" w:hAnsiTheme="minorHAnsi" w:cstheme="minorHAnsi"/>
          <w:b/>
          <w:sz w:val="24"/>
        </w:rPr>
        <w:t>10</w:t>
      </w:r>
      <w:r w:rsidR="00327B03" w:rsidRPr="00327B03">
        <w:rPr>
          <w:rFonts w:asciiTheme="minorHAnsi" w:hAnsiTheme="minorHAnsi" w:cstheme="minorHAnsi"/>
          <w:sz w:val="24"/>
        </w:rPr>
        <w:t xml:space="preserve"> </w:t>
      </w:r>
      <w:r w:rsidRPr="00327B03">
        <w:rPr>
          <w:rFonts w:asciiTheme="minorHAnsi" w:hAnsiTheme="minorHAnsi" w:cstheme="minorHAnsi"/>
          <w:sz w:val="24"/>
          <w:szCs w:val="24"/>
        </w:rPr>
        <w:t xml:space="preserve">s názvem </w:t>
      </w:r>
      <w:r w:rsidR="00327B03" w:rsidRPr="00327B03">
        <w:rPr>
          <w:rFonts w:asciiTheme="minorHAnsi" w:hAnsiTheme="minorHAnsi" w:cstheme="minorHAnsi"/>
          <w:b/>
          <w:sz w:val="24"/>
        </w:rPr>
        <w:t xml:space="preserve">„Aplikace aditivních technologií 3D tiskem na </w:t>
      </w:r>
      <w:proofErr w:type="spellStart"/>
      <w:r w:rsidR="00327B03" w:rsidRPr="00327B03">
        <w:rPr>
          <w:rFonts w:asciiTheme="minorHAnsi" w:hAnsiTheme="minorHAnsi" w:cstheme="minorHAnsi"/>
          <w:b/>
          <w:sz w:val="24"/>
        </w:rPr>
        <w:t>samovyrovnávací</w:t>
      </w:r>
      <w:proofErr w:type="spellEnd"/>
      <w:r w:rsidR="00327B03" w:rsidRPr="00327B03">
        <w:rPr>
          <w:rFonts w:asciiTheme="minorHAnsi" w:hAnsiTheme="minorHAnsi" w:cstheme="minorHAnsi"/>
          <w:b/>
          <w:sz w:val="24"/>
        </w:rPr>
        <w:t xml:space="preserve"> kovové elementy axiálního ložiska, technologie jejich úpravy a diagnostika funkčních ploch“</w:t>
      </w:r>
      <w:r w:rsidRPr="00327B03">
        <w:rPr>
          <w:rFonts w:asciiTheme="minorHAnsi" w:hAnsiTheme="minorHAnsi" w:cstheme="minorHAnsi"/>
          <w:sz w:val="24"/>
          <w:szCs w:val="24"/>
        </w:rPr>
        <w:t>, který</w:t>
      </w:r>
      <w:r w:rsidRPr="0024167B">
        <w:rPr>
          <w:rFonts w:asciiTheme="minorHAnsi" w:hAnsiTheme="minorHAnsi" w:cstheme="minorHAnsi"/>
          <w:sz w:val="24"/>
          <w:szCs w:val="24"/>
        </w:rPr>
        <w:t xml:space="preserve">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2E10E0B2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327B03" w:rsidRPr="00327B03">
        <w:rPr>
          <w:rFonts w:asciiTheme="minorHAnsi" w:hAnsiTheme="minorHAnsi" w:cstheme="minorHAnsi"/>
          <w:b/>
          <w:sz w:val="24"/>
        </w:rPr>
        <w:t>5. 9. 2019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6D59AC26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27B03" w:rsidRPr="00327B03">
        <w:rPr>
          <w:rFonts w:asciiTheme="minorHAnsi" w:hAnsiTheme="minorHAnsi" w:cstheme="minorHAnsi"/>
          <w:b/>
          <w:sz w:val="24"/>
        </w:rPr>
        <w:t>10</w:t>
      </w:r>
      <w:r w:rsidR="00494706">
        <w:rPr>
          <w:rFonts w:asciiTheme="minorHAnsi" w:hAnsiTheme="minorHAnsi" w:cstheme="minorHAnsi"/>
          <w:sz w:val="24"/>
          <w:szCs w:val="24"/>
        </w:rPr>
        <w:t xml:space="preserve"> 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327B03" w:rsidRPr="00327B03">
        <w:rPr>
          <w:rFonts w:asciiTheme="minorHAnsi" w:hAnsiTheme="minorHAnsi" w:cstheme="minorHAnsi"/>
          <w:b/>
          <w:sz w:val="24"/>
        </w:rPr>
        <w:t xml:space="preserve">„Aplikace aditivních technologií 3D tiskem na </w:t>
      </w:r>
      <w:proofErr w:type="spellStart"/>
      <w:r w:rsidR="00327B03" w:rsidRPr="00327B03">
        <w:rPr>
          <w:rFonts w:asciiTheme="minorHAnsi" w:hAnsiTheme="minorHAnsi" w:cstheme="minorHAnsi"/>
          <w:b/>
          <w:sz w:val="24"/>
        </w:rPr>
        <w:t>samovyrovnávací</w:t>
      </w:r>
      <w:proofErr w:type="spellEnd"/>
      <w:r w:rsidR="00327B03" w:rsidRPr="00327B03">
        <w:rPr>
          <w:rFonts w:asciiTheme="minorHAnsi" w:hAnsiTheme="minorHAnsi" w:cstheme="minorHAnsi"/>
          <w:b/>
          <w:sz w:val="24"/>
        </w:rPr>
        <w:t xml:space="preserve"> kovové elementy axiálního ložiska, technologie jejich úpravy a diagnostika funkčních ploch“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22E43D7B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lastRenderedPageBreak/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023A4110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>nepromlčí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 xml:space="preserve">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</w:t>
      </w:r>
      <w:proofErr w:type="gramStart"/>
      <w:r w:rsidRPr="000A4B13">
        <w:rPr>
          <w:rFonts w:asciiTheme="minorHAnsi" w:hAnsiTheme="minorHAnsi" w:cstheme="minorHAnsi"/>
          <w:color w:val="auto"/>
          <w:sz w:val="24"/>
          <w:szCs w:val="24"/>
        </w:rPr>
        <w:t>tvoří</w:t>
      </w:r>
      <w:proofErr w:type="gramEnd"/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Start"/>
      <w:r w:rsidRPr="00ED6501">
        <w:rPr>
          <w:rFonts w:asciiTheme="minorHAnsi" w:hAnsiTheme="minorHAnsi" w:cstheme="minorHAnsi"/>
          <w:color w:val="auto"/>
          <w:sz w:val="24"/>
          <w:szCs w:val="24"/>
        </w:rPr>
        <w:t>nemohou</w:t>
      </w:r>
      <w:proofErr w:type="gramEnd"/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0832A192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orgánu veřejné správy, soudu nebo správce 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>daně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 xml:space="preserve">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2410255" w14:textId="2B8360EB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19B95D3D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2620693A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="00327B03" w:rsidRPr="00985B5B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</w:t>
      </w:r>
      <w:proofErr w:type="gramStart"/>
      <w:r w:rsidRPr="00E76102">
        <w:rPr>
          <w:rFonts w:asciiTheme="minorHAnsi" w:hAnsiTheme="minorHAnsi" w:cstheme="minorHAnsi"/>
          <w:color w:val="auto"/>
          <w:sz w:val="24"/>
          <w:szCs w:val="24"/>
        </w:rPr>
        <w:t>obdrží</w:t>
      </w:r>
      <w:proofErr w:type="gramEnd"/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7B03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oskytovateli jedno </w:t>
      </w:r>
      <w:proofErr w:type="spellStart"/>
      <w:r w:rsidRPr="00203BA7">
        <w:rPr>
          <w:rFonts w:asciiTheme="minorHAnsi" w:hAnsiTheme="minorHAnsi" w:cstheme="minorHAnsi"/>
          <w:color w:val="auto"/>
          <w:sz w:val="24"/>
          <w:szCs w:val="24"/>
        </w:rPr>
        <w:t>paré</w:t>
      </w:r>
      <w:proofErr w:type="spellEnd"/>
      <w:r w:rsidRPr="00203BA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786B1F65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r w:rsidR="00985B5B">
        <w:rPr>
          <w:rFonts w:asciiTheme="minorHAnsi" w:hAnsiTheme="minorHAnsi" w:cstheme="minorHAnsi"/>
          <w:b/>
          <w:sz w:val="24"/>
        </w:rPr>
        <w:t>Západočeská univerzita v Plzni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7923B108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Smluvní strany berou na vědomí, že </w:t>
      </w:r>
      <w:r w:rsidR="00985B5B">
        <w:rPr>
          <w:rFonts w:asciiTheme="minorHAnsi" w:hAnsiTheme="minorHAnsi" w:cstheme="minorHAnsi"/>
          <w:b/>
          <w:sz w:val="24"/>
        </w:rPr>
        <w:t>Západočeská univerzita v Plzni</w:t>
      </w:r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5F8AE09F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r w:rsidR="00985B5B">
        <w:rPr>
          <w:rFonts w:asciiTheme="minorHAnsi" w:hAnsiTheme="minorHAnsi" w:cstheme="minorHAnsi"/>
          <w:b/>
          <w:sz w:val="24"/>
        </w:rPr>
        <w:t>Západočeská univerzita v Plzni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15A964A4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>Smlouvě o využití výsledků dílčího projektu č</w:t>
      </w:r>
      <w:r w:rsidRPr="00327B03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27B03" w:rsidRPr="00327B03">
        <w:rPr>
          <w:rFonts w:asciiTheme="minorHAnsi" w:hAnsiTheme="minorHAnsi" w:cstheme="minorHAnsi"/>
          <w:b/>
          <w:sz w:val="24"/>
          <w:szCs w:val="24"/>
        </w:rPr>
        <w:t>10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0DBD33A" w14:textId="3F0812D7" w:rsidR="00DD5F7A" w:rsidRPr="009372C0" w:rsidRDefault="00DD5F7A" w:rsidP="00DD5F7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5BB1EB3E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4E402320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327B03">
        <w:rPr>
          <w:rFonts w:asciiTheme="minorHAnsi" w:hAnsiTheme="minorHAnsi" w:cstheme="minorHAnsi"/>
          <w:b/>
          <w:sz w:val="24"/>
          <w:szCs w:val="24"/>
        </w:rPr>
        <w:t>10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5A22EF4" w14:textId="1F472A0E" w:rsidR="00DD5F7A" w:rsidRPr="009372C0" w:rsidRDefault="00DD5F7A" w:rsidP="00DD5F7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5E43DBCF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</w:p>
    <w:p w14:paraId="0145B6C7" w14:textId="77777777" w:rsidR="00327B03" w:rsidRPr="00AB3D28" w:rsidRDefault="00327B03" w:rsidP="00327B03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Západočeská univerzita v Plzni</w:t>
      </w:r>
    </w:p>
    <w:p w14:paraId="6A81B261" w14:textId="77777777" w:rsidR="00327B03" w:rsidRDefault="00327B03" w:rsidP="00327B03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doc. Ing. Luděk </w:t>
      </w:r>
      <w:proofErr w:type="spellStart"/>
      <w:r>
        <w:rPr>
          <w:rFonts w:asciiTheme="minorHAnsi" w:hAnsiTheme="minorHAnsi" w:cstheme="minorHAnsi"/>
          <w:sz w:val="24"/>
          <w:szCs w:val="24"/>
        </w:rPr>
        <w:t>Hynčík</w:t>
      </w:r>
      <w:proofErr w:type="spellEnd"/>
      <w:r>
        <w:rPr>
          <w:rFonts w:asciiTheme="minorHAnsi" w:hAnsiTheme="minorHAnsi" w:cstheme="minorHAnsi"/>
          <w:sz w:val="24"/>
          <w:szCs w:val="24"/>
        </w:rPr>
        <w:t>, Ph.D., prorektor pro výzkum a vývoj</w:t>
      </w:r>
    </w:p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130FD6" w14:textId="77777777" w:rsidR="00CC4EA9" w:rsidRPr="008A3CC8" w:rsidRDefault="00CC4EA9" w:rsidP="009372C0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42534E8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0F9277B" w14:textId="652CF0A2" w:rsidR="00CC4EA9" w:rsidRPr="008A3CC8" w:rsidRDefault="00CC4EA9" w:rsidP="00CC4EA9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327B03">
        <w:rPr>
          <w:rFonts w:asciiTheme="minorHAnsi" w:hAnsiTheme="minorHAnsi" w:cstheme="minorHAnsi"/>
          <w:b/>
          <w:sz w:val="24"/>
          <w:szCs w:val="24"/>
        </w:rPr>
        <w:t>10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6C4C43" w14:textId="77777777" w:rsidR="00CC4EA9" w:rsidRPr="008A3CC8" w:rsidRDefault="00CC4EA9" w:rsidP="00CC4EA9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72B6711E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06F720" w14:textId="16AB36F9" w:rsidR="00DD5F7A" w:rsidRPr="009372C0" w:rsidRDefault="00DD5F7A" w:rsidP="00DD5F7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16CA030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EE3939D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BA2C6F9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1CCA2E5C" w14:textId="16B718A9" w:rsidR="00AB3D28" w:rsidRPr="00AB3D28" w:rsidRDefault="00AB3D28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Průmyslového partnera</w:t>
      </w:r>
    </w:p>
    <w:p w14:paraId="5537294F" w14:textId="044A1FD8" w:rsidR="00AB3D28" w:rsidRDefault="00327B03" w:rsidP="00AB3D2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GTW BEARINGS s.r.o.</w:t>
      </w:r>
    </w:p>
    <w:p w14:paraId="2AB45A91" w14:textId="14A2AAF3" w:rsidR="00327B03" w:rsidRDefault="00327B03" w:rsidP="00AB3D2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Tomáš Skopeček, Ph.D., jednatel</w:t>
      </w:r>
    </w:p>
    <w:p w14:paraId="21D293B0" w14:textId="77777777" w:rsidR="00CC4EA9" w:rsidRDefault="00CC4EA9" w:rsidP="009372C0">
      <w:pPr>
        <w:rPr>
          <w:sz w:val="22"/>
          <w:szCs w:val="22"/>
        </w:rPr>
      </w:pPr>
    </w:p>
    <w:p w14:paraId="79A64787" w14:textId="7B12F42F" w:rsidR="00CC4EA9" w:rsidRDefault="00CC4E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768C0788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327B03">
        <w:rPr>
          <w:rFonts w:asciiTheme="minorHAnsi" w:hAnsiTheme="minorHAnsi" w:cstheme="minorHAnsi"/>
          <w:bCs/>
        </w:rPr>
        <w:t>10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F3B8478" w14:textId="45010711" w:rsidR="00197160" w:rsidRDefault="00197160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EE6232" w:rsidRPr="00D72B07" w14:paraId="773B6B7D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12350" w14:textId="2E18F261" w:rsidR="00EE6232" w:rsidRPr="009372C0" w:rsidRDefault="00EE6232" w:rsidP="00EE623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49EC3" w14:textId="0CECBF7A" w:rsidR="00EE6232" w:rsidRPr="009372C0" w:rsidRDefault="00EE6232" w:rsidP="00EE623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proofErr w:type="gramStart"/>
            <w:r w:rsidRPr="00327B0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10-V1</w:t>
            </w:r>
            <w:proofErr w:type="gramEnd"/>
          </w:p>
        </w:tc>
      </w:tr>
      <w:tr w:rsidR="00EE6232" w:rsidRPr="00D72B07" w14:paraId="7B97230D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793A5" w14:textId="77777777" w:rsidR="00EE6232" w:rsidRPr="009372C0" w:rsidRDefault="00EE6232" w:rsidP="00EE623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7F6E2" w14:textId="1C83320F" w:rsidR="00EE6232" w:rsidRPr="00CF4FF3" w:rsidRDefault="00CF4FF3" w:rsidP="00EE623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F4FF3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Dokončení </w:t>
            </w:r>
            <w:r w:rsidRPr="00CF4FF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funkčních ploch </w:t>
            </w:r>
            <w:proofErr w:type="gramStart"/>
            <w:r w:rsidRPr="00CF4FF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3D</w:t>
            </w:r>
            <w:proofErr w:type="gramEnd"/>
            <w:r w:rsidRPr="00CF4FF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tištěného </w:t>
            </w:r>
            <w:proofErr w:type="spellStart"/>
            <w:r w:rsidRPr="00CF4FF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samovyrovnávacího</w:t>
            </w:r>
            <w:proofErr w:type="spellEnd"/>
            <w:r w:rsidRPr="00CF4FF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elementu</w:t>
            </w:r>
          </w:p>
        </w:tc>
      </w:tr>
      <w:tr w:rsidR="00EE6232" w:rsidRPr="00D72B07" w14:paraId="48A27885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02899BD" w14:textId="77777777" w:rsidR="00EE6232" w:rsidRPr="009372C0" w:rsidRDefault="00EE6232" w:rsidP="00EE623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9ED6C7" w14:textId="002BB76C" w:rsidR="00EE6232" w:rsidRPr="00DC316B" w:rsidRDefault="00EE6232" w:rsidP="00EE623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27B0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Ztech</w:t>
            </w:r>
            <w:proofErr w:type="spellEnd"/>
            <w:r w:rsidRPr="00327B0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- Ověřená</w:t>
            </w:r>
            <w:proofErr w:type="gramEnd"/>
            <w:r w:rsidRPr="00327B0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technologie</w:t>
            </w:r>
          </w:p>
        </w:tc>
      </w:tr>
      <w:tr w:rsidR="00EE6232" w:rsidRPr="00D72B07" w14:paraId="45252339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F65332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E26693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60532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2294E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75C84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EE6232" w:rsidRPr="00D72B07" w14:paraId="0DFE2A3E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1182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CDC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61C73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CF4FF3" w:rsidRPr="00D72B07" w14:paraId="1807F791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446B" w14:textId="661F198C" w:rsidR="00CF4FF3" w:rsidRPr="009372C0" w:rsidRDefault="00CF4FF3" w:rsidP="00CF4F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1C6D6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AA0B" w14:textId="48B7B374" w:rsidR="00CF4FF3" w:rsidRPr="009372C0" w:rsidRDefault="00CF4FF3" w:rsidP="00CF4F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1C6D6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0346C" w14:textId="6C1822CD" w:rsidR="00CF4FF3" w:rsidRPr="009372C0" w:rsidRDefault="006B28C2" w:rsidP="00CF4F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</w:t>
            </w:r>
            <w:r w:rsidR="00CF4FF3"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CF4FF3" w:rsidRPr="00D72B07" w14:paraId="030547DF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3179" w14:textId="6E9DD24D" w:rsidR="00CF4FF3" w:rsidRPr="009372C0" w:rsidRDefault="00CF4FF3" w:rsidP="00CF4F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 w:rsidRPr="001C6D6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GTW BEARINGS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A07D" w14:textId="3799B7A1" w:rsidR="00CF4FF3" w:rsidRPr="009372C0" w:rsidRDefault="00CF4FF3" w:rsidP="00CF4F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 w:rsidRPr="001C6D6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0915C" w14:textId="74FBF66D" w:rsidR="00CF4FF3" w:rsidRPr="009372C0" w:rsidRDefault="006B28C2" w:rsidP="00CF4F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0</w:t>
            </w:r>
            <w:r w:rsidR="00CF4FF3"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B28C2" w:rsidRPr="00D72B07" w14:paraId="49EA095E" w14:textId="77777777" w:rsidTr="00204EF5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FA7E" w14:textId="0B29D97D" w:rsidR="006B28C2" w:rsidRPr="009372C0" w:rsidRDefault="006B28C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Využití výsledku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2533" w14:textId="72E4A4A9" w:rsidR="006B28C2" w:rsidRPr="009372C0" w:rsidRDefault="006B28C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Nekomerční implementace při výzkumu, vývoji a výuce studentů</w:t>
            </w:r>
          </w:p>
        </w:tc>
      </w:tr>
    </w:tbl>
    <w:p w14:paraId="5378F1FD" w14:textId="32762DF2" w:rsidR="00EE6232" w:rsidRDefault="00EE6232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EE6232" w:rsidRPr="00D72B07" w14:paraId="19904661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B276F" w14:textId="77777777" w:rsidR="00EE6232" w:rsidRPr="009372C0" w:rsidRDefault="00EE6232" w:rsidP="00EE623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4A80F" w14:textId="5E5438F3" w:rsidR="00EE6232" w:rsidRPr="009372C0" w:rsidRDefault="00EE6232" w:rsidP="00EE623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proofErr w:type="gramStart"/>
            <w:r w:rsidRPr="00327B0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10-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V2</w:t>
            </w:r>
            <w:proofErr w:type="gramEnd"/>
          </w:p>
        </w:tc>
      </w:tr>
      <w:tr w:rsidR="00EE6232" w:rsidRPr="00D72B07" w14:paraId="15199A33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8C5B0" w14:textId="77777777" w:rsidR="00EE6232" w:rsidRPr="009372C0" w:rsidRDefault="00EE6232" w:rsidP="00EE623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4D198" w14:textId="51F281E3" w:rsidR="00EE6232" w:rsidRPr="00CF4FF3" w:rsidRDefault="00CF4FF3" w:rsidP="00EE623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CF4FF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3D</w:t>
            </w:r>
            <w:proofErr w:type="gramEnd"/>
            <w:r w:rsidRPr="00CF4FF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tištěný </w:t>
            </w:r>
            <w:proofErr w:type="spellStart"/>
            <w:r w:rsidRPr="00CF4FF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samovyrovnávací</w:t>
            </w:r>
            <w:proofErr w:type="spellEnd"/>
            <w:r w:rsidRPr="00CF4FF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element</w:t>
            </w:r>
          </w:p>
        </w:tc>
      </w:tr>
      <w:tr w:rsidR="00EE6232" w:rsidRPr="00D72B07" w14:paraId="17507ABE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23D522C" w14:textId="77777777" w:rsidR="00EE6232" w:rsidRPr="009372C0" w:rsidRDefault="00EE6232" w:rsidP="00EE623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862BF0" w14:textId="51368031" w:rsidR="00EE6232" w:rsidRPr="00DC316B" w:rsidRDefault="00EE6232" w:rsidP="00EE623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</w:t>
            </w:r>
            <w:proofErr w:type="spellEnd"/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- funkční</w:t>
            </w:r>
            <w:proofErr w:type="gramEnd"/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vzorek </w:t>
            </w:r>
          </w:p>
        </w:tc>
      </w:tr>
      <w:tr w:rsidR="00EE6232" w:rsidRPr="00D72B07" w14:paraId="55EDFF04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819BBA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FD3BC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AB0BC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AE32D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A2F1B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EE6232" w:rsidRPr="00D72B07" w14:paraId="31CE9A96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1EFC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DEA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D6814" w14:textId="77777777" w:rsidR="00EE6232" w:rsidRPr="009372C0" w:rsidRDefault="00EE623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CF4FF3" w:rsidRPr="00D72B07" w14:paraId="650E81A3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45BB" w14:textId="2BB14E5E" w:rsidR="00CF4FF3" w:rsidRPr="009372C0" w:rsidRDefault="00CF4FF3" w:rsidP="00CF4F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1C6D6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FD96" w14:textId="6A62B56B" w:rsidR="00CF4FF3" w:rsidRPr="009372C0" w:rsidRDefault="00CF4FF3" w:rsidP="00CF4F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1C6D6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5377D" w14:textId="0F755831" w:rsidR="00CF4FF3" w:rsidRPr="009372C0" w:rsidRDefault="006B28C2" w:rsidP="00CF4F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</w:t>
            </w:r>
            <w:r w:rsidR="00CF4FF3" w:rsidRPr="003558E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CF4FF3" w:rsidRPr="00D72B07" w14:paraId="18C385BD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3223" w14:textId="1E03B116" w:rsidR="00CF4FF3" w:rsidRPr="009372C0" w:rsidRDefault="00CF4FF3" w:rsidP="00CF4F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 w:rsidRPr="001C6D6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GTW BEARINGS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6672" w14:textId="75534389" w:rsidR="00CF4FF3" w:rsidRPr="009372C0" w:rsidRDefault="00CF4FF3" w:rsidP="00CF4F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 w:rsidRPr="001C6D6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6F577" w14:textId="23C514A0" w:rsidR="00CF4FF3" w:rsidRPr="009372C0" w:rsidRDefault="006B28C2" w:rsidP="00CF4F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0</w:t>
            </w:r>
            <w:r w:rsidR="00CF4FF3" w:rsidRPr="003558E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  <w:tr w:rsidR="006B28C2" w:rsidRPr="00D72B07" w14:paraId="2E32F7E9" w14:textId="77777777" w:rsidTr="00AE6568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5D48" w14:textId="0B70E1A3" w:rsidR="006B28C2" w:rsidRPr="009372C0" w:rsidRDefault="006B28C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Využití výsledku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B963" w14:textId="0B5FC49D" w:rsidR="006B28C2" w:rsidRPr="009372C0" w:rsidRDefault="006B28C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Nekomerční implementace při výzkumu, vývoji a výuce studentů</w:t>
            </w:r>
          </w:p>
        </w:tc>
      </w:tr>
    </w:tbl>
    <w:p w14:paraId="7ACD6BBC" w14:textId="28285386" w:rsidR="00EE6232" w:rsidRPr="009372C0" w:rsidRDefault="00EE6232" w:rsidP="00197160">
      <w:pPr>
        <w:rPr>
          <w:rFonts w:asciiTheme="majorHAnsi" w:hAnsiTheme="majorHAnsi" w:cstheme="majorHAnsi"/>
          <w:sz w:val="24"/>
          <w:szCs w:val="24"/>
        </w:rPr>
      </w:pPr>
    </w:p>
    <w:p w14:paraId="1189C091" w14:textId="6CAD3FAF" w:rsidR="004B7E74" w:rsidRPr="009372C0" w:rsidRDefault="004B7E74" w:rsidP="00197160">
      <w:pPr>
        <w:rPr>
          <w:rFonts w:asciiTheme="majorHAnsi" w:hAnsiTheme="majorHAnsi" w:cstheme="majorHAnsi"/>
        </w:rPr>
      </w:pPr>
    </w:p>
    <w:p w14:paraId="4D710194" w14:textId="24189F80" w:rsidR="004B7E74" w:rsidRDefault="004B7E74" w:rsidP="00197160">
      <w:pPr>
        <w:rPr>
          <w:rFonts w:asciiTheme="majorHAnsi" w:hAnsiTheme="majorHAnsi" w:cstheme="majorHAnsi"/>
        </w:rPr>
      </w:pPr>
    </w:p>
    <w:p w14:paraId="2A36B132" w14:textId="12A0C51C" w:rsidR="003D4D0C" w:rsidRDefault="003D4D0C" w:rsidP="009372C0">
      <w:pPr>
        <w:rPr>
          <w:rFonts w:asciiTheme="minorHAnsi" w:hAnsiTheme="minorHAnsi"/>
          <w:b/>
          <w:bCs/>
        </w:rPr>
      </w:pPr>
    </w:p>
    <w:sectPr w:rsidR="003D4D0C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 w15:restartNumberingAfterBreak="0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88304003">
    <w:abstractNumId w:val="0"/>
  </w:num>
  <w:num w:numId="2" w16cid:durableId="888614071">
    <w:abstractNumId w:val="6"/>
  </w:num>
  <w:num w:numId="3" w16cid:durableId="142278757">
    <w:abstractNumId w:val="17"/>
  </w:num>
  <w:num w:numId="4" w16cid:durableId="418258110">
    <w:abstractNumId w:val="2"/>
  </w:num>
  <w:num w:numId="5" w16cid:durableId="1620259549">
    <w:abstractNumId w:val="12"/>
  </w:num>
  <w:num w:numId="6" w16cid:durableId="807355133">
    <w:abstractNumId w:val="19"/>
  </w:num>
  <w:num w:numId="7" w16cid:durableId="1300649028">
    <w:abstractNumId w:val="3"/>
  </w:num>
  <w:num w:numId="8" w16cid:durableId="472256192">
    <w:abstractNumId w:val="18"/>
  </w:num>
  <w:num w:numId="9" w16cid:durableId="1528710558">
    <w:abstractNumId w:val="4"/>
  </w:num>
  <w:num w:numId="10" w16cid:durableId="680425686">
    <w:abstractNumId w:val="13"/>
  </w:num>
  <w:num w:numId="11" w16cid:durableId="1884368726">
    <w:abstractNumId w:val="16"/>
  </w:num>
  <w:num w:numId="12" w16cid:durableId="1931042281">
    <w:abstractNumId w:val="14"/>
  </w:num>
  <w:num w:numId="13" w16cid:durableId="1144741521">
    <w:abstractNumId w:val="10"/>
  </w:num>
  <w:num w:numId="14" w16cid:durableId="221715705">
    <w:abstractNumId w:val="11"/>
  </w:num>
  <w:num w:numId="15" w16cid:durableId="1752894158">
    <w:abstractNumId w:val="5"/>
  </w:num>
  <w:num w:numId="16" w16cid:durableId="1155610655">
    <w:abstractNumId w:val="1"/>
  </w:num>
  <w:num w:numId="17" w16cid:durableId="1506289288">
    <w:abstractNumId w:val="7"/>
  </w:num>
  <w:num w:numId="18" w16cid:durableId="344214881">
    <w:abstractNumId w:val="20"/>
  </w:num>
  <w:num w:numId="19" w16cid:durableId="1807119545">
    <w:abstractNumId w:val="9"/>
  </w:num>
  <w:num w:numId="20" w16cid:durableId="824514242">
    <w:abstractNumId w:val="8"/>
  </w:num>
  <w:num w:numId="21" w16cid:durableId="12762132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7B"/>
    <w:rsid w:val="00013490"/>
    <w:rsid w:val="00050DAD"/>
    <w:rsid w:val="000762FA"/>
    <w:rsid w:val="00082489"/>
    <w:rsid w:val="0009326E"/>
    <w:rsid w:val="000A4B13"/>
    <w:rsid w:val="000F09B6"/>
    <w:rsid w:val="001440B0"/>
    <w:rsid w:val="001579F4"/>
    <w:rsid w:val="001735F5"/>
    <w:rsid w:val="00197160"/>
    <w:rsid w:val="001A550B"/>
    <w:rsid w:val="001C50D3"/>
    <w:rsid w:val="00203BA7"/>
    <w:rsid w:val="0024167B"/>
    <w:rsid w:val="002560AF"/>
    <w:rsid w:val="00261AA5"/>
    <w:rsid w:val="00270AA4"/>
    <w:rsid w:val="002F0204"/>
    <w:rsid w:val="002F02CB"/>
    <w:rsid w:val="002F7735"/>
    <w:rsid w:val="0030639E"/>
    <w:rsid w:val="0032112C"/>
    <w:rsid w:val="00327B03"/>
    <w:rsid w:val="00344A67"/>
    <w:rsid w:val="00350007"/>
    <w:rsid w:val="00352955"/>
    <w:rsid w:val="0035705A"/>
    <w:rsid w:val="003A5436"/>
    <w:rsid w:val="003B3480"/>
    <w:rsid w:val="003D4D0C"/>
    <w:rsid w:val="00437A7B"/>
    <w:rsid w:val="00446B2F"/>
    <w:rsid w:val="00465F71"/>
    <w:rsid w:val="004863FB"/>
    <w:rsid w:val="00494706"/>
    <w:rsid w:val="004B10FF"/>
    <w:rsid w:val="004B7E74"/>
    <w:rsid w:val="0050192C"/>
    <w:rsid w:val="00503B06"/>
    <w:rsid w:val="00514E16"/>
    <w:rsid w:val="005201B5"/>
    <w:rsid w:val="005228FE"/>
    <w:rsid w:val="00572D88"/>
    <w:rsid w:val="005C0CDF"/>
    <w:rsid w:val="005D4D1A"/>
    <w:rsid w:val="00641F1E"/>
    <w:rsid w:val="006874A7"/>
    <w:rsid w:val="00687F19"/>
    <w:rsid w:val="006B28C2"/>
    <w:rsid w:val="006B5C05"/>
    <w:rsid w:val="0073139C"/>
    <w:rsid w:val="0078549D"/>
    <w:rsid w:val="007A420A"/>
    <w:rsid w:val="007A5F4D"/>
    <w:rsid w:val="00806417"/>
    <w:rsid w:val="00830ADC"/>
    <w:rsid w:val="00834EE4"/>
    <w:rsid w:val="0085526A"/>
    <w:rsid w:val="00855557"/>
    <w:rsid w:val="008812BE"/>
    <w:rsid w:val="00885512"/>
    <w:rsid w:val="008D5B7E"/>
    <w:rsid w:val="008E305F"/>
    <w:rsid w:val="008F3D39"/>
    <w:rsid w:val="009014A1"/>
    <w:rsid w:val="00923C28"/>
    <w:rsid w:val="00925F96"/>
    <w:rsid w:val="009372C0"/>
    <w:rsid w:val="00985A4E"/>
    <w:rsid w:val="00985B5B"/>
    <w:rsid w:val="009E3290"/>
    <w:rsid w:val="00A14237"/>
    <w:rsid w:val="00A16DD2"/>
    <w:rsid w:val="00A20474"/>
    <w:rsid w:val="00A34161"/>
    <w:rsid w:val="00A678B0"/>
    <w:rsid w:val="00AB3D28"/>
    <w:rsid w:val="00AB4CC6"/>
    <w:rsid w:val="00AC7FEF"/>
    <w:rsid w:val="00B2242D"/>
    <w:rsid w:val="00B2480B"/>
    <w:rsid w:val="00B7384B"/>
    <w:rsid w:val="00BA4D5B"/>
    <w:rsid w:val="00BA5E68"/>
    <w:rsid w:val="00BA6BBF"/>
    <w:rsid w:val="00BB53FD"/>
    <w:rsid w:val="00BC7A25"/>
    <w:rsid w:val="00BE50DA"/>
    <w:rsid w:val="00C1045C"/>
    <w:rsid w:val="00C32B4A"/>
    <w:rsid w:val="00C4064A"/>
    <w:rsid w:val="00C41221"/>
    <w:rsid w:val="00CB6CB1"/>
    <w:rsid w:val="00CC4EA9"/>
    <w:rsid w:val="00CF4FF3"/>
    <w:rsid w:val="00CF5352"/>
    <w:rsid w:val="00D32F74"/>
    <w:rsid w:val="00D40770"/>
    <w:rsid w:val="00D63C05"/>
    <w:rsid w:val="00D72B07"/>
    <w:rsid w:val="00D9229F"/>
    <w:rsid w:val="00DC0494"/>
    <w:rsid w:val="00DC460A"/>
    <w:rsid w:val="00DD5F7A"/>
    <w:rsid w:val="00DF2C9F"/>
    <w:rsid w:val="00E21FD1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E6232"/>
    <w:rsid w:val="00EF0627"/>
    <w:rsid w:val="00EF7302"/>
    <w:rsid w:val="00F15EA6"/>
    <w:rsid w:val="00F40EDE"/>
    <w:rsid w:val="00F54210"/>
    <w:rsid w:val="00F5538E"/>
    <w:rsid w:val="00F63EFC"/>
    <w:rsid w:val="00F87F07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  <w15:chartTrackingRefBased/>
  <w15:docId w15:val="{9816262D-CED7-48B9-A7B0-1DA590C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WYPQ5575VKCJ-1556776651-51245</_dlc_DocId>
    <_dlc_DocIdUrl xmlns="970dcfca-70e2-4ac0-8f52-e5c5eb9892de">
      <Url>https://intranet.vuts.cz/Projekty/_layouts/15/DocIdRedir.aspx?ID=WYPQ5575VKCJ-1556776651-51245</Url>
      <Description>WYPQ5575VKCJ-1556776651-51245</Description>
    </_dlc_DocIdUrl>
  </documentManagement>
</p:properties>
</file>

<file path=customXml/itemProps1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4E8EAE-624F-4FFF-9B80-38116530E5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2713</Words>
  <Characters>16012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Jaromír</dc:creator>
  <cp:keywords/>
  <dc:description/>
  <cp:lastModifiedBy>Blanka Grebeňová</cp:lastModifiedBy>
  <cp:revision>2</cp:revision>
  <dcterms:created xsi:type="dcterms:W3CDTF">2022-10-20T11:39:00Z</dcterms:created>
  <dcterms:modified xsi:type="dcterms:W3CDTF">2022-10-20T11:39:00Z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0ece4d77-3321-43dc-b358-ba41df5dc580</vt:lpwstr>
  </property>
</Properties>
</file>