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300" w:after="0"/>
                  </w:pPr>
                  <w:r>
                    <w:rPr>
                      <w:rStyle w:val="Text1"/>
                    </w:rPr>
                    <w:t xml:space="preserve">Objednáváme u Vás výměnu měřičů tepla  v bytových jednotkách a to ve staré i nové části čp.60.</w:t>
                  </w:r>
                  <w:r>
                    <w:rPr>
                      <w:rStyle w:val="Text1"/>
                    </w:rPr>
                    <w:br/>
                    <w:t xml:space="preserve">Dle předložené CN.</w:t>
                  </w:r>
                  <w:r>
                    <w:rPr>
                      <w:rStyle w:val="Text1"/>
                    </w:rPr>
                    <w:br/>
                    <w:t xml:space="preserve">Po výměně budou předány vyplněné montážní protokoly.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00-00-0060 -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TŘÍDA MÍRU 60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31.12.2022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142450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19.10.2022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2022/00089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Techem, spol.s.r.o.</w:t>
                  </w:r>
                  <w:r>
                    <w:rPr>
                      <w:rStyle w:val="Text4"/>
                    </w:rPr>
                    <w:br/>
                    <w:t xml:space="preserve">Počernická 272/96</w:t>
                  </w:r>
                  <w:r>
                    <w:rPr>
                      <w:rStyle w:val="Text4"/>
                    </w:rPr>
                    <w:br/>
                    <w:t xml:space="preserve">Praha 10 - Malešice 10800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2022-10-19T06:04:05Z</dcterms:created>
  <dcterms:modified xsi:type="dcterms:W3CDTF">2022-10-19T06:04:05Z</dcterms:modified>
  <cp:category/>
</cp:coreProperties>
</file>