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Změna přílohy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1 ke smlouvě o vedení účetnictví</w:t>
        <w:br/>
        <w:t>Základní škola s rozšířenou výukou jazyků, Praha 13, Bronzová 2027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4"/>
          <w:szCs w:val="34"/>
        </w:rPr>
      </w:pPr>
      <w:r>
        <w:rPr>
          <w:b/>
          <w:b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cs-CZ" w:eastAsia="cs-CZ" w:bidi="cs-CZ"/>
        </w:rPr>
        <w:t>SAZBY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vedení účetnictví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Účetnictví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 sazba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3900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měsíc do 100 zaúčtovaných položek v měsíci.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další položku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1200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zaúčtovaných položek v měsíci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18,6 Kč.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další položku v měsíci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9,3 Kč.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pozdním odevzdání podkladů se sazby zvyšují o 20% za každý měsíc zdržení, nejvýše o 100%.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22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pozdním odevzdání zaúčtovaných výsledků se sazby snižují o 10% za každý započatý týden zdržení, nejvýše na 50% základní sazby.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Zaškolení a konzultace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zaškolení nové hospodářky (příprava podkladů v rozsahu 3 hodin) a dvou pracovníků příkazce (příprava roční závěrky v rozsahu 2 hodin/rok) je zahrnuto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Vydávání metodických pokynů a vzorových dokladů pro přípravu podkladů je zahrnuto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Konzultace při přebírání podkladů v rozsahu 1 hodiny je zahrnuta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započatou hodinu další vyžádané konzultace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690 Kč.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vypočteným částkám se připočítává daň z přidané hodnoty dle příslušných předpisů.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Sazby platí od zpracování účetnictví 01/2021.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66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Příkazník je oprávněn jednou ročně upravit smluvní cenu služeb dle této smlouvy na základě zveřejnění Českého statistického úřadu o míře inflace. Informace o tomto navýšení bude zaslána spolu s fakturou za zpracování ledna.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178" w:val="left"/>
        </w:tabs>
        <w:bidi w:val="0"/>
        <w:spacing w:before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2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Digitálně podepsal Jiří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5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Iiří Ol mpr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olmer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Jll I k&gt;ll I ICI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2021.03.26 22:20:00 +01W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6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příkazníka</w:t>
      </w:r>
    </w:p>
    <w:sectPr>
      <w:footnotePr>
        <w:pos w:val="pageBottom"/>
        <w:numFmt w:val="decimal"/>
        <w:numRestart w:val="continuous"/>
      </w:footnotePr>
      <w:pgSz w:w="11900" w:h="16840"/>
      <w:pgMar w:top="1696" w:left="2066" w:right="1073" w:bottom="1696" w:header="1268" w:footer="12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110" w:line="214" w:lineRule="auto"/>
      <w:ind w:left="27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line="317" w:lineRule="auto"/>
      <w:ind w:left="5420" w:right="4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