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5F669F" w14:textId="77777777" w:rsidR="00B4341A" w:rsidRPr="00E26B08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bookmarkStart w:id="0" w:name="_GoBack"/>
      <w:bookmarkEnd w:id="0"/>
      <w:r w:rsidRPr="00E26B08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2251E30C" w14:textId="466F4FEC" w:rsidR="0021406B" w:rsidRPr="00E26B08" w:rsidRDefault="00E81FED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r>
        <w:rPr>
          <w:rFonts w:ascii="Tahoma" w:hAnsi="Tahoma" w:cs="Tahoma"/>
          <w:b/>
          <w:sz w:val="16"/>
          <w:szCs w:val="16"/>
        </w:rPr>
        <w:t>HPST, s.r.o.</w:t>
      </w:r>
      <w:r w:rsidRPr="00E26B08">
        <w:rPr>
          <w:rFonts w:ascii="Tahoma" w:hAnsi="Tahoma" w:cs="Tahoma"/>
          <w:b/>
          <w:sz w:val="16"/>
          <w:szCs w:val="16"/>
          <w:shd w:val="clear" w:color="auto" w:fill="FFFF00"/>
        </w:rPr>
        <w:t xml:space="preserve"> </w:t>
      </w:r>
    </w:p>
    <w:p w14:paraId="3A800C0A" w14:textId="32333D50" w:rsidR="0021406B" w:rsidRPr="00E26B0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apsána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dne v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E81FED">
        <w:rPr>
          <w:rFonts w:ascii="Tahoma" w:hAnsi="Tahoma" w:cs="Tahoma"/>
          <w:sz w:val="16"/>
          <w:szCs w:val="16"/>
        </w:rPr>
        <w:t>Městským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E81FED">
        <w:rPr>
          <w:rFonts w:ascii="Tahoma" w:hAnsi="Tahoma" w:cs="Tahoma"/>
          <w:sz w:val="16"/>
          <w:szCs w:val="16"/>
        </w:rPr>
        <w:t>Praze</w:t>
      </w:r>
      <w:r w:rsidR="0021406B" w:rsidRPr="00E26B08">
        <w:rPr>
          <w:rFonts w:ascii="Tahoma" w:hAnsi="Tahoma" w:cs="Tahoma"/>
          <w:sz w:val="16"/>
          <w:szCs w:val="16"/>
        </w:rPr>
        <w:t>, v</w:t>
      </w:r>
      <w:r w:rsidR="00983E42" w:rsidRPr="00E26B08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E81FED">
        <w:rPr>
          <w:rFonts w:ascii="Tahoma" w:hAnsi="Tahoma" w:cs="Tahoma"/>
          <w:sz w:val="16"/>
          <w:szCs w:val="16"/>
        </w:rPr>
        <w:t>C</w:t>
      </w:r>
      <w:r w:rsidR="0021406B" w:rsidRPr="00E26B08">
        <w:rPr>
          <w:rFonts w:ascii="Tahoma" w:hAnsi="Tahoma" w:cs="Tahoma"/>
          <w:sz w:val="16"/>
          <w:szCs w:val="16"/>
        </w:rPr>
        <w:t xml:space="preserve">, vložce </w:t>
      </w:r>
      <w:r w:rsidR="00E81FED">
        <w:rPr>
          <w:rFonts w:ascii="Tahoma" w:hAnsi="Tahoma" w:cs="Tahoma"/>
          <w:sz w:val="16"/>
          <w:szCs w:val="16"/>
        </w:rPr>
        <w:t>70568</w:t>
      </w:r>
    </w:p>
    <w:p w14:paraId="40A917EF" w14:textId="54A2891E" w:rsidR="00E81FED" w:rsidRPr="00E81FED" w:rsidRDefault="0021406B" w:rsidP="00E81FED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</w:r>
      <w:r w:rsidR="00E81FED" w:rsidRPr="00E81FED">
        <w:rPr>
          <w:rFonts w:ascii="Tahoma" w:hAnsi="Tahoma" w:cs="Tahoma"/>
          <w:sz w:val="16"/>
          <w:szCs w:val="16"/>
        </w:rPr>
        <w:t xml:space="preserve">Na Jetelce 69/2, Vysočany, </w:t>
      </w:r>
      <w:r w:rsidR="00BF5586">
        <w:rPr>
          <w:rFonts w:ascii="Tahoma" w:hAnsi="Tahoma" w:cs="Tahoma"/>
          <w:sz w:val="16"/>
          <w:szCs w:val="16"/>
        </w:rPr>
        <w:t xml:space="preserve">PSČ: </w:t>
      </w:r>
      <w:r w:rsidR="00E81FED" w:rsidRPr="00E81FED">
        <w:rPr>
          <w:rFonts w:ascii="Tahoma" w:hAnsi="Tahoma" w:cs="Tahoma"/>
          <w:sz w:val="16"/>
          <w:szCs w:val="16"/>
        </w:rPr>
        <w:t>190 00</w:t>
      </w:r>
      <w:r w:rsidR="00BF5586">
        <w:rPr>
          <w:rFonts w:ascii="Tahoma" w:hAnsi="Tahoma" w:cs="Tahoma"/>
          <w:sz w:val="16"/>
          <w:szCs w:val="16"/>
        </w:rPr>
        <w:t>,</w:t>
      </w:r>
      <w:r w:rsidR="00E81FED" w:rsidRPr="00E81FED">
        <w:rPr>
          <w:rFonts w:ascii="Tahoma" w:hAnsi="Tahoma" w:cs="Tahoma"/>
          <w:sz w:val="16"/>
          <w:szCs w:val="16"/>
        </w:rPr>
        <w:t xml:space="preserve"> Praha 9</w:t>
      </w:r>
    </w:p>
    <w:p w14:paraId="7D0A67F4" w14:textId="26E057B5" w:rsidR="0021406B" w:rsidRPr="00E81FED" w:rsidRDefault="0021406B" w:rsidP="00E81FED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</w:t>
      </w:r>
      <w:r w:rsidR="00BF5586">
        <w:rPr>
          <w:rFonts w:ascii="Tahoma" w:hAnsi="Tahoma" w:cs="Tahoma"/>
          <w:sz w:val="16"/>
          <w:szCs w:val="16"/>
        </w:rPr>
        <w:t>O</w:t>
      </w:r>
      <w:r w:rsidRPr="00E26B08">
        <w:rPr>
          <w:rFonts w:ascii="Tahoma" w:hAnsi="Tahoma" w:cs="Tahoma"/>
          <w:sz w:val="16"/>
          <w:szCs w:val="16"/>
        </w:rPr>
        <w:t xml:space="preserve">: </w:t>
      </w:r>
      <w:r w:rsidR="00E81FED" w:rsidRPr="00E81FED">
        <w:rPr>
          <w:rFonts w:ascii="Tahoma" w:hAnsi="Tahoma" w:cs="Tahoma"/>
          <w:sz w:val="16"/>
          <w:szCs w:val="16"/>
        </w:rPr>
        <w:t>257</w:t>
      </w:r>
      <w:r w:rsidR="00BF5586">
        <w:rPr>
          <w:rFonts w:ascii="Tahoma" w:hAnsi="Tahoma" w:cs="Tahoma"/>
          <w:sz w:val="16"/>
          <w:szCs w:val="16"/>
        </w:rPr>
        <w:t xml:space="preserve"> </w:t>
      </w:r>
      <w:r w:rsidR="00E81FED" w:rsidRPr="00E81FED">
        <w:rPr>
          <w:rFonts w:ascii="Tahoma" w:hAnsi="Tahoma" w:cs="Tahoma"/>
          <w:sz w:val="16"/>
          <w:szCs w:val="16"/>
        </w:rPr>
        <w:t>91</w:t>
      </w:r>
      <w:r w:rsidR="00BF5586">
        <w:rPr>
          <w:rFonts w:ascii="Tahoma" w:hAnsi="Tahoma" w:cs="Tahoma"/>
          <w:sz w:val="16"/>
          <w:szCs w:val="16"/>
        </w:rPr>
        <w:t xml:space="preserve"> </w:t>
      </w:r>
      <w:r w:rsidR="00E81FED" w:rsidRPr="00E81FED">
        <w:rPr>
          <w:rFonts w:ascii="Tahoma" w:hAnsi="Tahoma" w:cs="Tahoma"/>
          <w:sz w:val="16"/>
          <w:szCs w:val="16"/>
        </w:rPr>
        <w:t>079</w:t>
      </w:r>
      <w:r w:rsidR="00E81FED">
        <w:rPr>
          <w:rFonts w:ascii="Tahoma" w:hAnsi="Tahoma" w:cs="Tahoma"/>
          <w:sz w:val="16"/>
          <w:szCs w:val="16"/>
        </w:rPr>
        <w:t xml:space="preserve">     </w:t>
      </w:r>
      <w:r w:rsidRPr="00E26B08">
        <w:rPr>
          <w:rFonts w:ascii="Tahoma" w:hAnsi="Tahoma" w:cs="Tahoma"/>
          <w:sz w:val="16"/>
          <w:szCs w:val="16"/>
        </w:rPr>
        <w:t>DIČ: CZ</w:t>
      </w:r>
      <w:r w:rsidR="00E81FED" w:rsidRPr="00E81FED">
        <w:rPr>
          <w:rFonts w:ascii="Tahoma" w:hAnsi="Tahoma" w:cs="Tahoma"/>
          <w:sz w:val="16"/>
          <w:szCs w:val="16"/>
        </w:rPr>
        <w:t>25791079</w:t>
      </w:r>
    </w:p>
    <w:p w14:paraId="1342E72A" w14:textId="3172F9EC" w:rsidR="0021406B" w:rsidRPr="00E26B08" w:rsidRDefault="00D22BE5" w:rsidP="00E81FED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E81FED" w:rsidRPr="00E81FED">
        <w:rPr>
          <w:rFonts w:ascii="Tahoma" w:hAnsi="Tahoma" w:cs="Tahoma"/>
          <w:sz w:val="16"/>
          <w:szCs w:val="16"/>
        </w:rPr>
        <w:t>RNDr. Karlem Vranovským, CSc</w:t>
      </w:r>
      <w:r w:rsidR="00E81FED">
        <w:rPr>
          <w:rFonts w:ascii="Tahoma" w:hAnsi="Tahoma" w:cs="Tahoma"/>
          <w:sz w:val="16"/>
          <w:szCs w:val="16"/>
        </w:rPr>
        <w:t>.</w:t>
      </w:r>
      <w:r w:rsidR="00E81FED" w:rsidRPr="00E81FED">
        <w:rPr>
          <w:rFonts w:ascii="Tahoma" w:hAnsi="Tahoma" w:cs="Tahoma"/>
          <w:sz w:val="16"/>
          <w:szCs w:val="16"/>
        </w:rPr>
        <w:t>, jednatelem</w:t>
      </w:r>
    </w:p>
    <w:p w14:paraId="1E44D8C0" w14:textId="77777777" w:rsidR="0021406B" w:rsidRPr="00E26B08" w:rsidRDefault="0021406B" w:rsidP="00E81FED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81FED">
        <w:rPr>
          <w:rFonts w:ascii="Tahoma" w:hAnsi="Tahoma" w:cs="Tahoma"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E26B0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38DD1D98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 xml:space="preserve">2, </w:t>
      </w:r>
      <w:r w:rsidR="00A47872">
        <w:rPr>
          <w:rFonts w:ascii="Tahoma" w:hAnsi="Tahoma" w:cs="Tahoma"/>
          <w:sz w:val="16"/>
          <w:szCs w:val="16"/>
        </w:rPr>
        <w:t xml:space="preserve">PSČ: </w:t>
      </w:r>
      <w:r w:rsidRPr="00E26B08">
        <w:rPr>
          <w:rFonts w:ascii="Tahoma" w:hAnsi="Tahoma" w:cs="Tahoma"/>
          <w:sz w:val="16"/>
          <w:szCs w:val="16"/>
        </w:rPr>
        <w:t>128 08</w:t>
      </w:r>
      <w:r w:rsidR="00A47872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Praha 2</w:t>
      </w:r>
    </w:p>
    <w:p w14:paraId="1707FFBB" w14:textId="79A664E8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</w:t>
      </w:r>
      <w:r w:rsidR="00A47872">
        <w:rPr>
          <w:rFonts w:ascii="Tahoma" w:hAnsi="Tahoma" w:cs="Tahoma"/>
          <w:sz w:val="16"/>
          <w:szCs w:val="16"/>
        </w:rPr>
        <w:t>O</w:t>
      </w:r>
      <w:r w:rsidRPr="00E26B08">
        <w:rPr>
          <w:rFonts w:ascii="Tahoma" w:hAnsi="Tahoma" w:cs="Tahoma"/>
          <w:sz w:val="16"/>
          <w:szCs w:val="16"/>
        </w:rPr>
        <w:t>: 000 64 165</w:t>
      </w:r>
      <w:r w:rsidRPr="00E26B0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281B4D14" w:rsidR="0021406B" w:rsidRPr="00E26B0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Davidem Feltlem, Ph.D., MBA, ředitelem</w:t>
      </w:r>
    </w:p>
    <w:p w14:paraId="1529C4C5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2C3FA81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</w:t>
      </w:r>
      <w:r w:rsidR="007E6037">
        <w:rPr>
          <w:rFonts w:ascii="Tahoma" w:hAnsi="Tahoma" w:cs="Tahoma"/>
          <w:sz w:val="16"/>
          <w:szCs w:val="16"/>
        </w:rPr>
        <w:t xml:space="preserve"> zák. č. 89/2012 Sb.,</w:t>
      </w:r>
      <w:r w:rsidRPr="00E26B08">
        <w:rPr>
          <w:rFonts w:ascii="Tahoma" w:hAnsi="Tahoma" w:cs="Tahoma"/>
          <w:sz w:val="16"/>
          <w:szCs w:val="16"/>
        </w:rPr>
        <w:t xml:space="preserve"> občanského zákoníku</w:t>
      </w:r>
      <w:r w:rsidR="007E6037">
        <w:rPr>
          <w:rFonts w:ascii="Tahoma" w:hAnsi="Tahoma" w:cs="Tahoma"/>
          <w:sz w:val="16"/>
          <w:szCs w:val="16"/>
        </w:rPr>
        <w:t xml:space="preserve">, </w:t>
      </w:r>
      <w:r w:rsidRPr="00E26B08">
        <w:rPr>
          <w:rFonts w:ascii="Tahoma" w:hAnsi="Tahoma" w:cs="Tahoma"/>
          <w:sz w:val="16"/>
          <w:szCs w:val="16"/>
        </w:rPr>
        <w:t xml:space="preserve">v platném znění </w:t>
      </w:r>
      <w:r w:rsidR="007E6037">
        <w:rPr>
          <w:rFonts w:ascii="Tahoma" w:hAnsi="Tahoma" w:cs="Tahoma"/>
          <w:sz w:val="16"/>
          <w:szCs w:val="16"/>
        </w:rPr>
        <w:t xml:space="preserve">(dále též „OZ“) </w:t>
      </w:r>
      <w:r w:rsidRPr="00E26B08">
        <w:rPr>
          <w:rFonts w:ascii="Tahoma" w:hAnsi="Tahoma" w:cs="Tahoma"/>
          <w:sz w:val="16"/>
          <w:szCs w:val="16"/>
        </w:rPr>
        <w:t xml:space="preserve">tuto </w:t>
      </w:r>
    </w:p>
    <w:p w14:paraId="682CD1B3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E26B0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E26B08">
        <w:rPr>
          <w:rFonts w:ascii="Tahoma" w:hAnsi="Tahoma" w:cs="Tahoma"/>
          <w:b/>
          <w:spacing w:val="60"/>
          <w:sz w:val="16"/>
          <w:szCs w:val="16"/>
        </w:rPr>
        <w:t>u</w:t>
      </w:r>
      <w:r w:rsidRPr="00E26B0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20F367D2" w14:textId="773CFA71" w:rsidR="0021406B" w:rsidRPr="00E26B08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je vlastníkem zdravotnického přístroje </w:t>
      </w:r>
      <w:r w:rsidR="00E81FED" w:rsidRPr="00E81FED">
        <w:rPr>
          <w:rFonts w:ascii="Tahoma" w:hAnsi="Tahoma" w:cs="Tahoma"/>
          <w:sz w:val="16"/>
          <w:szCs w:val="16"/>
        </w:rPr>
        <w:t>„</w:t>
      </w:r>
      <w:r w:rsidR="00E81FED" w:rsidRPr="00E81FED">
        <w:rPr>
          <w:rFonts w:ascii="Tahoma" w:hAnsi="Tahoma" w:cs="Tahoma"/>
          <w:b/>
          <w:bCs/>
          <w:sz w:val="16"/>
          <w:szCs w:val="16"/>
        </w:rPr>
        <w:t>Dako Omnis" typ GI100</w:t>
      </w:r>
      <w:r w:rsidR="00983E42" w:rsidRPr="00E26B08">
        <w:rPr>
          <w:rFonts w:ascii="Tahoma" w:hAnsi="Tahoma" w:cs="Tahoma"/>
          <w:sz w:val="16"/>
          <w:szCs w:val="16"/>
        </w:rPr>
        <w:t>“</w:t>
      </w:r>
      <w:r w:rsidRPr="00E26B08">
        <w:rPr>
          <w:rFonts w:ascii="Tahoma" w:hAnsi="Tahoma" w:cs="Tahoma"/>
          <w:sz w:val="16"/>
          <w:szCs w:val="16"/>
        </w:rPr>
        <w:t xml:space="preserve"> v</w:t>
      </w:r>
      <w:r w:rsidR="00256529">
        <w:rPr>
          <w:rFonts w:ascii="Tahoma" w:hAnsi="Tahoma" w:cs="Tahoma"/>
          <w:sz w:val="16"/>
          <w:szCs w:val="16"/>
        </w:rPr>
        <w:t> </w:t>
      </w:r>
      <w:r w:rsidR="00E81FED">
        <w:rPr>
          <w:rFonts w:ascii="Tahoma" w:hAnsi="Tahoma" w:cs="Tahoma"/>
          <w:sz w:val="16"/>
          <w:szCs w:val="16"/>
        </w:rPr>
        <w:t>hodnotě</w:t>
      </w:r>
      <w:r w:rsidR="00256529">
        <w:rPr>
          <w:rFonts w:ascii="Tahoma" w:hAnsi="Tahoma" w:cs="Tahoma"/>
          <w:sz w:val="16"/>
          <w:szCs w:val="16"/>
        </w:rPr>
        <w:t xml:space="preserve"> 3.850.000</w:t>
      </w:r>
      <w:r w:rsidRPr="00E26B08">
        <w:rPr>
          <w:rFonts w:ascii="Tahoma" w:hAnsi="Tahoma" w:cs="Tahoma"/>
          <w:sz w:val="16"/>
          <w:szCs w:val="16"/>
        </w:rPr>
        <w:t>,- Kč</w:t>
      </w:r>
      <w:r w:rsidR="00E81FED">
        <w:rPr>
          <w:rFonts w:ascii="Tahoma" w:hAnsi="Tahoma" w:cs="Tahoma"/>
          <w:sz w:val="16"/>
          <w:szCs w:val="16"/>
        </w:rPr>
        <w:t xml:space="preserve"> bez DPH</w:t>
      </w:r>
      <w:r w:rsidR="00D34394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v</w:t>
      </w:r>
      <w:r w:rsidR="00900AEA" w:rsidRPr="00E26B08">
        <w:rPr>
          <w:rFonts w:ascii="Tahoma" w:hAnsi="Tahoma" w:cs="Tahoma"/>
          <w:sz w:val="16"/>
          <w:szCs w:val="16"/>
        </w:rPr>
        <w:t xml:space="preserve">ýrobní </w:t>
      </w:r>
      <w:r w:rsidR="00745C62" w:rsidRPr="00E26B08">
        <w:rPr>
          <w:rFonts w:ascii="Tahoma" w:hAnsi="Tahoma" w:cs="Tahoma"/>
          <w:sz w:val="16"/>
          <w:szCs w:val="16"/>
        </w:rPr>
        <w:t>č</w:t>
      </w:r>
      <w:r w:rsidR="00900AEA" w:rsidRPr="00E26B08">
        <w:rPr>
          <w:rFonts w:ascii="Tahoma" w:hAnsi="Tahoma" w:cs="Tahoma"/>
          <w:sz w:val="16"/>
          <w:szCs w:val="16"/>
        </w:rPr>
        <w:t>íslo</w:t>
      </w:r>
      <w:r w:rsidR="001D31A6" w:rsidRPr="00E26B08">
        <w:rPr>
          <w:rFonts w:ascii="Tahoma" w:hAnsi="Tahoma" w:cs="Tahoma"/>
          <w:sz w:val="16"/>
          <w:szCs w:val="16"/>
        </w:rPr>
        <w:t xml:space="preserve"> </w:t>
      </w:r>
      <w:r w:rsidR="00ED1CAA">
        <w:rPr>
          <w:rFonts w:ascii="Tahoma" w:hAnsi="Tahoma" w:cs="Tahoma"/>
          <w:sz w:val="16"/>
          <w:szCs w:val="16"/>
        </w:rPr>
        <w:t>XXXXXXXXXXXXX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34E2A3BA" w14:textId="71573080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</w:t>
      </w:r>
      <w:r w:rsidR="00E81FED">
        <w:rPr>
          <w:rFonts w:ascii="Tahoma" w:hAnsi="Tahoma" w:cs="Tahoma"/>
          <w:sz w:val="16"/>
          <w:szCs w:val="16"/>
        </w:rPr>
        <w:t xml:space="preserve">v Ústavu Patologie </w:t>
      </w:r>
      <w:r w:rsidRPr="00E26B0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72F1AFA2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předání předmětu výpůjčky a jeho převzetí dojde </w:t>
      </w:r>
      <w:r w:rsidR="00256529">
        <w:rPr>
          <w:rFonts w:ascii="Tahoma" w:hAnsi="Tahoma" w:cs="Tahoma"/>
          <w:sz w:val="16"/>
          <w:szCs w:val="16"/>
        </w:rPr>
        <w:t>v Ústavu Patologie</w:t>
      </w:r>
      <w:r w:rsidR="00EA7DF4" w:rsidRPr="00E26B08">
        <w:rPr>
          <w:rFonts w:ascii="Tahoma" w:hAnsi="Tahoma" w:cs="Tahoma"/>
          <w:sz w:val="16"/>
          <w:szCs w:val="16"/>
        </w:rPr>
        <w:t xml:space="preserve">, </w:t>
      </w:r>
      <w:r w:rsidR="00256529" w:rsidRPr="00256529">
        <w:rPr>
          <w:rFonts w:ascii="Tahoma" w:hAnsi="Tahoma" w:cs="Tahoma"/>
          <w:sz w:val="16"/>
          <w:szCs w:val="16"/>
        </w:rPr>
        <w:t>Studničkova 2039/2, Praha 2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AA6C79" w:rsidRPr="00E26B08">
        <w:rPr>
          <w:rFonts w:ascii="Tahoma" w:hAnsi="Tahoma" w:cs="Tahoma"/>
          <w:sz w:val="16"/>
          <w:szCs w:val="16"/>
        </w:rPr>
        <w:t>do 14 dnů od podpisu</w:t>
      </w:r>
      <w:r w:rsidRPr="00E26B08">
        <w:rPr>
          <w:rFonts w:ascii="Tahoma" w:hAnsi="Tahoma" w:cs="Tahoma"/>
          <w:sz w:val="16"/>
          <w:szCs w:val="16"/>
        </w:rPr>
        <w:t xml:space="preserve"> této smlouvy. </w:t>
      </w:r>
    </w:p>
    <w:p w14:paraId="162BE668" w14:textId="77777777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E26B0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E26B0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4BD191C1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5C1B3E">
        <w:rPr>
          <w:rFonts w:ascii="Tahoma" w:hAnsi="Tahoma" w:cs="Tahoma"/>
          <w:sz w:val="16"/>
          <w:szCs w:val="16"/>
        </w:rPr>
        <w:t xml:space="preserve"> </w:t>
      </w:r>
      <w:r w:rsidR="00A11DCD">
        <w:rPr>
          <w:rFonts w:ascii="Tahoma" w:hAnsi="Tahoma" w:cs="Tahoma"/>
          <w:sz w:val="16"/>
          <w:szCs w:val="16"/>
        </w:rPr>
        <w:t>n</w:t>
      </w:r>
      <w:r w:rsidR="005C1B3E">
        <w:rPr>
          <w:rFonts w:ascii="Tahoma" w:hAnsi="Tahoma" w:cs="Tahoma"/>
          <w:sz w:val="16"/>
          <w:szCs w:val="16"/>
        </w:rPr>
        <w:t>eurčitou</w:t>
      </w:r>
      <w:r w:rsidRPr="00E26B08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0FDFD353" w:rsidR="00805A35" w:rsidRPr="00E26B08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</w:t>
      </w:r>
      <w:r w:rsidR="00ED1CAA">
        <w:rPr>
          <w:rFonts w:ascii="Tahoma" w:hAnsi="Tahoma" w:cs="Tahoma"/>
          <w:sz w:val="16"/>
          <w:szCs w:val="16"/>
        </w:rPr>
        <w:t>XXXX XXXXXXXXX</w:t>
      </w:r>
      <w:r w:rsidRPr="00E26B08">
        <w:rPr>
          <w:rFonts w:ascii="Tahoma" w:hAnsi="Tahoma" w:cs="Tahoma"/>
          <w:sz w:val="16"/>
          <w:szCs w:val="16"/>
        </w:rPr>
        <w:t xml:space="preserve">, tel.: </w:t>
      </w:r>
      <w:r w:rsidR="00ED1CAA">
        <w:rPr>
          <w:rFonts w:ascii="Tahoma" w:hAnsi="Tahoma" w:cs="Tahoma"/>
          <w:sz w:val="16"/>
          <w:szCs w:val="16"/>
        </w:rPr>
        <w:t>XXXXXXXXXXXXX,</w:t>
      </w:r>
      <w:r w:rsidR="00ED1CAA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e-mail: </w:t>
      </w:r>
      <w:hyperlink r:id="rId13" w:history="1">
        <w:r w:rsidR="00ED1CAA" w:rsidRPr="00ED1CAA">
          <w:rPr>
            <w:rFonts w:ascii="Tahoma" w:hAnsi="Tahoma" w:cs="Tahoma"/>
            <w:sz w:val="16"/>
            <w:szCs w:val="16"/>
          </w:rPr>
          <w:t xml:space="preserve"> </w:t>
        </w:r>
        <w:r w:rsidR="00ED1CAA">
          <w:rPr>
            <w:rFonts w:ascii="Tahoma" w:hAnsi="Tahoma" w:cs="Tahoma"/>
            <w:sz w:val="16"/>
            <w:szCs w:val="16"/>
          </w:rPr>
          <w:t>XXXXXXXXXXXXX</w:t>
        </w:r>
      </w:hyperlink>
      <w:r w:rsidRPr="00E26B08">
        <w:rPr>
          <w:rFonts w:ascii="Tahoma" w:hAnsi="Tahoma" w:cs="Tahoma"/>
          <w:sz w:val="16"/>
          <w:szCs w:val="16"/>
        </w:rPr>
        <w:t xml:space="preserve"> a správce ZT </w:t>
      </w:r>
      <w:r w:rsidR="00DC5896">
        <w:rPr>
          <w:rFonts w:ascii="Tahoma" w:hAnsi="Tahoma" w:cs="Tahoma"/>
          <w:sz w:val="16"/>
          <w:szCs w:val="16"/>
        </w:rPr>
        <w:t xml:space="preserve">v </w:t>
      </w:r>
      <w:r w:rsidR="00DC5896" w:rsidRPr="00DC5896">
        <w:rPr>
          <w:rFonts w:ascii="Tahoma" w:hAnsi="Tahoma" w:cs="Tahoma"/>
          <w:sz w:val="16"/>
          <w:szCs w:val="16"/>
        </w:rPr>
        <w:t xml:space="preserve">na Ústavu patologie </w:t>
      </w:r>
      <w:r w:rsidR="00ED1CAA">
        <w:rPr>
          <w:rFonts w:ascii="Tahoma" w:hAnsi="Tahoma" w:cs="Tahoma"/>
          <w:sz w:val="16"/>
          <w:szCs w:val="16"/>
        </w:rPr>
        <w:t>XXXX XXXXXXXXX</w:t>
      </w:r>
      <w:r w:rsidR="00DC5896" w:rsidRPr="00DC5896">
        <w:rPr>
          <w:rFonts w:ascii="Tahoma" w:hAnsi="Tahoma" w:cs="Tahoma"/>
          <w:sz w:val="16"/>
          <w:szCs w:val="16"/>
        </w:rPr>
        <w:t xml:space="preserve">; tel.: </w:t>
      </w:r>
      <w:r w:rsidR="00ED1CAA">
        <w:rPr>
          <w:rFonts w:ascii="Tahoma" w:hAnsi="Tahoma" w:cs="Tahoma"/>
          <w:sz w:val="16"/>
          <w:szCs w:val="16"/>
        </w:rPr>
        <w:t>XXXXXXXXXXXXX</w:t>
      </w:r>
      <w:r w:rsidR="00DC5896" w:rsidRPr="00DC5896">
        <w:rPr>
          <w:rFonts w:ascii="Tahoma" w:hAnsi="Tahoma" w:cs="Tahoma"/>
          <w:sz w:val="16"/>
          <w:szCs w:val="16"/>
        </w:rPr>
        <w:t xml:space="preserve">, e-mail: </w:t>
      </w:r>
      <w:r w:rsidR="00ED1CAA">
        <w:rPr>
          <w:rFonts w:ascii="Tahoma" w:hAnsi="Tahoma" w:cs="Tahoma"/>
          <w:sz w:val="16"/>
          <w:szCs w:val="16"/>
        </w:rPr>
        <w:t>XXXXXXXXXXXXX</w:t>
      </w:r>
      <w:r w:rsidR="00DC5896" w:rsidRPr="00DC5896">
        <w:rPr>
          <w:rFonts w:ascii="Tahoma" w:hAnsi="Tahoma" w:cs="Tahoma"/>
          <w:sz w:val="16"/>
          <w:szCs w:val="16"/>
        </w:rPr>
        <w:t>.</w:t>
      </w:r>
      <w:r w:rsidR="001F50DA" w:rsidRPr="00E26B08">
        <w:rPr>
          <w:rFonts w:ascii="Tahoma" w:hAnsi="Tahoma" w:cs="Tahoma"/>
          <w:sz w:val="16"/>
          <w:szCs w:val="16"/>
        </w:rPr>
        <w:t xml:space="preserve"> </w:t>
      </w:r>
    </w:p>
    <w:p w14:paraId="2700EC42" w14:textId="146B8B8B" w:rsidR="001F50DA" w:rsidRPr="00E26B08" w:rsidRDefault="001F50DA" w:rsidP="00DC5896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půjčitele je: </w:t>
      </w:r>
      <w:r w:rsidR="00ED1CAA">
        <w:rPr>
          <w:rFonts w:ascii="Tahoma" w:hAnsi="Tahoma" w:cs="Tahoma"/>
          <w:sz w:val="16"/>
          <w:szCs w:val="16"/>
        </w:rPr>
        <w:t>XXXX XXXXXXXXX</w:t>
      </w:r>
      <w:r w:rsidR="00A856A2" w:rsidRPr="00A856A2">
        <w:rPr>
          <w:rFonts w:ascii="Tahoma" w:hAnsi="Tahoma" w:cs="Tahoma"/>
          <w:sz w:val="16"/>
          <w:szCs w:val="16"/>
        </w:rPr>
        <w:t xml:space="preserve">, </w:t>
      </w:r>
      <w:r w:rsidR="00ED1CAA">
        <w:rPr>
          <w:rFonts w:ascii="Tahoma" w:hAnsi="Tahoma" w:cs="Tahoma"/>
          <w:sz w:val="16"/>
          <w:szCs w:val="16"/>
        </w:rPr>
        <w:t>XXXXXXXXXXXXX</w:t>
      </w:r>
      <w:r w:rsidR="006C7DB8">
        <w:rPr>
          <w:rFonts w:ascii="Tahoma" w:hAnsi="Tahoma" w:cs="Tahoma"/>
          <w:sz w:val="16"/>
          <w:szCs w:val="16"/>
        </w:rPr>
        <w:t xml:space="preserve"> </w:t>
      </w:r>
      <w:r w:rsidR="00A856A2" w:rsidRPr="00A856A2">
        <w:rPr>
          <w:rFonts w:ascii="Tahoma" w:hAnsi="Tahoma" w:cs="Tahoma"/>
          <w:sz w:val="16"/>
          <w:szCs w:val="16"/>
        </w:rPr>
        <w:t xml:space="preserve">, tel. č.: </w:t>
      </w:r>
      <w:r w:rsidR="00ED1CAA">
        <w:rPr>
          <w:rFonts w:ascii="Tahoma" w:hAnsi="Tahoma" w:cs="Tahoma"/>
          <w:sz w:val="16"/>
          <w:szCs w:val="16"/>
        </w:rPr>
        <w:t>XXXXXXXXXXXXX</w:t>
      </w:r>
      <w:r w:rsidR="00A856A2" w:rsidRPr="00A856A2">
        <w:rPr>
          <w:rFonts w:ascii="Tahoma" w:hAnsi="Tahoma" w:cs="Tahoma"/>
          <w:sz w:val="16"/>
          <w:szCs w:val="16"/>
        </w:rPr>
        <w:t>.</w:t>
      </w:r>
      <w:r w:rsidR="006C7DB8" w:rsidRPr="00E26B08">
        <w:rPr>
          <w:rFonts w:ascii="Tahoma" w:hAnsi="Tahoma" w:cs="Tahoma"/>
          <w:sz w:val="16"/>
          <w:szCs w:val="16"/>
        </w:rPr>
        <w:t xml:space="preserve"> </w:t>
      </w:r>
    </w:p>
    <w:p w14:paraId="35CB43D7" w14:textId="7D2858B3" w:rsidR="00B4341A" w:rsidRPr="006C7DB8" w:rsidRDefault="00ED1CAA" w:rsidP="006C7DB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51F66D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77777777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4E4E2C14" w:rsidR="00E42B3B" w:rsidRPr="00E26B08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zaškolení</w:t>
      </w:r>
      <w:r w:rsidR="00900AEA" w:rsidRPr="00E26B08">
        <w:rPr>
          <w:rFonts w:ascii="Tahoma" w:hAnsi="Tahoma" w:cs="Tahoma"/>
          <w:sz w:val="16"/>
          <w:szCs w:val="16"/>
        </w:rPr>
        <w:t>,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E26B08">
        <w:rPr>
          <w:rFonts w:ascii="Tahoma" w:hAnsi="Tahoma" w:cs="Tahoma"/>
          <w:sz w:val="16"/>
          <w:szCs w:val="16"/>
        </w:rPr>
        <w:t>v</w:t>
      </w:r>
      <w:r w:rsidR="00853BF3">
        <w:rPr>
          <w:rFonts w:ascii="Tahoma" w:hAnsi="Tahoma" w:cs="Tahoma"/>
          <w:sz w:val="16"/>
          <w:szCs w:val="16"/>
        </w:rPr>
        <w:t>y</w:t>
      </w:r>
      <w:r w:rsidR="009F03C7" w:rsidRPr="00E26B08">
        <w:rPr>
          <w:rFonts w:ascii="Tahoma" w:hAnsi="Tahoma" w:cs="Tahoma"/>
          <w:sz w:val="16"/>
          <w:szCs w:val="16"/>
        </w:rPr>
        <w:t xml:space="preserve">půjčitele dle </w:t>
      </w:r>
      <w:r w:rsidR="00B757E1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E26B08">
        <w:rPr>
          <w:rFonts w:ascii="Tahoma" w:hAnsi="Tahoma" w:cs="Tahoma"/>
          <w:sz w:val="16"/>
          <w:szCs w:val="16"/>
        </w:rPr>
        <w:t>z. č. 268/2014 Sb.</w:t>
      </w:r>
      <w:r w:rsidR="00CC6132" w:rsidRPr="00E26B08">
        <w:rPr>
          <w:rFonts w:ascii="Tahoma" w:hAnsi="Tahoma" w:cs="Tahoma"/>
          <w:sz w:val="16"/>
          <w:szCs w:val="16"/>
        </w:rPr>
        <w:t>, o</w:t>
      </w:r>
      <w:r w:rsidR="00B757E1">
        <w:rPr>
          <w:rFonts w:ascii="Tahoma" w:hAnsi="Tahoma" w:cs="Tahoma"/>
          <w:sz w:val="16"/>
          <w:szCs w:val="16"/>
        </w:rPr>
        <w:t xml:space="preserve"> diagnostických</w:t>
      </w:r>
      <w:r w:rsidR="00CC6132" w:rsidRPr="00E26B08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>
        <w:rPr>
          <w:rFonts w:ascii="Tahoma" w:hAnsi="Tahoma" w:cs="Tahoma"/>
          <w:sz w:val="16"/>
          <w:szCs w:val="16"/>
        </w:rPr>
        <w:t xml:space="preserve"> in vitro (dále společně jen </w:t>
      </w:r>
      <w:r w:rsidR="00A20C75">
        <w:rPr>
          <w:rFonts w:ascii="Tahoma" w:hAnsi="Tahoma" w:cs="Tahoma"/>
          <w:sz w:val="16"/>
          <w:szCs w:val="16"/>
        </w:rPr>
        <w:t>„</w:t>
      </w:r>
      <w:r w:rsidR="00B757E1">
        <w:rPr>
          <w:rFonts w:ascii="Tahoma" w:hAnsi="Tahoma" w:cs="Tahoma"/>
          <w:sz w:val="16"/>
          <w:szCs w:val="16"/>
        </w:rPr>
        <w:t>ZZP</w:t>
      </w:r>
      <w:r w:rsidR="00A20C75">
        <w:rPr>
          <w:rFonts w:ascii="Tahoma" w:hAnsi="Tahoma" w:cs="Tahoma"/>
          <w:sz w:val="16"/>
          <w:szCs w:val="16"/>
        </w:rPr>
        <w:t>“</w:t>
      </w:r>
      <w:r w:rsidR="00B757E1">
        <w:rPr>
          <w:rFonts w:ascii="Tahoma" w:hAnsi="Tahoma" w:cs="Tahoma"/>
          <w:sz w:val="16"/>
          <w:szCs w:val="16"/>
        </w:rPr>
        <w:t>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26B08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26B08">
        <w:rPr>
          <w:rFonts w:ascii="Tahoma" w:hAnsi="Tahoma" w:cs="Tahoma"/>
          <w:sz w:val="16"/>
          <w:szCs w:val="16"/>
        </w:rPr>
        <w:t>předmět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26B08">
        <w:rPr>
          <w:rFonts w:ascii="Tahoma" w:hAnsi="Tahoma" w:cs="Tahoma"/>
          <w:sz w:val="16"/>
          <w:szCs w:val="16"/>
        </w:rPr>
        <w:t>předmětu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i protokol o provedení poslední bezpečnostně technické kontroly </w:t>
      </w:r>
      <w:r w:rsidR="00231334" w:rsidRPr="00E72220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B757E1" w:rsidRPr="00E72220">
        <w:rPr>
          <w:rFonts w:ascii="Tahoma" w:hAnsi="Tahoma" w:cs="Tahoma"/>
          <w:i/>
          <w:sz w:val="16"/>
          <w:szCs w:val="16"/>
        </w:rPr>
        <w:t>ZZP,</w:t>
      </w:r>
      <w:r w:rsidR="00231334" w:rsidRPr="00E72220">
        <w:rPr>
          <w:rFonts w:ascii="Tahoma" w:hAnsi="Tahoma" w:cs="Tahoma"/>
          <w:i/>
          <w:sz w:val="16"/>
          <w:szCs w:val="16"/>
        </w:rPr>
        <w:t xml:space="preserve"> měřidlo nebo je relevantní ve vztahu k užívání přístroje).</w:t>
      </w:r>
      <w:r w:rsidR="00231334" w:rsidRPr="00E26B08">
        <w:rPr>
          <w:rFonts w:ascii="Tahoma" w:hAnsi="Tahoma" w:cs="Tahoma"/>
          <w:i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O </w:t>
      </w:r>
      <w:r w:rsidR="009F03C7" w:rsidRPr="00E26B08">
        <w:rPr>
          <w:rFonts w:ascii="Tahoma" w:hAnsi="Tahoma" w:cs="Tahoma"/>
          <w:sz w:val="16"/>
          <w:szCs w:val="16"/>
        </w:rPr>
        <w:t>instruktáži</w:t>
      </w:r>
      <w:r w:rsidR="00900AEA" w:rsidRPr="00E26B08">
        <w:rPr>
          <w:rFonts w:ascii="Tahoma" w:hAnsi="Tahoma" w:cs="Tahoma"/>
          <w:sz w:val="16"/>
          <w:szCs w:val="16"/>
        </w:rPr>
        <w:t>, nebo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26B08">
        <w:rPr>
          <w:rFonts w:ascii="Tahoma" w:hAnsi="Tahoma" w:cs="Tahoma"/>
          <w:sz w:val="16"/>
          <w:szCs w:val="16"/>
        </w:rPr>
        <w:t xml:space="preserve">řádně </w:t>
      </w:r>
      <w:r w:rsidRPr="00E26B08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E26B08">
        <w:rPr>
          <w:rFonts w:ascii="Tahoma" w:hAnsi="Tahoma" w:cs="Tahoma"/>
          <w:sz w:val="16"/>
          <w:szCs w:val="16"/>
        </w:rPr>
        <w:t>.</w:t>
      </w:r>
      <w:r w:rsidR="00E42B3B" w:rsidRPr="00E26B08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E26B08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>
        <w:rPr>
          <w:rFonts w:ascii="Tahoma" w:hAnsi="Tahoma" w:cs="Tahoma"/>
          <w:sz w:val="16"/>
          <w:szCs w:val="16"/>
        </w:rPr>
        <w:t>ZPP</w:t>
      </w:r>
      <w:r w:rsidR="00E32268" w:rsidRPr="00E26B08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77777777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128AD7CA" w14:textId="6A52AA84" w:rsidR="008F2F48" w:rsidRPr="00E26B0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do </w:t>
      </w:r>
      <w:r w:rsidRPr="00853BF3">
        <w:rPr>
          <w:rFonts w:ascii="Tahoma" w:hAnsi="Tahoma" w:cs="Tahoma"/>
          <w:sz w:val="16"/>
          <w:szCs w:val="16"/>
        </w:rPr>
        <w:t>48 hodin</w:t>
      </w:r>
      <w:r w:rsidRPr="00E26B08">
        <w:rPr>
          <w:rFonts w:ascii="Tahoma" w:hAnsi="Tahoma" w:cs="Tahoma"/>
          <w:sz w:val="16"/>
          <w:szCs w:val="16"/>
        </w:rPr>
        <w:t xml:space="preserve"> 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CC6132" w:rsidRPr="00E26B08">
        <w:rPr>
          <w:rFonts w:ascii="Tahoma" w:hAnsi="Tahoma" w:cs="Tahoma"/>
          <w:sz w:val="16"/>
          <w:szCs w:val="16"/>
        </w:rPr>
        <w:t xml:space="preserve">Vypůjčitel je povinen uplatnit zjištěné vady předmětu výpůjčky u půjčitele bez zbytečného odkladu písemnou formou na </w:t>
      </w:r>
      <w:r w:rsidR="00CC6132" w:rsidRPr="00E26B08">
        <w:rPr>
          <w:rFonts w:ascii="Tahoma" w:hAnsi="Tahoma" w:cs="Tahoma"/>
          <w:sz w:val="16"/>
          <w:szCs w:val="16"/>
        </w:rPr>
        <w:lastRenderedPageBreak/>
        <w:t>elektronickou adresu</w:t>
      </w:r>
      <w:r w:rsidR="00C17AE2">
        <w:rPr>
          <w:rFonts w:ascii="Tahoma" w:hAnsi="Tahoma" w:cs="Tahoma"/>
          <w:sz w:val="16"/>
          <w:szCs w:val="16"/>
        </w:rPr>
        <w:t xml:space="preserve"> </w:t>
      </w:r>
      <w:r w:rsidR="002A27CC">
        <w:rPr>
          <w:rFonts w:ascii="Tahoma" w:hAnsi="Tahoma" w:cs="Tahoma"/>
          <w:sz w:val="16"/>
          <w:szCs w:val="16"/>
        </w:rPr>
        <w:t>XXXXXXXXXXXXX</w:t>
      </w:r>
      <w:r w:rsidR="00E62CDA" w:rsidRPr="00853BF3">
        <w:rPr>
          <w:rFonts w:ascii="Tahoma" w:hAnsi="Tahoma" w:cs="Tahoma"/>
          <w:sz w:val="16"/>
          <w:szCs w:val="16"/>
        </w:rPr>
        <w:t xml:space="preserve"> a zároveň ohlášením na webové stránce </w:t>
      </w:r>
      <w:r w:rsidR="002A27CC">
        <w:rPr>
          <w:rFonts w:ascii="Tahoma" w:hAnsi="Tahoma" w:cs="Tahoma"/>
          <w:sz w:val="16"/>
          <w:szCs w:val="16"/>
        </w:rPr>
        <w:t>XXXXXXXXXXXXX</w:t>
      </w:r>
      <w:r w:rsidR="002D65C7" w:rsidRPr="00853BF3">
        <w:rPr>
          <w:rFonts w:ascii="Tahoma" w:hAnsi="Tahoma" w:cs="Tahoma"/>
          <w:sz w:val="16"/>
          <w:szCs w:val="16"/>
        </w:rPr>
        <w:t>.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69194198" w:rsidR="008F2F48" w:rsidRPr="00E26B08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bookmarkStart w:id="1" w:name="_Hlk71033708"/>
      <w:r w:rsidR="00585C7B">
        <w:rPr>
          <w:rFonts w:ascii="Tahoma" w:hAnsi="Tahoma" w:cs="Tahoma"/>
          <w:sz w:val="16"/>
          <w:szCs w:val="16"/>
        </w:rPr>
        <w:t>ZZP</w:t>
      </w:r>
      <w:r w:rsidRPr="00E26B08">
        <w:rPr>
          <w:rFonts w:ascii="Tahoma" w:hAnsi="Tahoma" w:cs="Tahoma"/>
          <w:sz w:val="16"/>
          <w:szCs w:val="16"/>
        </w:rPr>
        <w:t xml:space="preserve"> a předpisů souvisejících</w:t>
      </w:r>
      <w:bookmarkEnd w:id="1"/>
      <w:r w:rsidRPr="00E26B08">
        <w:rPr>
          <w:rFonts w:ascii="Tahoma" w:hAnsi="Tahoma" w:cs="Tahoma"/>
          <w:sz w:val="16"/>
          <w:szCs w:val="16"/>
        </w:rPr>
        <w:t xml:space="preserve"> nebo </w:t>
      </w:r>
      <w:r w:rsidR="008D3E47" w:rsidRPr="003B63E4">
        <w:rPr>
          <w:rFonts w:ascii="Tahoma" w:hAnsi="Tahoma" w:cs="Tahoma"/>
          <w:sz w:val="16"/>
          <w:szCs w:val="16"/>
        </w:rPr>
        <w:t>re</w:t>
      </w:r>
      <w:r w:rsidRPr="003B63E4">
        <w:rPr>
          <w:rFonts w:ascii="Tahoma" w:hAnsi="Tahoma" w:cs="Tahoma"/>
          <w:sz w:val="16"/>
          <w:szCs w:val="16"/>
        </w:rPr>
        <w:t>vize</w:t>
      </w:r>
      <w:r w:rsidR="008D3E47" w:rsidRPr="003B63E4">
        <w:rPr>
          <w:rFonts w:ascii="Tahoma" w:hAnsi="Tahoma" w:cs="Tahoma"/>
          <w:sz w:val="16"/>
          <w:szCs w:val="16"/>
        </w:rPr>
        <w:t xml:space="preserve"> (preventivní prohlídky)</w:t>
      </w:r>
      <w:r w:rsidRPr="00E26B08">
        <w:rPr>
          <w:rFonts w:ascii="Tahoma" w:hAnsi="Tahoma" w:cs="Tahoma"/>
          <w:sz w:val="16"/>
          <w:szCs w:val="16"/>
        </w:rPr>
        <w:t xml:space="preserve"> dle doporučení výrobce</w:t>
      </w:r>
      <w:r w:rsidR="003B63E4">
        <w:rPr>
          <w:rFonts w:ascii="Tahoma" w:hAnsi="Tahoma" w:cs="Tahoma"/>
          <w:sz w:val="16"/>
          <w:szCs w:val="16"/>
        </w:rPr>
        <w:t xml:space="preserve">. </w:t>
      </w:r>
      <w:r w:rsidRPr="00E26B08">
        <w:rPr>
          <w:rFonts w:ascii="Tahoma" w:hAnsi="Tahoma" w:cs="Tahoma"/>
          <w:sz w:val="16"/>
          <w:szCs w:val="16"/>
        </w:rPr>
        <w:t xml:space="preserve"> K provedené validaci vystaví půjčitel pro vypůjčitele příslušný protokol o provedené kontrole</w:t>
      </w:r>
      <w:r w:rsidR="007D79FA">
        <w:rPr>
          <w:rFonts w:ascii="Tahoma" w:hAnsi="Tahoma" w:cs="Tahoma"/>
          <w:sz w:val="16"/>
          <w:szCs w:val="16"/>
        </w:rPr>
        <w:t>.</w:t>
      </w:r>
      <w:r w:rsidRPr="00E26B08">
        <w:rPr>
          <w:rFonts w:ascii="Tahoma" w:hAnsi="Tahoma" w:cs="Tahoma"/>
          <w:sz w:val="16"/>
          <w:szCs w:val="16"/>
        </w:rPr>
        <w:t xml:space="preserve"> Protokoly o provedené </w:t>
      </w:r>
      <w:r w:rsidRPr="00674C6A">
        <w:rPr>
          <w:rFonts w:ascii="Tahoma" w:hAnsi="Tahoma" w:cs="Tahoma"/>
          <w:sz w:val="16"/>
          <w:szCs w:val="16"/>
        </w:rPr>
        <w:t>kontrole/prohlídce</w:t>
      </w:r>
      <w:r w:rsidRPr="00E26B08">
        <w:rPr>
          <w:rFonts w:ascii="Tahoma" w:hAnsi="Tahoma" w:cs="Tahoma"/>
          <w:sz w:val="16"/>
          <w:szCs w:val="16"/>
        </w:rPr>
        <w:t xml:space="preserve"> zašle prodávající na Odbor zdravotnické techniky nejpozději do 30 dnů od provedení (elektronickou kopii zašle bez prodlení na adresu: </w:t>
      </w:r>
      <w:r w:rsidR="002A27CC">
        <w:rPr>
          <w:rFonts w:ascii="Tahoma" w:hAnsi="Tahoma" w:cs="Tahoma"/>
          <w:sz w:val="16"/>
          <w:szCs w:val="16"/>
        </w:rPr>
        <w:t>XXXXXXXXXXXXX</w:t>
      </w:r>
      <w:r w:rsidRPr="00E26B08">
        <w:rPr>
          <w:rFonts w:ascii="Tahoma" w:hAnsi="Tahoma" w:cs="Tahoma"/>
          <w:sz w:val="16"/>
          <w:szCs w:val="16"/>
        </w:rPr>
        <w:t>).</w:t>
      </w:r>
      <w:r w:rsidR="002A27CC">
        <w:rPr>
          <w:rFonts w:ascii="Tahoma" w:hAnsi="Tahoma" w:cs="Tahoma"/>
          <w:sz w:val="16"/>
          <w:szCs w:val="16"/>
        </w:rPr>
        <w:t xml:space="preserve"> </w:t>
      </w:r>
    </w:p>
    <w:p w14:paraId="6869B1B0" w14:textId="65843555" w:rsidR="001A7041" w:rsidRPr="00C6434F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CE4463">
        <w:rPr>
          <w:rFonts w:ascii="Tahoma" w:hAnsi="Tahoma" w:cs="Tahoma"/>
          <w:noProof/>
          <w:sz w:val="16"/>
          <w:szCs w:val="16"/>
        </w:rPr>
        <w:t xml:space="preserve">Půjčitel prohlašuje, že je u SÚKL registrován jako osoba provádějící servis zdravotnických prostředků (ohlášená osoba) a má oprávnění k provádění servisu předmětu výpůjčky od výrobce nebo jím autorizované osoby.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C12E58" w:rsidRPr="00C6434F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C6434F">
        <w:rPr>
          <w:rFonts w:ascii="Tahoma" w:hAnsi="Tahoma" w:cs="Tahoma"/>
          <w:sz w:val="16"/>
          <w:szCs w:val="16"/>
        </w:rPr>
        <w:t xml:space="preserve">Pokud je předmět výpůjčky </w:t>
      </w:r>
      <w:r w:rsidR="00C6434F" w:rsidRPr="00C6434F">
        <w:rPr>
          <w:rFonts w:ascii="Tahoma" w:hAnsi="Tahoma" w:cs="Tahoma"/>
          <w:sz w:val="16"/>
          <w:szCs w:val="16"/>
        </w:rPr>
        <w:t>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</w:t>
      </w:r>
      <w:r w:rsidR="00C6434F" w:rsidRPr="00C6434F">
        <w:rPr>
          <w:rFonts w:ascii="Tahoma" w:hAnsi="Tahoma" w:cs="Tahoma"/>
          <w:sz w:val="16"/>
          <w:szCs w:val="16"/>
        </w:rPr>
        <w:t xml:space="preserve"> třídy III </w:t>
      </w:r>
      <w:r w:rsidR="00C6434F">
        <w:rPr>
          <w:rFonts w:ascii="Tahoma" w:hAnsi="Tahoma" w:cs="Tahoma"/>
          <w:sz w:val="16"/>
          <w:szCs w:val="16"/>
        </w:rPr>
        <w:t>nebo</w:t>
      </w:r>
      <w:r w:rsidR="00C6434F" w:rsidRPr="00C6434F">
        <w:rPr>
          <w:rFonts w:ascii="Tahoma" w:hAnsi="Tahoma" w:cs="Tahoma"/>
          <w:sz w:val="16"/>
          <w:szCs w:val="16"/>
        </w:rPr>
        <w:t xml:space="preserve"> implantabilní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em,</w:t>
      </w:r>
      <w:r w:rsidR="00C6434F" w:rsidRPr="00C6434F">
        <w:rPr>
          <w:rFonts w:ascii="Tahoma" w:hAnsi="Tahoma" w:cs="Tahoma"/>
          <w:sz w:val="16"/>
          <w:szCs w:val="16"/>
        </w:rPr>
        <w:t xml:space="preserve"> musí být opatřen jedinečným identifikátorem zdravotnického prostředku (UDI), </w:t>
      </w:r>
      <w:r w:rsidR="00C6434F" w:rsidRPr="00C6434F">
        <w:rPr>
          <w:rFonts w:ascii="Arial" w:hAnsi="Arial" w:cs="Arial"/>
          <w:sz w:val="16"/>
          <w:szCs w:val="16"/>
        </w:rPr>
        <w:t>pokud je identifikátor dle MDR požadován</w:t>
      </w:r>
      <w:r w:rsidR="00C6434F" w:rsidRPr="00C6434F">
        <w:rPr>
          <w:rFonts w:ascii="Tahoma" w:hAnsi="Tahoma" w:cs="Tahoma"/>
          <w:sz w:val="16"/>
          <w:szCs w:val="16"/>
        </w:rPr>
        <w:t xml:space="preserve">. </w:t>
      </w:r>
      <w:r w:rsidR="00E903AC" w:rsidRPr="00C6434F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1F8BBE9F" w14:textId="77777777" w:rsidR="00E26B08" w:rsidRPr="00E26B08" w:rsidRDefault="00E26B08" w:rsidP="00E26B0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6154BABE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 dané souvislosti platí článek II., odst. 2.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77777777" w:rsidR="00B4341A" w:rsidRPr="00E26B0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00E78E7C" w:rsidR="00B4341A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4E51E258" w14:textId="366525C2" w:rsid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5F93152F" w14:textId="77777777" w:rsidR="00E26B08" w:rsidRPr="005C7404" w:rsidRDefault="00E26B08" w:rsidP="00E26B08">
      <w:pPr>
        <w:pStyle w:val="SSOdstavec"/>
        <w:spacing w:before="0"/>
      </w:pPr>
    </w:p>
    <w:p w14:paraId="28A0A250" w14:textId="12313C4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„Osobní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</w:t>
      </w:r>
      <w:r w:rsidR="00C831B2">
        <w:rPr>
          <w:rFonts w:ascii="Tahoma" w:eastAsia="MS Mincho" w:hAnsi="Tahoma" w:cs="Tahoma"/>
          <w:sz w:val="16"/>
          <w:szCs w:val="16"/>
        </w:rPr>
        <w:br/>
      </w:r>
      <w:r w:rsidRPr="00EC392A">
        <w:rPr>
          <w:rFonts w:ascii="Tahoma" w:eastAsia="MS Mincho" w:hAnsi="Tahoma" w:cs="Tahoma"/>
          <w:sz w:val="16"/>
          <w:szCs w:val="16"/>
        </w:rPr>
        <w:t>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</w:t>
      </w:r>
      <w:r w:rsidR="00C831B2">
        <w:rPr>
          <w:rFonts w:ascii="Tahoma" w:eastAsia="MS Mincho" w:hAnsi="Tahoma" w:cs="Tahoma"/>
          <w:sz w:val="16"/>
          <w:szCs w:val="16"/>
        </w:rPr>
        <w:t>, ve znění pozdějších předpisů</w:t>
      </w:r>
      <w:r w:rsidRPr="00EC392A">
        <w:rPr>
          <w:rFonts w:ascii="Tahoma" w:eastAsia="MS Mincho" w:hAnsi="Tahoma" w:cs="Tahoma"/>
          <w:sz w:val="16"/>
          <w:szCs w:val="16"/>
        </w:rPr>
        <w:t>.</w:t>
      </w:r>
    </w:p>
    <w:p w14:paraId="357FA2AB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</w:t>
      </w:r>
      <w:r>
        <w:rPr>
          <w:rFonts w:ascii="Tahoma" w:hAnsi="Tahoma" w:cs="Tahoma"/>
          <w:sz w:val="16"/>
          <w:szCs w:val="16"/>
        </w:rPr>
        <w:t>ilo zabezpečení Osobních údajů.</w:t>
      </w:r>
    </w:p>
    <w:p w14:paraId="7C90382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Pokud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přijde při plnění Smlouvy do styku s </w:t>
      </w:r>
      <w:r>
        <w:rPr>
          <w:rFonts w:ascii="Tahoma" w:eastAsia="MS Mincho" w:hAnsi="Tahoma" w:cs="Tahoma"/>
          <w:sz w:val="16"/>
          <w:szCs w:val="16"/>
        </w:rPr>
        <w:t>O</w:t>
      </w:r>
      <w:r w:rsidRPr="00EC392A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zavazuje se nakládat s</w:t>
      </w:r>
      <w:r>
        <w:rPr>
          <w:rFonts w:ascii="Tahoma" w:eastAsia="MS Mincho" w:hAnsi="Tahoma" w:cs="Tahoma"/>
          <w:sz w:val="16"/>
          <w:szCs w:val="16"/>
        </w:rPr>
        <w:t xml:space="preserve"> Osobními </w:t>
      </w:r>
      <w:r w:rsidRPr="00EC392A">
        <w:rPr>
          <w:rFonts w:ascii="Tahoma" w:eastAsia="MS Mincho" w:hAnsi="Tahoma" w:cs="Tahoma"/>
          <w:sz w:val="16"/>
          <w:szCs w:val="16"/>
        </w:rPr>
        <w:t xml:space="preserve">údaji pouze za účelem splnění závazků z této smlouvy a žádným jiným způsobem, a to v souladu příslušnými ustanoveními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</w:t>
      </w:r>
      <w:r>
        <w:rPr>
          <w:rFonts w:ascii="Tahoma" w:eastAsia="MS Mincho" w:hAnsi="Tahoma" w:cs="Tahoma"/>
          <w:sz w:val="16"/>
          <w:szCs w:val="16"/>
        </w:rPr>
        <w:t xml:space="preserve"> v rozsahu nezbytném pro plnění smlouvy a po dobu nezbytnou k plnění smlouvy</w:t>
      </w:r>
      <w:r w:rsidRPr="00EC392A">
        <w:rPr>
          <w:rFonts w:ascii="Tahoma" w:eastAsia="MS Mincho" w:hAnsi="Tahoma" w:cs="Tahoma"/>
          <w:sz w:val="16"/>
          <w:szCs w:val="16"/>
        </w:rPr>
        <w:t xml:space="preserve">.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 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C392A">
        <w:rPr>
          <w:rFonts w:ascii="Tahoma" w:eastAsia="MS Mincho" w:hAnsi="Tahoma" w:cs="Tahoma"/>
          <w:sz w:val="16"/>
          <w:szCs w:val="16"/>
        </w:rPr>
        <w:t xml:space="preserve"> a jeho</w:t>
      </w:r>
      <w:r>
        <w:rPr>
          <w:rFonts w:ascii="Tahoma" w:eastAsia="MS Mincho" w:hAnsi="Tahoma" w:cs="Tahoma"/>
          <w:sz w:val="16"/>
          <w:szCs w:val="16"/>
        </w:rPr>
        <w:t xml:space="preserve"> pacientů a 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Smlouvy.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</w:t>
      </w:r>
      <w:r w:rsidRPr="00EC392A">
        <w:rPr>
          <w:rFonts w:ascii="Tahoma" w:eastAsia="MS Mincho" w:hAnsi="Tahoma" w:cs="Tahoma"/>
          <w:sz w:val="16"/>
          <w:szCs w:val="16"/>
        </w:rPr>
        <w:lastRenderedPageBreak/>
        <w:t xml:space="preserve">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 vzniklou škodu, jako kdyby povinnost porušil sám.</w:t>
      </w:r>
    </w:p>
    <w:p w14:paraId="53A1A1A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Osobních údajů pacientů a 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616655F9" w14:textId="77777777" w:rsidR="00E26B08" w:rsidRP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886CC90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E26B0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E26B08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E26B0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07EB95D9" w14:textId="2E5CABC3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E26B08">
        <w:rPr>
          <w:rFonts w:ascii="Tahoma" w:hAnsi="Tahoma" w:cs="Tahoma"/>
          <w:sz w:val="16"/>
          <w:szCs w:val="16"/>
        </w:rPr>
        <w:t xml:space="preserve">jejich </w:t>
      </w:r>
      <w:r w:rsidRPr="00E26B0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573F3BE8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jsou tyto přílohy:</w:t>
      </w:r>
      <w:r w:rsidRPr="00C12E58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658322F" w14:textId="77777777" w:rsidR="00B4341A" w:rsidRPr="00E26B08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5F957D0D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3B630357" w14:textId="04EB3292" w:rsidR="00E26B08" w:rsidRPr="001238D8" w:rsidRDefault="00E26B08" w:rsidP="00E26B08">
      <w:pPr>
        <w:pStyle w:val="Zkladntext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2: </w:t>
      </w:r>
      <w:r w:rsidRPr="00C818C3">
        <w:rPr>
          <w:rFonts w:ascii="Tahoma" w:hAnsi="Tahoma" w:cs="Tahoma"/>
          <w:sz w:val="16"/>
          <w:szCs w:val="16"/>
        </w:rPr>
        <w:t xml:space="preserve">Povinnosti při připojování zařízení do LAN sítě VFN </w:t>
      </w:r>
    </w:p>
    <w:p w14:paraId="00684671" w14:textId="77777777" w:rsidR="00E26B08" w:rsidRPr="00E26B08" w:rsidRDefault="00E26B0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677FC5D0" w14:textId="77777777" w:rsidR="0021406B" w:rsidRPr="00E26B0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Pr="00E26B0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2D1ADC20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V Praze, dne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  <w:t xml:space="preserve">V Praze, dne </w:t>
      </w:r>
    </w:p>
    <w:p w14:paraId="760505F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65F2809" w:rsidR="0021406B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B8FDB07" w14:textId="18D27BD4" w:rsidR="00A65FDD" w:rsidRDefault="00A65FDD" w:rsidP="0021406B">
      <w:pPr>
        <w:jc w:val="both"/>
        <w:rPr>
          <w:rFonts w:ascii="Tahoma" w:hAnsi="Tahoma" w:cs="Tahoma"/>
          <w:sz w:val="16"/>
          <w:szCs w:val="16"/>
        </w:rPr>
      </w:pPr>
    </w:p>
    <w:p w14:paraId="5DE53726" w14:textId="77777777" w:rsidR="00A65FDD" w:rsidRPr="00E26B08" w:rsidRDefault="00A65FDD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="001238D8"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18971B39" w14:textId="3736C672" w:rsidR="0021406B" w:rsidRPr="00E26B08" w:rsidRDefault="00732AF3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RNDr. Karel Vranovský, CSc.</w:t>
      </w:r>
      <w:r w:rsidR="001F0613" w:rsidRPr="00E26B08">
        <w:rPr>
          <w:rFonts w:ascii="Tahoma" w:hAnsi="Tahoma" w:cs="Tahoma"/>
          <w:sz w:val="16"/>
          <w:szCs w:val="16"/>
        </w:rPr>
        <w:t xml:space="preserve">                                                                         </w:t>
      </w:r>
      <w:r w:rsidR="00C12E58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 Feltl, Ph.D., MBA</w:t>
      </w:r>
    </w:p>
    <w:p w14:paraId="77FC0709" w14:textId="79C1265D" w:rsidR="0021406B" w:rsidRPr="00E26B08" w:rsidRDefault="00732AF3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 půjčitele</w:t>
      </w:r>
      <w:r w:rsidR="00F8354B" w:rsidRPr="00E26B08">
        <w:rPr>
          <w:rFonts w:ascii="Tahoma" w:hAnsi="Tahoma" w:cs="Tahoma"/>
          <w:sz w:val="16"/>
          <w:szCs w:val="16"/>
        </w:rPr>
        <w:tab/>
      </w:r>
      <w:r w:rsidR="00FC37BA">
        <w:rPr>
          <w:rFonts w:ascii="Tahoma" w:hAnsi="Tahoma" w:cs="Tahoma"/>
          <w:sz w:val="16"/>
          <w:szCs w:val="16"/>
        </w:rPr>
        <w:t>ředitel</w:t>
      </w:r>
      <w:r w:rsidR="0021406B" w:rsidRPr="00E26B08">
        <w:rPr>
          <w:rFonts w:ascii="Tahoma" w:hAnsi="Tahoma" w:cs="Tahoma"/>
          <w:sz w:val="16"/>
          <w:szCs w:val="16"/>
        </w:rPr>
        <w:t xml:space="preserve"> vypůjčitele</w:t>
      </w:r>
    </w:p>
    <w:sectPr w:rsidR="0021406B" w:rsidRPr="00E26B08" w:rsidSect="007026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7C54" w14:textId="77777777" w:rsidR="005A60E6" w:rsidRDefault="005A60E6">
      <w:r>
        <w:separator/>
      </w:r>
    </w:p>
  </w:endnote>
  <w:endnote w:type="continuationSeparator" w:id="0">
    <w:p w14:paraId="200D7663" w14:textId="77777777" w:rsidR="005A60E6" w:rsidRDefault="005A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4D17" w14:textId="77777777" w:rsidR="00CD74CA" w:rsidRDefault="00CD74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E457" w14:textId="77777777" w:rsidR="005A60E6" w:rsidRDefault="005A60E6">
      <w:r>
        <w:separator/>
      </w:r>
    </w:p>
  </w:footnote>
  <w:footnote w:type="continuationSeparator" w:id="0">
    <w:p w14:paraId="344FF95E" w14:textId="77777777" w:rsidR="005A60E6" w:rsidRDefault="005A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A0189" w14:textId="77777777" w:rsidR="00CD74CA" w:rsidRDefault="00CD74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FC6D" w14:textId="05E1E442" w:rsidR="00B4341A" w:rsidRPr="000E0905" w:rsidRDefault="00B4341A">
    <w:pPr>
      <w:pStyle w:val="Zhlav"/>
      <w:jc w:val="right"/>
      <w:rPr>
        <w:rFonts w:ascii="Tahoma" w:hAnsi="Tahoma" w:cs="Tahoma"/>
        <w:bCs/>
        <w:sz w:val="16"/>
        <w:szCs w:val="16"/>
        <w:shd w:val="clear" w:color="auto" w:fill="FFFF00"/>
      </w:rPr>
    </w:pPr>
    <w:r w:rsidRPr="000E0905">
      <w:rPr>
        <w:rFonts w:ascii="Tahoma" w:hAnsi="Tahoma" w:cs="Tahoma"/>
        <w:bCs/>
        <w:sz w:val="16"/>
        <w:szCs w:val="16"/>
      </w:rPr>
      <w:t>PO</w:t>
    </w:r>
    <w:r w:rsidR="00805A35" w:rsidRPr="000E0905">
      <w:rPr>
        <w:rFonts w:ascii="Tahoma" w:hAnsi="Tahoma" w:cs="Tahoma"/>
        <w:bCs/>
        <w:sz w:val="16"/>
        <w:szCs w:val="16"/>
      </w:rPr>
      <w:t xml:space="preserve"> </w:t>
    </w:r>
    <w:r w:rsidR="004553C5" w:rsidRPr="000E0905">
      <w:rPr>
        <w:rFonts w:ascii="Tahoma" w:hAnsi="Tahoma" w:cs="Tahoma"/>
        <w:bCs/>
        <w:sz w:val="16"/>
        <w:szCs w:val="16"/>
      </w:rPr>
      <w:t>698/S/22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34A01"/>
    <w:rsid w:val="000426BA"/>
    <w:rsid w:val="00043075"/>
    <w:rsid w:val="00055A05"/>
    <w:rsid w:val="00076C75"/>
    <w:rsid w:val="000B3981"/>
    <w:rsid w:val="000C685D"/>
    <w:rsid w:val="000D6E57"/>
    <w:rsid w:val="000E0905"/>
    <w:rsid w:val="00106565"/>
    <w:rsid w:val="001238D8"/>
    <w:rsid w:val="00125EFE"/>
    <w:rsid w:val="001311A9"/>
    <w:rsid w:val="00134FF0"/>
    <w:rsid w:val="00141E7F"/>
    <w:rsid w:val="0016465A"/>
    <w:rsid w:val="00166604"/>
    <w:rsid w:val="00176C70"/>
    <w:rsid w:val="0017726C"/>
    <w:rsid w:val="001A7041"/>
    <w:rsid w:val="001D31A6"/>
    <w:rsid w:val="001E095A"/>
    <w:rsid w:val="001E37D5"/>
    <w:rsid w:val="001F0613"/>
    <w:rsid w:val="001F0DAF"/>
    <w:rsid w:val="001F50DA"/>
    <w:rsid w:val="00201795"/>
    <w:rsid w:val="0021406B"/>
    <w:rsid w:val="00223EA6"/>
    <w:rsid w:val="002270A4"/>
    <w:rsid w:val="00231334"/>
    <w:rsid w:val="00256529"/>
    <w:rsid w:val="002A27CC"/>
    <w:rsid w:val="002A50C7"/>
    <w:rsid w:val="002D65C7"/>
    <w:rsid w:val="002E5D4B"/>
    <w:rsid w:val="0030383E"/>
    <w:rsid w:val="00310E03"/>
    <w:rsid w:val="003440DB"/>
    <w:rsid w:val="00353977"/>
    <w:rsid w:val="003567BA"/>
    <w:rsid w:val="00362614"/>
    <w:rsid w:val="00364350"/>
    <w:rsid w:val="00387BDE"/>
    <w:rsid w:val="003A1E7A"/>
    <w:rsid w:val="003B63E4"/>
    <w:rsid w:val="003B67EB"/>
    <w:rsid w:val="003D798C"/>
    <w:rsid w:val="003E6D47"/>
    <w:rsid w:val="004223C3"/>
    <w:rsid w:val="0044788D"/>
    <w:rsid w:val="004553C5"/>
    <w:rsid w:val="0046245B"/>
    <w:rsid w:val="004720C7"/>
    <w:rsid w:val="00481EE4"/>
    <w:rsid w:val="00486033"/>
    <w:rsid w:val="004970D5"/>
    <w:rsid w:val="004A53F6"/>
    <w:rsid w:val="004F7832"/>
    <w:rsid w:val="00505177"/>
    <w:rsid w:val="00527672"/>
    <w:rsid w:val="00565313"/>
    <w:rsid w:val="005753D3"/>
    <w:rsid w:val="00585054"/>
    <w:rsid w:val="00585C7B"/>
    <w:rsid w:val="00591050"/>
    <w:rsid w:val="005950E2"/>
    <w:rsid w:val="005979C0"/>
    <w:rsid w:val="005A60E6"/>
    <w:rsid w:val="005C1B3E"/>
    <w:rsid w:val="005F261A"/>
    <w:rsid w:val="005F6AE6"/>
    <w:rsid w:val="0060327A"/>
    <w:rsid w:val="006049E7"/>
    <w:rsid w:val="006110DB"/>
    <w:rsid w:val="0061342E"/>
    <w:rsid w:val="006279E3"/>
    <w:rsid w:val="0063196D"/>
    <w:rsid w:val="0063601A"/>
    <w:rsid w:val="0063628A"/>
    <w:rsid w:val="00664DD8"/>
    <w:rsid w:val="00674C6A"/>
    <w:rsid w:val="006969AE"/>
    <w:rsid w:val="006B6467"/>
    <w:rsid w:val="006C7DB8"/>
    <w:rsid w:val="0070260B"/>
    <w:rsid w:val="0070282E"/>
    <w:rsid w:val="007209DE"/>
    <w:rsid w:val="00732AF3"/>
    <w:rsid w:val="00745C62"/>
    <w:rsid w:val="007460F2"/>
    <w:rsid w:val="0075289F"/>
    <w:rsid w:val="00753A42"/>
    <w:rsid w:val="00754636"/>
    <w:rsid w:val="00755358"/>
    <w:rsid w:val="007660C0"/>
    <w:rsid w:val="00776D0B"/>
    <w:rsid w:val="007A652E"/>
    <w:rsid w:val="007C31B1"/>
    <w:rsid w:val="007D023D"/>
    <w:rsid w:val="007D79FA"/>
    <w:rsid w:val="007D7ECD"/>
    <w:rsid w:val="007E6037"/>
    <w:rsid w:val="008020CB"/>
    <w:rsid w:val="008037F4"/>
    <w:rsid w:val="00805A35"/>
    <w:rsid w:val="00813994"/>
    <w:rsid w:val="00841474"/>
    <w:rsid w:val="00843640"/>
    <w:rsid w:val="00853BF3"/>
    <w:rsid w:val="008736CE"/>
    <w:rsid w:val="0087454D"/>
    <w:rsid w:val="008756A6"/>
    <w:rsid w:val="00884A81"/>
    <w:rsid w:val="008874EB"/>
    <w:rsid w:val="00892D24"/>
    <w:rsid w:val="0089434F"/>
    <w:rsid w:val="008A5F18"/>
    <w:rsid w:val="008C7CF0"/>
    <w:rsid w:val="008D3E47"/>
    <w:rsid w:val="008E0C93"/>
    <w:rsid w:val="008F2F48"/>
    <w:rsid w:val="008F42CA"/>
    <w:rsid w:val="00900AEA"/>
    <w:rsid w:val="00901C77"/>
    <w:rsid w:val="00937B1E"/>
    <w:rsid w:val="0096350D"/>
    <w:rsid w:val="00983E42"/>
    <w:rsid w:val="009E4CB3"/>
    <w:rsid w:val="009F03C7"/>
    <w:rsid w:val="009F336F"/>
    <w:rsid w:val="009F3DE7"/>
    <w:rsid w:val="00A11DCD"/>
    <w:rsid w:val="00A20C75"/>
    <w:rsid w:val="00A25CDD"/>
    <w:rsid w:val="00A47872"/>
    <w:rsid w:val="00A52075"/>
    <w:rsid w:val="00A57E58"/>
    <w:rsid w:val="00A61E6A"/>
    <w:rsid w:val="00A6341D"/>
    <w:rsid w:val="00A65FDD"/>
    <w:rsid w:val="00A83A4A"/>
    <w:rsid w:val="00A856A2"/>
    <w:rsid w:val="00A86BBB"/>
    <w:rsid w:val="00A96490"/>
    <w:rsid w:val="00AA2DFA"/>
    <w:rsid w:val="00AA6C79"/>
    <w:rsid w:val="00AB2461"/>
    <w:rsid w:val="00AD0820"/>
    <w:rsid w:val="00AD4E19"/>
    <w:rsid w:val="00AE73E0"/>
    <w:rsid w:val="00B15891"/>
    <w:rsid w:val="00B17098"/>
    <w:rsid w:val="00B177EB"/>
    <w:rsid w:val="00B348B4"/>
    <w:rsid w:val="00B34C7A"/>
    <w:rsid w:val="00B365BB"/>
    <w:rsid w:val="00B4341A"/>
    <w:rsid w:val="00B47099"/>
    <w:rsid w:val="00B64D32"/>
    <w:rsid w:val="00B65A2D"/>
    <w:rsid w:val="00B757E1"/>
    <w:rsid w:val="00B77519"/>
    <w:rsid w:val="00B8429A"/>
    <w:rsid w:val="00B9300A"/>
    <w:rsid w:val="00B97702"/>
    <w:rsid w:val="00BA69D0"/>
    <w:rsid w:val="00BB1B53"/>
    <w:rsid w:val="00BE26C4"/>
    <w:rsid w:val="00BF5586"/>
    <w:rsid w:val="00C12E58"/>
    <w:rsid w:val="00C17AE2"/>
    <w:rsid w:val="00C22123"/>
    <w:rsid w:val="00C444D2"/>
    <w:rsid w:val="00C53153"/>
    <w:rsid w:val="00C603F4"/>
    <w:rsid w:val="00C6434F"/>
    <w:rsid w:val="00C831B2"/>
    <w:rsid w:val="00C921E4"/>
    <w:rsid w:val="00C95637"/>
    <w:rsid w:val="00CC6132"/>
    <w:rsid w:val="00CD74CA"/>
    <w:rsid w:val="00CE4463"/>
    <w:rsid w:val="00D01A50"/>
    <w:rsid w:val="00D22BE5"/>
    <w:rsid w:val="00D27C03"/>
    <w:rsid w:val="00D34394"/>
    <w:rsid w:val="00D40407"/>
    <w:rsid w:val="00D81140"/>
    <w:rsid w:val="00DB1C04"/>
    <w:rsid w:val="00DC5896"/>
    <w:rsid w:val="00DD2E75"/>
    <w:rsid w:val="00DF0026"/>
    <w:rsid w:val="00E205B0"/>
    <w:rsid w:val="00E25E4E"/>
    <w:rsid w:val="00E26B08"/>
    <w:rsid w:val="00E32268"/>
    <w:rsid w:val="00E42B3B"/>
    <w:rsid w:val="00E43B66"/>
    <w:rsid w:val="00E62CDA"/>
    <w:rsid w:val="00E63617"/>
    <w:rsid w:val="00E72220"/>
    <w:rsid w:val="00E81FED"/>
    <w:rsid w:val="00E85770"/>
    <w:rsid w:val="00E903AC"/>
    <w:rsid w:val="00EA318F"/>
    <w:rsid w:val="00EA7DF4"/>
    <w:rsid w:val="00EB01ED"/>
    <w:rsid w:val="00EC6545"/>
    <w:rsid w:val="00ED1CAA"/>
    <w:rsid w:val="00ED4537"/>
    <w:rsid w:val="00ED5DEC"/>
    <w:rsid w:val="00EE390C"/>
    <w:rsid w:val="00EF24CE"/>
    <w:rsid w:val="00F03F1C"/>
    <w:rsid w:val="00F20E02"/>
    <w:rsid w:val="00F34DB1"/>
    <w:rsid w:val="00F41D08"/>
    <w:rsid w:val="00F500BD"/>
    <w:rsid w:val="00F610CA"/>
    <w:rsid w:val="00F67BA2"/>
    <w:rsid w:val="00F8354B"/>
    <w:rsid w:val="00F9145A"/>
    <w:rsid w:val="00F93550"/>
    <w:rsid w:val="00F936A4"/>
    <w:rsid w:val="00F943FA"/>
    <w:rsid w:val="00FA1D88"/>
    <w:rsid w:val="00FA2796"/>
    <w:rsid w:val="00FB0054"/>
    <w:rsid w:val="00FC37BA"/>
    <w:rsid w:val="00FC6495"/>
    <w:rsid w:val="00FD57CA"/>
    <w:rsid w:val="00FD6766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vidence.OZT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891-698/698-22_RS.docx</ZkracenyRetezec>
    <Smazat xmlns="acca34e4-9ecd-41c8-99eb-d6aa654aaa55">&lt;a href="/sites/evidencesmluv/_layouts/15/IniWrkflIP.aspx?List=%7b77659FB5-C430-479E-BF06-0B5A5E07A4EB%7d&amp;amp;ID=2144&amp;amp;ItemGuid=%7b83DE4925-A2B4-4A4E-85DF-35FC4A6B2D05%7d&amp;amp;TemplateID=%7bd3f8102e-f4a5-4901-b93c-fb146a9d820d%7d"&gt;&lt;img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CE20-A5D3-40FD-BA1C-EB4E78B0FACF}"/>
</file>

<file path=customXml/itemProps2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C1BAF2-1DB9-4F8A-926A-C0D012501F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180ec9-f266-4235-bfb6-a326cc7ac18b"/>
    <ds:schemaRef ds:uri="9e62e060-e4df-48a7-a9f4-f192c9c6f41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B91C94-EBE3-4A54-87D8-C3142D67BB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D61E08-0BF0-4260-975D-1F961B5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2184</Words>
  <Characters>12886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VFN</Company>
  <LinksUpToDate>false</LinksUpToDate>
  <CharactersWithSpaces>15040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Kotusová Zuzana, Bc. DiS.</cp:lastModifiedBy>
  <cp:revision>2</cp:revision>
  <cp:lastPrinted>2018-07-16T12:56:00Z</cp:lastPrinted>
  <dcterms:created xsi:type="dcterms:W3CDTF">2022-10-17T11:25:00Z</dcterms:created>
  <dcterms:modified xsi:type="dcterms:W3CDTF">2022-10-17T11:25:00Z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57d93a3a-a5fe-4fa1-a8fe-474c5d8d4f1c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ediaServiceImageTags">
    <vt:lpwstr/>
  </property>
  <property fmtid="{D5CDD505-2E9C-101B-9397-08002B2CF9AE}" pid="18" name="WorkflowChangePath">
    <vt:lpwstr>a95a2dc2-7576-4e02-851a-82c926069501,2;a95a2dc2-7576-4e02-851a-82c926069501,2;a95a2dc2-7576-4e02-851a-82c926069501,2;</vt:lpwstr>
  </property>
</Properties>
</file>