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433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/]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česká republika - Státní pozemkový úřad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Husinecká 1024/11 a, 130 00 Praha 3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Ing. Miroslavem Kučerou, ředitelem Krajského pozemkového úřadu pro Pardubický kraj,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adresa Boženy Němcové 231, 530 02 Pardubice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IČO: 01312774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DIČ: CZ01312774^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Česká národní banka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číslo účtu: 160012-3723001/0710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,,propachtovatel“)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836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jedné -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SKIPARK ČERVENA VODA s.r.o.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5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Mlýnický Dvůr 8, 561 69 Červená Voda IČO: 620 62 026 DIČ: CZ62062026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311" w:line="283" w:lineRule="exact"/>
        <w:ind w:left="0" w:right="5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zapsána v obchodním rejstříku vedeném Krajským soudem v Hradci Králové, oddíl C, vložka 7329 osoba oprávněná jednat za právnickou osobu: Ing. Libor Vlček, jednatel (dále jen ,,pachtýř“)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80" w:line="244" w:lineRule="exact"/>
        <w:ind w:left="2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druhé -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372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uzavírají podle ustanovení § 2332 a násl. zákona Č. 89/2012 Sb., občanský zákoník, (dále jen ,,NOZ“) tuto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0"/>
        <w:ind w:left="20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PACHTOVNÍ SMLOUVU</w:t>
      </w:r>
      <w:bookmarkEnd w:id="2"/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0" w:line="298" w:lineRule="exact"/>
        <w:ind w:left="200" w:right="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č. 93 N 15/50</w:t>
      </w:r>
      <w:bookmarkEnd w:id="3"/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292"/>
        <w:ind w:left="200" w:right="0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ČLI</w:t>
      </w:r>
      <w:bookmarkEnd w:id="4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300" w:firstLine="80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je ve smyslu zákona č. 503/2012 Sb., o Státním pozemkovém úřadu a o změně některých souvisejících zákonů, ve znění pozdějších předpisů, příslušný hospodařit s těmito zemědělskými pozemky ve vlastnictví státu vedenými u Katastrálního úřadu pro Pardubický kraj. Katastrálního pracoviště Ústí nad Orlicí.</w:t>
      </w:r>
    </w:p>
    <w:tbl>
      <w:tblPr>
        <w:tblOverlap w:val="never"/>
        <w:tblLayout w:type="fixed"/>
        <w:jc w:val="center"/>
      </w:tblPr>
      <w:tblGrid>
        <w:gridCol w:w="1186"/>
        <w:gridCol w:w="1205"/>
        <w:gridCol w:w="1594"/>
        <w:gridCol w:w="1133"/>
        <w:gridCol w:w="1262"/>
        <w:gridCol w:w="1646"/>
      </w:tblGrid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obec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kat. území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druh evidence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parcela 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výměra m^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140" w:right="0" w:firstLine="0"/>
            </w:pPr>
            <w:r>
              <w:rPr>
                <w:rStyle w:val="CharStyle23"/>
              </w:rPr>
              <w:t>druh pozemku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300" w:right="0" w:firstLine="0"/>
            </w:pPr>
            <w:r>
              <w:rPr>
                <w:rStyle w:val="CharStyle24"/>
              </w:rPr>
              <w:t>238/3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108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140" w:right="0" w:firstLine="0"/>
            </w:pPr>
            <w:r>
              <w:rPr>
                <w:rStyle w:val="CharStyle24"/>
              </w:rPr>
              <w:t>ostatní plocha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300" w:right="0" w:firstLine="0"/>
            </w:pPr>
            <w:r>
              <w:rPr>
                <w:rStyle w:val="CharStyle24"/>
              </w:rPr>
              <w:t>238/6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1 431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140" w:right="0" w:firstLine="0"/>
            </w:pPr>
            <w:r>
              <w:rPr>
                <w:rStyle w:val="CharStyle24"/>
              </w:rPr>
              <w:t>ostatní plocha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300" w:right="0" w:firstLine="0"/>
            </w:pPr>
            <w:r>
              <w:rPr>
                <w:rStyle w:val="CharStyle24"/>
              </w:rPr>
              <w:t>251/1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34 460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ttp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252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266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140" w:right="0" w:firstLine="0"/>
            </w:pPr>
            <w:r>
              <w:rPr>
                <w:rStyle w:val="CharStyle24"/>
              </w:rPr>
              <w:t>ostatní plocha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300" w:right="0" w:firstLine="0"/>
            </w:pPr>
            <w:r>
              <w:rPr>
                <w:rStyle w:val="CharStyle24"/>
              </w:rPr>
              <w:t>255/3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2 548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140" w:right="0" w:firstLine="0"/>
            </w:pPr>
            <w:r>
              <w:rPr>
                <w:rStyle w:val="CharStyle24"/>
              </w:rPr>
              <w:t>ostatní plocha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327/1 část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1 200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ttp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300" w:right="0" w:firstLine="0"/>
            </w:pPr>
            <w:r>
              <w:rPr>
                <w:rStyle w:val="CharStyle24"/>
              </w:rPr>
              <w:t>329/9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330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140" w:right="0" w:firstLine="0"/>
            </w:pPr>
            <w:r>
              <w:rPr>
                <w:rStyle w:val="CharStyle24"/>
              </w:rPr>
              <w:t>ostatní plocha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333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2 438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140" w:right="0" w:firstLine="0"/>
            </w:pPr>
            <w:r>
              <w:rPr>
                <w:rStyle w:val="CharStyle24"/>
              </w:rPr>
              <w:t>ostatní plocha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344/1 část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23 768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ttp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Čenkovice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344/3 část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1 000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="80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4"/>
              </w:rPr>
              <w:t>ttp</w:t>
            </w:r>
          </w:p>
        </w:tc>
      </w:tr>
    </w:tbl>
    <w:p>
      <w:pPr>
        <w:framePr w:w="802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230" w:after="0"/>
        <w:ind w:left="0" w:right="300" w:firstLine="80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Nemovité věci byly pronajaty do 31. července 2015 nájemní smlouvou a dohodami o zaplacení úhrady za užívání nemovité věci č. 65N11/50.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spacing w:val="0"/>
          <w:color w:val="000000"/>
          <w:position w:val="0"/>
        </w:rPr>
        <w:t>r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288"/>
        <w:ind w:left="5480" w:right="0" w:firstLine="0"/>
      </w:pPr>
      <w:bookmarkStart w:id="5" w:name="bookmark5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II</w:t>
      </w:r>
      <w:bookmarkEnd w:id="5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přenechává pachtýři pozemky uvedené v čl. I této smlouvy do užívání za účelem: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54" w:line="244" w:lineRule="exact"/>
        <w:ind w:left="5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provozování zemědělské výrohy - provozování lyžařského vleku.</w:t>
      </w:r>
    </w:p>
    <w:p>
      <w:pPr>
        <w:pStyle w:val="Style28"/>
        <w:tabs>
          <w:tab w:leader="none" w:pos="5513" w:val="left"/>
        </w:tabs>
        <w:widowControl w:val="0"/>
        <w:keepNext/>
        <w:keepLines/>
        <w:shd w:val="clear" w:color="auto" w:fill="auto"/>
        <w:bidi w:val="0"/>
        <w:spacing w:before="0" w:after="0"/>
        <w:ind w:left="420" w:right="0" w:firstLine="0"/>
      </w:pPr>
      <w:bookmarkStart w:id="6" w:name="bookmark6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</w:t>
        <w:tab/>
        <w:t>v</w:t>
      </w:r>
      <w:bookmarkEnd w:id="6"/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283" w:lineRule="exact"/>
        <w:ind w:left="5480" w:right="0" w:firstLine="0"/>
      </w:pPr>
      <w:bookmarkStart w:id="7" w:name="bookmark7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 III</w:t>
      </w:r>
      <w:bookmarkEnd w:id="7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povinen:</w:t>
      </w:r>
    </w:p>
    <w:p>
      <w:pPr>
        <w:pStyle w:val="Style12"/>
        <w:numPr>
          <w:ilvl w:val="0"/>
          <w:numId w:val="1"/>
        </w:numPr>
        <w:tabs>
          <w:tab w:leader="none" w:pos="14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užívat pozemky řádně v souladu sjejich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>
      <w:pPr>
        <w:pStyle w:val="Style12"/>
        <w:numPr>
          <w:ilvl w:val="0"/>
          <w:numId w:val="1"/>
        </w:numPr>
        <w:tabs>
          <w:tab w:leader="none" w:pos="14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12"/>
        <w:numPr>
          <w:ilvl w:val="0"/>
          <w:numId w:val="1"/>
        </w:numPr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zákaz hospodářské čirmosti vyvolávající erozi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12"/>
        <w:numPr>
          <w:ilvl w:val="0"/>
          <w:numId w:val="1"/>
        </w:numPr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umožnit propachtovateli provádění kontroly k bodům a) až c) formou nahlédnutí do evidence rozborů a vstupem na pozemky,</w:t>
      </w:r>
    </w:p>
    <w:p>
      <w:pPr>
        <w:pStyle w:val="Style12"/>
        <w:numPr>
          <w:ilvl w:val="0"/>
          <w:numId w:val="1"/>
        </w:numPr>
        <w:tabs>
          <w:tab w:leader="none" w:pos="14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povinnosti vyplývající ze zákona č. 449/2001 Sb., o myslivosti, ve znění pozdějších předpisů,</w:t>
      </w:r>
    </w:p>
    <w:p>
      <w:pPr>
        <w:pStyle w:val="Style12"/>
        <w:numPr>
          <w:ilvl w:val="0"/>
          <w:numId w:val="1"/>
        </w:numPr>
        <w:tabs>
          <w:tab w:leader="none" w:pos="14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provádět podle podmínek sběr kamene,</w:t>
      </w:r>
    </w:p>
    <w:p>
      <w:pPr>
        <w:pStyle w:val="Style12"/>
        <w:numPr>
          <w:ilvl w:val="0"/>
          <w:numId w:val="1"/>
        </w:numPr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vyžádat si souhlas propachtovatele při realizaci zúrodňovacích opatření a zakládání trvalých porostů na pozemcích nebo při provádění změny druhu pozemku,</w:t>
      </w:r>
    </w:p>
    <w:p>
      <w:pPr>
        <w:pStyle w:val="Style12"/>
        <w:numPr>
          <w:ilvl w:val="0"/>
          <w:numId w:val="1"/>
        </w:numPr>
        <w:tabs>
          <w:tab w:leader="none" w:pos="14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trpět věcná břemena, resp. služebnosti spojené s pozemky, jež jsou předmětem pachtu,</w:t>
      </w:r>
    </w:p>
    <w:p>
      <w:pPr>
        <w:pStyle w:val="Style12"/>
        <w:numPr>
          <w:ilvl w:val="0"/>
          <w:numId w:val="1"/>
        </w:numPr>
        <w:tabs>
          <w:tab w:leader="none" w:pos="148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platit v souladu se zákonnou úpravou daň z nemovitých věcí za propachtované pozemky, jež jsou předmětem pachtu.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center"/>
        <w:spacing w:before="0" w:after="280" w:line="283" w:lineRule="exact"/>
        <w:ind w:left="0" w:right="420" w:firstLine="0"/>
      </w:pPr>
      <w:bookmarkStart w:id="8" w:name="bookmark8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IV</w:t>
      </w:r>
      <w:bookmarkEnd w:id="8"/>
    </w:p>
    <w:p>
      <w:pPr>
        <w:pStyle w:val="Style12"/>
        <w:numPr>
          <w:ilvl w:val="0"/>
          <w:numId w:val="3"/>
        </w:numPr>
        <w:tabs>
          <w:tab w:leader="none" w:pos="14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Tato smlouva se uzavírá od </w:t>
      </w:r>
      <w:r>
        <w:rPr>
          <w:rStyle w:val="CharStyle30"/>
        </w:rPr>
        <w:t xml:space="preserve">1. srpna 2015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dobu neurčitou.</w:t>
      </w:r>
    </w:p>
    <w:p>
      <w:pPr>
        <w:pStyle w:val="Style12"/>
        <w:numPr>
          <w:ilvl w:val="0"/>
          <w:numId w:val="3"/>
        </w:numPr>
        <w:tabs>
          <w:tab w:leader="none" w:pos="14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Právm' vztah založený touto smlouvou lze ukončit dohodou nebo písemnou výpovědí.</w:t>
      </w:r>
    </w:p>
    <w:p>
      <w:pPr>
        <w:pStyle w:val="Style12"/>
        <w:numPr>
          <w:ilvl w:val="0"/>
          <w:numId w:val="3"/>
        </w:numPr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 lze v souladu s ustanovením § 2347 NOZ vypovědět v dvanáctiměsíční výpovědní době, a to vždy jen k 1. říjnu běžného roku.</w:t>
      </w:r>
    </w:p>
    <w:p>
      <w:pPr>
        <w:pStyle w:val="Style12"/>
        <w:numPr>
          <w:ilvl w:val="0"/>
          <w:numId w:val="3"/>
        </w:numPr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Stane-li se pachtýř ze zdravotních důvodů nezpůsobilý na pozemku hospodařit, má dle ustanovení § 2348 NOZ právo vypovědět pacht v tříměsíční výpovědní době.</w:t>
      </w:r>
    </w:p>
    <w:p>
      <w:pPr>
        <w:pStyle w:val="Style12"/>
        <w:numPr>
          <w:ilvl w:val="0"/>
          <w:numId w:val="3"/>
        </w:numPr>
        <w:tabs>
          <w:tab w:leader="none" w:pos="148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center"/>
        <w:spacing w:before="0" w:after="284" w:line="283" w:lineRule="exact"/>
        <w:ind w:left="0" w:right="420" w:firstLine="0"/>
      </w:pPr>
      <w:bookmarkStart w:id="9" w:name="bookmark9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Č1.V</w:t>
      </w:r>
      <w:bookmarkEnd w:id="9"/>
    </w:p>
    <w:p>
      <w:pPr>
        <w:pStyle w:val="Style12"/>
        <w:numPr>
          <w:ilvl w:val="0"/>
          <w:numId w:val="5"/>
        </w:numPr>
        <w:tabs>
          <w:tab w:leader="none" w:pos="14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 platit propachtovateli pachtovné.</w:t>
      </w:r>
    </w:p>
    <w:p>
      <w:pPr>
        <w:pStyle w:val="Style12"/>
        <w:numPr>
          <w:ilvl w:val="0"/>
          <w:numId w:val="5"/>
        </w:numPr>
        <w:tabs>
          <w:tab w:leader="none" w:pos="14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Pachtovné se platí </w:t>
      </w:r>
      <w:r>
        <w:rPr>
          <w:rStyle w:val="CharStyle31"/>
        </w:rPr>
        <w:t>ročně pozadu</w:t>
      </w:r>
      <w:r>
        <w:rPr>
          <w:rStyle w:val="CharStyle30"/>
        </w:rPr>
        <w:t xml:space="preserve">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vždy k 1. 10. běžného roku.</w:t>
      </w:r>
    </w:p>
    <w:p>
      <w:pPr>
        <w:pStyle w:val="Style12"/>
        <w:numPr>
          <w:ilvl w:val="0"/>
          <w:numId w:val="5"/>
        </w:numPr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390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Roční pachtovné se stanovuje dohodou ve výši </w:t>
      </w:r>
      <w:r>
        <w:rPr>
          <w:rStyle w:val="CharStyle31"/>
        </w:rPr>
        <w:t xml:space="preserve">337 745,- Kč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(slovy: třistatřicetsedmtisícsedmsetčtyřicetpět korun českých).</w:t>
      </w:r>
    </w:p>
    <w:p>
      <w:pPr>
        <w:pStyle w:val="Style12"/>
        <w:numPr>
          <w:ilvl w:val="0"/>
          <w:numId w:val="5"/>
        </w:numPr>
        <w:tabs>
          <w:tab w:leader="none" w:pos="14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Pachtovné bude hrazeno převodem na účet propachtovatele vedený u České národní banky, číslo účtu 160012-3723001/0710, variabilní symbol 9311550.</w:t>
      </w:r>
    </w:p>
    <w:p>
      <w:pPr>
        <w:pStyle w:val="Style12"/>
        <w:numPr>
          <w:ilvl w:val="0"/>
          <w:numId w:val="5"/>
        </w:numPr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Pachtovné za období od účirmosti smlouvy do 30. 9. 2015 včetně 56 445 činí,- Kč (slovy: padesátšesttisícčtyřistačtyřicetpět korun českých) a bude uhrazeno k 1. říjnu 2015.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Zaplacením se rozumí připsání placené částky na účet propachtovatele.</w:t>
      </w:r>
    </w:p>
    <w:p>
      <w:pPr>
        <w:pStyle w:val="Style12"/>
        <w:numPr>
          <w:ilvl w:val="0"/>
          <w:numId w:val="5"/>
        </w:numPr>
        <w:tabs>
          <w:tab w:leader="none" w:pos="14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Nedodrží-li pachtýř lhůtu pro úhradu pachtovného, je povinen podle ustanovení § 1970 NOZ zaplatit propachtovateli úrok z prodlení, a to na účet propachtovatele vedený u České národní banky, číslo účtu 180013-3723001/0710, variabilní symbol 9311550.</w:t>
      </w:r>
    </w:p>
    <w:p>
      <w:pPr>
        <w:pStyle w:val="Style12"/>
        <w:numPr>
          <w:ilvl w:val="0"/>
          <w:numId w:val="5"/>
        </w:numPr>
        <w:tabs>
          <w:tab w:leader="none" w:pos="15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0" w:firstLine="70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Prodlení pachtýře s úhradou pachtovného delší než 60 dnů se považuje za porušení smlouvy, které zakládá nrávo nronaí^n+ovatele smlouvu vypovědět bez výpovědní doby (ustanovení § 2228 odst. 4 NOZ).</w:t>
      </w:r>
      <w:r>
        <w:br w:type="page"/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257"/>
        <w:ind w:left="5460" w:right="0" w:firstLine="0"/>
      </w:pPr>
      <w:bookmarkStart w:id="10" w:name="bookmark1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VI</w:t>
      </w:r>
      <w:bookmarkEnd w:id="10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40" w:right="0" w:firstLine="72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jsou na propachtováných pozemcích zřízena meliorační zařízení, pachtýř se zavazuje:</w:t>
      </w:r>
    </w:p>
    <w:p>
      <w:pPr>
        <w:pStyle w:val="Style12"/>
        <w:numPr>
          <w:ilvl w:val="0"/>
          <w:numId w:val="7"/>
        </w:numPr>
        <w:tabs>
          <w:tab w:leader="none" w:pos="18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14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 melioračních zařízení umístěných pod povrchem půdy zajistit jejich údržbu,</w:t>
      </w:r>
    </w:p>
    <w:p>
      <w:pPr>
        <w:pStyle w:val="Style12"/>
        <w:numPr>
          <w:ilvl w:val="0"/>
          <w:numId w:val="7"/>
        </w:numPr>
        <w:tabs>
          <w:tab w:leader="none" w:pos="18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3" w:line="283" w:lineRule="exact"/>
        <w:ind w:left="14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253"/>
        <w:ind w:left="5460" w:right="0" w:firstLine="0"/>
      </w:pPr>
      <w:bookmarkStart w:id="11" w:name="bookmark1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VII</w:t>
      </w:r>
      <w:bookmarkEnd w:id="11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307" w:line="288" w:lineRule="exact"/>
        <w:ind w:left="540" w:right="0" w:firstLine="72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bere na vědomí a je srozuměn s tím, že pozemky, které jsou předmětem pachtu dle této smlouvy, mohou být propachtovatelem převedeny na třetí osoby v souladu s jeho dispozičním oprávněním. V případě změny vlastnictví platí ustanovení § 2221 a § 2222 NOZ.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249"/>
        <w:ind w:left="5460" w:right="0" w:firstLine="0"/>
      </w:pPr>
      <w:bookmarkStart w:id="12" w:name="bookmark1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VIII</w:t>
      </w:r>
      <w:bookmarkEnd w:id="12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311" w:line="293" w:lineRule="exact"/>
        <w:ind w:left="540" w:right="0" w:firstLine="72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oprávněn propachtované pozemky, některé z nich nebo jejich ěásti propachtovat nebo dát do užívání třetí osobě jen s předchozím píserrmým souhlasem propachtovatele.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257"/>
        <w:ind w:left="5460" w:right="0" w:firstLine="0"/>
      </w:pPr>
      <w:bookmarkStart w:id="13" w:name="bookmark1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IX</w:t>
      </w:r>
      <w:bookmarkEnd w:id="13"/>
    </w:p>
    <w:p>
      <w:pPr>
        <w:pStyle w:val="Style12"/>
        <w:numPr>
          <w:ilvl w:val="0"/>
          <w:numId w:val="9"/>
        </w:numPr>
        <w:tabs>
          <w:tab w:leader="none" w:pos="16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540" w:right="0" w:firstLine="72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 této smlouvě, a to na základě dohody smluvmch stran.</w:t>
      </w:r>
    </w:p>
    <w:p>
      <w:pPr>
        <w:pStyle w:val="Style12"/>
        <w:numPr>
          <w:ilvl w:val="0"/>
          <w:numId w:val="9"/>
        </w:numPr>
        <w:tabs>
          <w:tab w:leader="none" w:pos="16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3" w:line="283" w:lineRule="exact"/>
        <w:ind w:left="540" w:right="0" w:firstLine="72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jsou povimiy se vzájemně informovat o jakékoli změně údajů týkajících se jejich specifikace jako smluvní strany této smlouvy, a to nej později do 30 dnů ode dne změny.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253"/>
        <w:ind w:left="5460" w:right="0" w:firstLine="0"/>
      </w:pPr>
      <w:bookmarkStart w:id="14" w:name="bookmark1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Č1.X</w:t>
      </w:r>
      <w:bookmarkEnd w:id="14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57" w:line="288" w:lineRule="exact"/>
        <w:ind w:left="54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je vyhotovena ve dvou stejnopisech, z nichž každý má platnost originálu. Jeden stejnopis přebírá pachtýř a jeden je určen pro propachtovatele.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566" w:lineRule="exact"/>
        <w:ind w:left="5460" w:right="0" w:firstLine="0"/>
      </w:pPr>
      <w:bookmarkStart w:id="15" w:name="bookmark15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Č1.XI</w:t>
      </w:r>
      <w:bookmarkEnd w:id="15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66" w:lineRule="exact"/>
        <w:ind w:left="54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nabývá platnosti dnem jejího podpisu smluvními stranami.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566" w:lineRule="exact"/>
        <w:ind w:left="5460" w:right="0" w:firstLine="0"/>
      </w:pPr>
      <w:bookmarkStart w:id="16" w:name="bookmark16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XII</w:t>
      </w:r>
      <w:bookmarkEnd w:id="16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27" w:line="288" w:lineRule="exact"/>
        <w:ind w:left="540" w:right="0" w:firstLine="5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po přečtení této smlouvy prohlašují, že s jejím obsahem souhlasí a že tato smlouvaje shodným projevem jejich vážné a svobodné vůle, a na důkaz toho připojují své podpisy.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V Pardubic!ob flnp" </w:t>
      </w:r>
      <w:r>
        <w:rPr>
          <w:rStyle w:val="CharStyle33"/>
        </w:rPr>
        <w:t>08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^^rvence</w:t>
      </w:r>
      <w:r>
        <w:rPr>
          <w:rStyle w:val="CharStyle33"/>
        </w:rPr>
        <w:t>2015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754"/>
        <w:ind w:left="29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»</w:t>
      </w:r>
    </w:p>
    <w:p>
      <w:pPr>
        <w:pStyle w:val="Style36"/>
        <w:widowControl w:val="0"/>
        <w:keepNext/>
        <w:keepLines/>
        <w:shd w:val="clear" w:color="auto" w:fill="auto"/>
        <w:bidi w:val="0"/>
        <w:spacing w:before="0" w:after="0"/>
        <w:ind w:left="154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7.3pt;margin-top:-23.pt;width:66.25pt;height:49.4pt;z-index:-125829376;mso-wrap-distance-left:5.pt;mso-wrap-distance-right:5.pt;mso-wrap-distance-bottom:1.7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3"/>
                      <w:b w:val="0"/>
                      <w:bCs w:val="0"/>
                    </w:rPr>
                    <w:t>PARK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venáVoda, s.r.o.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nický Dvůr č.e. 8 69 Králíky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)62026</w:t>
                  </w:r>
                </w:p>
                <w:p>
                  <w:pPr>
                    <w:pStyle w:val="Style8"/>
                    <w:tabs>
                      <w:tab w:leader="none" w:pos="9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Z 62062026</w:t>
                    <w:tab/>
                    <w:t>-9-</w:t>
                  </w:r>
                </w:p>
              </w:txbxContent>
            </v:textbox>
            <w10:wrap type="square" side="left" anchorx="margin"/>
          </v:shape>
        </w:pict>
      </w:r>
      <w:bookmarkStart w:id="17" w:name="bookmark17"/>
      <w:r>
        <w:rPr>
          <w:lang w:val="cs-CZ" w:eastAsia="cs-CZ" w:bidi="cs-CZ"/>
          <w:w w:val="100"/>
          <w:spacing w:val="0"/>
          <w:color w:val="000000"/>
          <w:position w:val="0"/>
        </w:rPr>
        <w:t>Ing. Josef Vávra</w:t>
      </w:r>
      <w:bookmarkEnd w:id="17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0" w:line="192" w:lineRule="exact"/>
        <w:ind w:left="1540" w:right="0" w:firstLine="0"/>
      </w:pPr>
      <w:r>
        <w:pict>
          <v:shape id="_x0000_s1027" type="#_x0000_t202" style="position:absolute;margin-left:12.25pt;margin-top:34.pt;width:192.pt;height:59.3pt;z-index:-125829375;mso-wrap-distance-left:23.5pt;mso-wrap-distance-right:339.85pt;mso-wrap-distance-bottom:0.3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78" w:lineRule="exact"/>
                    <w:ind w:left="480" w:right="0" w:firstLine="0"/>
                  </w:pPr>
                  <w:bookmarkStart w:id="0" w:name="bookmark0"/>
                  <w:r>
                    <w:rPr>
                      <w:rStyle w:val="CharStyle11"/>
                      <w:b/>
                      <w:bCs/>
                    </w:rPr>
                    <w:t>Ing. Miroslav Kučera</w:t>
                  </w:r>
                  <w:bookmarkEnd w:id="0"/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"/>
                    </w:rPr>
                    <w:t>ředitel Krajského pozemkového úřadu pro Pardubický kraj propachtovatel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85.85pt;margin-top:34.7pt;width:181.9pt;height:59.05pt;z-index:-125829374;mso-wrap-distance-left:297.1pt;mso-wrap-distance-right:76.3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78" w:lineRule="exact"/>
                    <w:ind w:left="0" w:right="0" w:firstLine="660"/>
                  </w:pPr>
                  <w:bookmarkStart w:id="1" w:name="bookmark1"/>
                  <w:r>
                    <w:rPr>
                      <w:rStyle w:val="CharStyle11"/>
                      <w:b/>
                      <w:bCs/>
                    </w:rPr>
                    <w:t>Ing. Libor Vlček</w:t>
                  </w:r>
                  <w:bookmarkEnd w:id="1"/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660"/>
                  </w:pPr>
                  <w:r>
                    <w:rPr>
                      <w:rStyle w:val="CharStyle13"/>
                    </w:rPr>
                    <w:t>jednatel společnosti SKIPARK ČERVENÁ VODA s.r.o. pachtýř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zástupce ředitele</w:t>
        <w:br/>
        <w:t>KPÚ pro Pardubický kraj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95" w:h="16901"/>
          <w:pgMar w:top="327" w:left="356" w:right="530" w:bottom="57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správnost; Ing. Marcela Tomišková</w:t>
      </w:r>
    </w:p>
    <w:p>
      <w:pPr>
        <w:widowControl w:val="0"/>
        <w:spacing w:line="360" w:lineRule="exact"/>
      </w:pPr>
      <w:r>
        <w:pict>
          <v:shape id="_x0000_s1029" type="#_x0000_t202" style="position:absolute;margin-left:21.6pt;margin-top:0.1pt;width:227.05pt;height:19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k nájemní smlouvě č. 93N15/50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6.15pt;margin-top:0.1pt;width:99.35pt;height:32.9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SKIPARK ČERVENA </w:t>
                  </w:r>
                  <w:r>
                    <w:rPr>
                      <w:rStyle w:val="CharStyle42"/>
                    </w:rPr>
                    <w:t xml:space="preserve">yODA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s.r.o.</w:t>
                  </w:r>
                </w:p>
                <w:p>
                  <w:pPr>
                    <w:pStyle w:val="Style4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Sedivská 844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.95pt;margin-top:52.3pt;width:485.3pt;height:204.pt;z-index:25165773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1325"/>
                    <w:gridCol w:w="1210"/>
                    <w:gridCol w:w="312"/>
                    <w:gridCol w:w="499"/>
                    <w:gridCol w:w="514"/>
                    <w:gridCol w:w="720"/>
                    <w:gridCol w:w="955"/>
                    <w:gridCol w:w="1306"/>
                    <w:gridCol w:w="1090"/>
                    <w:gridCol w:w="629"/>
                    <w:gridCol w:w="1147"/>
                  </w:tblGrid>
                  <w:tr>
                    <w:trPr>
                      <w:trHeight w:val="65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jíatastr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60" w:firstLine="0"/>
                        </w:pPr>
                        <w:r>
                          <w:rPr>
                            <w:rStyle w:val="CharStyle43"/>
                          </w:rPr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/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Díl Skup. Kultura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Číslo LV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5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Cena za ha 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Výměra</w:t>
                        </w:r>
                      </w:p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[m2]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% Nájem [Kč]</w:t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shd w:val="clear" w:color="auto" w:fill="FFFFFF"/>
                        <w:gridSpan w:val="11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Úenkovice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108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540,00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1 431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7 155,00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34 460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172 300,00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252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266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1 330,00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2 548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12 740,00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1 200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6 000,00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330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1 650,00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2 438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12 190,00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23 768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118 840,00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43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5 000 000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1 000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5 000,00</w:t>
                        </w:r>
                      </w:p>
                    </w:tc>
                  </w:tr>
                  <w:tr>
                    <w:trPr>
                      <w:trHeight w:val="49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43"/>
                          </w:rPr>
                          <w:t>67 549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337 745,00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2" type="#_x0000_t202" style="position:absolute;margin-left:13.pt;margin-top:29.65pt;width:17.3pt;height:11.2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f </w:t>
                  </w:r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v'aH'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7.4pt;margin-top:23.5pt;width:105.1pt;height:31.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tabs>
                      <w:tab w:leader="none" w:pos="121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6" w:lineRule="exact"/>
                    <w:ind w:left="420" w:right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iabilní symbol: 9311550 iku:</w:t>
                    <w:tab/>
                    <w:t>27.7.2015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74.75pt;margin-top:23.5pt;width:51.35pt;height:31.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65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Uzavřeno: Účinná od: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83.25pt;margin-top:23.5pt;width:58.1pt;height:31.9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6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Roční nájem: 337 745 Kč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55.7pt;margin-top:41.15pt;width:44.15pt;height:12.4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Letohrad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.e-002pt;margin-top:260.8pt;width:51.35pt;height:12.4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CELKEM: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57.65pt;margin-top:261.25pt;width:35.05pt;height:12.4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67 549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433.95pt;margin-top:261.25pt;width:54.25pt;height:12.4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337 745 Kč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31.5pt;margin-top:708.65pt;width:53.3pt;height:12.4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Strana 1 z 1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548.65pt;margin-top:7.8pt;width:21.6pt;height:12.4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&lt;</w:t>
                  </w:r>
                  <w:r>
                    <w:rPr>
                      <w:rStyle w:val="CharStyle48"/>
                      <w:b w:val="0"/>
                      <w:bCs w:val="0"/>
                    </w:rPr>
                    <w:t>2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_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93" w:lineRule="exact"/>
      </w:pPr>
    </w:p>
    <w:p>
      <w:pPr>
        <w:widowControl w:val="0"/>
        <w:rPr>
          <w:sz w:val="2"/>
          <w:szCs w:val="2"/>
        </w:rPr>
      </w:pPr>
    </w:p>
    <w:sectPr>
      <w:pgSz w:w="13186" w:h="17712"/>
      <w:pgMar w:top="1389" w:left="977" w:right="805" w:bottom="138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5">
    <w:name w:val="Char Style 5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7">
    <w:name w:val="Char Style 7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9">
    <w:name w:val="Char Style 9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1"/>
      <w:szCs w:val="11"/>
    </w:rPr>
  </w:style>
  <w:style w:type="character" w:customStyle="1" w:styleId="CharStyle11">
    <w:name w:val="Char Style 11 Exact"/>
    <w:basedOn w:val="DefaultParagraphFont"/>
    <w:rPr>
      <w:b/>
      <w:bCs/>
      <w:i w:val="0"/>
      <w:iCs w:val="0"/>
      <w:u w:val="none"/>
      <w:strike w:val="0"/>
      <w:smallCaps w:val="0"/>
      <w:sz w:val="23"/>
      <w:szCs w:val="23"/>
    </w:rPr>
  </w:style>
  <w:style w:type="character" w:customStyle="1" w:styleId="CharStyle13">
    <w:name w:val="Char Style 13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/>
      <w:iCs/>
      <w:u w:val="none"/>
      <w:strike w:val="0"/>
      <w:smallCaps w:val="0"/>
      <w:sz w:val="22"/>
      <w:szCs w:val="22"/>
      <w:spacing w:val="20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u w:val="none"/>
      <w:strike w:val="0"/>
      <w:smallCaps w:val="0"/>
      <w:sz w:val="23"/>
      <w:szCs w:val="23"/>
    </w:rPr>
  </w:style>
  <w:style w:type="character" w:customStyle="1" w:styleId="CharStyle18">
    <w:name w:val="Char Style 18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22">
    <w:name w:val="Char Style 22"/>
    <w:basedOn w:val="DefaultParagraphFont"/>
    <w:link w:val="Style21"/>
    <w:rPr>
      <w:b/>
      <w:bCs/>
      <w:i w:val="0"/>
      <w:iCs w:val="0"/>
      <w:u w:val="none"/>
      <w:strike w:val="0"/>
      <w:smallCaps w:val="0"/>
      <w:sz w:val="24"/>
      <w:szCs w:val="24"/>
      <w:spacing w:val="30"/>
    </w:rPr>
  </w:style>
  <w:style w:type="character" w:customStyle="1" w:styleId="CharStyle23">
    <w:name w:val="Char Style 23"/>
    <w:basedOn w:val="CharStyle18"/>
    <w:rPr>
      <w:lang w:val="cs-CZ" w:eastAsia="cs-CZ" w:bidi="cs-CZ"/>
      <w:b/>
      <w:bCs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Char Style 24"/>
    <w:basedOn w:val="CharStyle18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6">
    <w:name w:val="Char Style 26"/>
    <w:basedOn w:val="DefaultParagraphFont"/>
    <w:link w:val="Style25"/>
    <w:rPr>
      <w:b/>
      <w:bCs/>
      <w:i w:val="0"/>
      <w:iCs w:val="0"/>
      <w:u w:val="none"/>
      <w:strike w:val="0"/>
      <w:smallCaps w:val="0"/>
      <w:sz w:val="118"/>
      <w:szCs w:val="118"/>
      <w:w w:val="70"/>
    </w:rPr>
  </w:style>
  <w:style w:type="character" w:customStyle="1" w:styleId="CharStyle27">
    <w:name w:val="Char Style 27"/>
    <w:basedOn w:val="DefaultParagraphFont"/>
    <w:link w:val="Style10"/>
    <w:rPr>
      <w:b/>
      <w:bCs/>
      <w:i w:val="0"/>
      <w:iCs w:val="0"/>
      <w:u w:val="none"/>
      <w:strike w:val="0"/>
      <w:smallCaps w:val="0"/>
      <w:sz w:val="23"/>
      <w:szCs w:val="23"/>
    </w:rPr>
  </w:style>
  <w:style w:type="character" w:customStyle="1" w:styleId="CharStyle29">
    <w:name w:val="Char Style 29"/>
    <w:basedOn w:val="DefaultParagraphFont"/>
    <w:link w:val="Style28"/>
    <w:rPr>
      <w:b/>
      <w:bCs/>
      <w:i w:val="0"/>
      <w:iCs w:val="0"/>
      <w:u w:val="none"/>
      <w:strike w:val="0"/>
      <w:smallCaps w:val="0"/>
      <w:sz w:val="34"/>
      <w:szCs w:val="34"/>
    </w:rPr>
  </w:style>
  <w:style w:type="character" w:customStyle="1" w:styleId="CharStyle30">
    <w:name w:val="Char Style 30"/>
    <w:basedOn w:val="CharStyle18"/>
    <w:rPr>
      <w:lang w:val="cs-CZ" w:eastAsia="cs-CZ" w:bidi="cs-CZ"/>
      <w:b/>
      <w:bCs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1">
    <w:name w:val="Char Style 31"/>
    <w:basedOn w:val="CharStyle18"/>
    <w:rPr>
      <w:lang w:val="cs-CZ" w:eastAsia="cs-CZ" w:bidi="cs-CZ"/>
      <w:b/>
      <w:bCs/>
      <w:u w:val="single"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2">
    <w:name w:val="Char Style 32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3">
    <w:name w:val="Char Style 33"/>
    <w:basedOn w:val="CharStyle32"/>
    <w:rPr>
      <w:lang w:val="cs-CZ" w:eastAsia="cs-CZ" w:bidi="cs-CZ"/>
      <w:b/>
      <w:bCs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5">
    <w:name w:val="Char Style 35"/>
    <w:basedOn w:val="DefaultParagraphFont"/>
    <w:link w:val="Style34"/>
    <w:rPr>
      <w:b/>
      <w:bCs/>
      <w:i w:val="0"/>
      <w:iCs w:val="0"/>
      <w:u w:val="none"/>
      <w:strike w:val="0"/>
      <w:smallCaps w:val="0"/>
      <w:sz w:val="8"/>
      <w:szCs w:val="8"/>
    </w:rPr>
  </w:style>
  <w:style w:type="character" w:customStyle="1" w:styleId="CharStyle37">
    <w:name w:val="Char Style 37"/>
    <w:basedOn w:val="DefaultParagraphFont"/>
    <w:link w:val="Style36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39">
    <w:name w:val="Char Style 39 Exact"/>
    <w:basedOn w:val="DefaultParagraphFont"/>
    <w:link w:val="Style38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41">
    <w:name w:val="Char Style 41 Exact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42">
    <w:name w:val="Char Style 42 Exact"/>
    <w:basedOn w:val="CharStyle41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3">
    <w:name w:val="Char Style 43"/>
    <w:basedOn w:val="CharStyle18"/>
    <w:rPr>
      <w:lang w:val="cs-CZ" w:eastAsia="cs-CZ" w:bidi="cs-CZ"/>
      <w:sz w:val="18"/>
      <w:szCs w:val="1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5">
    <w:name w:val="Char Style 45 Exact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47">
    <w:name w:val="Char Style 47 Exact"/>
    <w:basedOn w:val="DefaultParagraphFont"/>
    <w:link w:val="Style46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48">
    <w:name w:val="Char Style 48 Exact"/>
    <w:basedOn w:val="CharStyle47"/>
    <w:rPr>
      <w:lang w:val="cs-CZ" w:eastAsia="cs-CZ" w:bidi="cs-CZ"/>
      <w:b/>
      <w:bCs/>
      <w:sz w:val="18"/>
      <w:szCs w:val="18"/>
      <w:w w:val="12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2"/>
    <w:pPr>
      <w:widowControl w:val="0"/>
      <w:shd w:val="clear" w:color="auto" w:fill="FFFFFF"/>
      <w:spacing w:before="200" w:line="25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both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both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both"/>
      <w:spacing w:line="122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</w:rPr>
  </w:style>
  <w:style w:type="paragraph" w:customStyle="1" w:styleId="Style10">
    <w:name w:val="Style 10"/>
    <w:basedOn w:val="Normal"/>
    <w:link w:val="CharStyle27"/>
    <w:pPr>
      <w:widowControl w:val="0"/>
      <w:shd w:val="clear" w:color="auto" w:fill="FFFFFF"/>
      <w:outlineLvl w:val="2"/>
      <w:spacing w:after="280" w:line="254" w:lineRule="exact"/>
    </w:pPr>
    <w:rPr>
      <w:b/>
      <w:bCs/>
      <w:i w:val="0"/>
      <w:iCs w:val="0"/>
      <w:u w:val="none"/>
      <w:strike w:val="0"/>
      <w:smallCaps w:val="0"/>
      <w:sz w:val="23"/>
      <w:szCs w:val="23"/>
    </w:rPr>
  </w:style>
  <w:style w:type="paragraph" w:customStyle="1" w:styleId="Style12">
    <w:name w:val="Style 12"/>
    <w:basedOn w:val="Normal"/>
    <w:link w:val="CharStyle18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right"/>
      <w:spacing w:after="460" w:line="244" w:lineRule="exact"/>
    </w:pPr>
    <w:rPr>
      <w:b w:val="0"/>
      <w:bCs w:val="0"/>
      <w:i/>
      <w:iCs/>
      <w:u w:val="none"/>
      <w:strike w:val="0"/>
      <w:smallCaps w:val="0"/>
      <w:sz w:val="22"/>
      <w:szCs w:val="22"/>
      <w:spacing w:val="20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before="460" w:line="278" w:lineRule="exact"/>
    </w:pPr>
    <w:rPr>
      <w:b/>
      <w:bCs/>
      <w:i w:val="0"/>
      <w:iCs w:val="0"/>
      <w:u w:val="none"/>
      <w:strike w:val="0"/>
      <w:smallCaps w:val="0"/>
      <w:sz w:val="23"/>
      <w:szCs w:val="23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jc w:val="center"/>
      <w:outlineLvl w:val="1"/>
      <w:spacing w:before="460" w:line="354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jc w:val="center"/>
      <w:outlineLvl w:val="2"/>
      <w:spacing w:after="280" w:line="298" w:lineRule="exact"/>
    </w:pPr>
    <w:rPr>
      <w:b/>
      <w:bCs/>
      <w:i w:val="0"/>
      <w:iCs w:val="0"/>
      <w:u w:val="none"/>
      <w:strike w:val="0"/>
      <w:smallCaps w:val="0"/>
      <w:sz w:val="24"/>
      <w:szCs w:val="24"/>
      <w:spacing w:val="30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spacing w:line="1306" w:lineRule="exact"/>
    </w:pPr>
    <w:rPr>
      <w:b/>
      <w:bCs/>
      <w:i w:val="0"/>
      <w:iCs w:val="0"/>
      <w:u w:val="none"/>
      <w:strike w:val="0"/>
      <w:smallCaps w:val="0"/>
      <w:sz w:val="118"/>
      <w:szCs w:val="118"/>
      <w:w w:val="70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jc w:val="both"/>
      <w:outlineLvl w:val="0"/>
      <w:spacing w:before="160" w:line="376" w:lineRule="exact"/>
    </w:pPr>
    <w:rPr>
      <w:b/>
      <w:bCs/>
      <w:i w:val="0"/>
      <w:iCs w:val="0"/>
      <w:u w:val="none"/>
      <w:strike w:val="0"/>
      <w:smallCaps w:val="0"/>
      <w:sz w:val="34"/>
      <w:szCs w:val="34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after="880" w:line="88" w:lineRule="exact"/>
    </w:pPr>
    <w:rPr>
      <w:b/>
      <w:bCs/>
      <w:i w:val="0"/>
      <w:iCs w:val="0"/>
      <w:u w:val="none"/>
      <w:strike w:val="0"/>
      <w:smallCaps w:val="0"/>
      <w:sz w:val="8"/>
      <w:szCs w:val="8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jc w:val="center"/>
      <w:outlineLvl w:val="2"/>
      <w:spacing w:before="880"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jc w:val="right"/>
      <w:spacing w:line="310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FFFFFF"/>
      <w:spacing w:line="200" w:lineRule="exact"/>
      <w:ind w:hanging="420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FFFFFF"/>
      <w:spacing w:line="20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