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8"/>
        </w:rPr>
        <w:t>l■IIIHII</w:t>
      </w:r>
      <w:bookmarkEnd w:id="0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13"/>
        </w:rPr>
        <w:t>2022007252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15"/>
          <w:b/>
          <w:bCs/>
        </w:rPr>
        <w:t>SMLOUVA O DÍLO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3"/>
          <w:sz w:val="20"/>
          <w:szCs w:val="20"/>
        </w:rPr>
        <w:t>podle ust. § 2586 a násl. občanského zákoníku, uzavřená mezi</w:t>
      </w:r>
    </w:p>
    <w:tbl>
      <w:tblPr>
        <w:tblOverlap w:val="never"/>
        <w:jc w:val="center"/>
        <w:tblLayout w:type="fixed"/>
      </w:tblPr>
      <w:tblGrid>
        <w:gridCol w:w="2669"/>
        <w:gridCol w:w="5674"/>
      </w:tblGrid>
      <w:tr>
        <w:trPr>
          <w:trHeight w:val="52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Kamenice 798/1d, 625 00 Brno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MUDr. Hana Albrechtová, ředitelka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spacing w:val="4"/>
                <w:shd w:val="clear" w:color="auto" w:fill="000000"/>
              </w:rPr>
              <w:t>....</w:t>
            </w:r>
            <w:r>
              <w:rPr>
                <w:rStyle w:val="CharStyle18"/>
                <w:spacing w:val="5"/>
                <w:shd w:val="clear" w:color="auto" w:fill="000000"/>
              </w:rPr>
              <w:t>...</w:t>
            </w:r>
            <w:r>
              <w:rPr>
                <w:rStyle w:val="CharStyle18"/>
                <w:shd w:val="clear" w:color="auto" w:fill="000000"/>
              </w:rPr>
              <w:t>​...</w:t>
            </w:r>
            <w:r>
              <w:rPr>
                <w:rStyle w:val="CharStyle18"/>
                <w:spacing w:val="1"/>
                <w:shd w:val="clear" w:color="auto" w:fill="000000"/>
              </w:rPr>
              <w:t>..........</w:t>
            </w:r>
            <w:r>
              <w:rPr>
                <w:rStyle w:val="CharStyle18"/>
                <w:shd w:val="clear" w:color="auto" w:fill="000000"/>
              </w:rPr>
              <w:t>​</w:t>
            </w:r>
            <w:r>
              <w:rPr>
                <w:rStyle w:val="CharStyle18"/>
                <w:spacing w:val="3"/>
                <w:shd w:val="clear" w:color="auto" w:fill="000000"/>
              </w:rPr>
              <w:t>..</w:t>
            </w:r>
            <w:r>
              <w:rPr>
                <w:rStyle w:val="CharStyle18"/>
                <w:spacing w:val="4"/>
                <w:shd w:val="clear" w:color="auto" w:fill="000000"/>
              </w:rPr>
              <w:t>.</w:t>
            </w:r>
            <w:r>
              <w:rPr>
                <w:rStyle w:val="CharStyle18"/>
                <w:shd w:val="clear" w:color="auto" w:fill="000000"/>
              </w:rPr>
              <w:t>​</w:t>
            </w:r>
            <w:r>
              <w:rPr>
                <w:rStyle w:val="CharStyle18"/>
                <w:spacing w:val="3"/>
                <w:shd w:val="clear" w:color="auto" w:fill="000000"/>
              </w:rPr>
              <w:t>..</w:t>
            </w:r>
            <w:r>
              <w:rPr>
                <w:rStyle w:val="CharStyle18"/>
                <w:spacing w:val="4"/>
                <w:shd w:val="clear" w:color="auto" w:fill="000000"/>
              </w:rPr>
              <w:t>......</w:t>
            </w:r>
            <w:r>
              <w:rPr>
                <w:rStyle w:val="CharStyle18"/>
                <w:shd w:val="clear" w:color="auto" w:fill="000000"/>
                <w:lang w:val="en-US" w:eastAsia="en-US" w:bidi="en-US"/>
              </w:rPr>
              <w:t>​..</w:t>
            </w:r>
            <w:r>
              <w:rPr>
                <w:rStyle w:val="CharStyle18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  <w:r>
              <w:rPr>
                <w:rStyle w:val="CharStyle18"/>
                <w:spacing w:val="1"/>
                <w:u w:val="single"/>
                <w:shd w:val="clear" w:color="auto" w:fill="000000"/>
                <w:lang w:val="en-US" w:eastAsia="en-US" w:bidi="en-US"/>
              </w:rPr>
              <w:t>..........</w:t>
            </w:r>
            <w:r>
              <w:rPr>
                <w:rStyle w:val="CharStyle18"/>
                <w:spacing w:val="8"/>
                <w:shd w:val="clear" w:color="auto" w:fill="000000"/>
                <w:lang w:val="en-US" w:eastAsia="en-US" w:bidi="en-US"/>
              </w:rPr>
              <w:t>...</w:t>
            </w:r>
            <w:r>
              <w:rPr>
                <w:rStyle w:val="CharStyle18"/>
                <w:spacing w:val="9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8"/>
                <w:shd w:val="clear" w:color="auto" w:fill="000000"/>
              </w:rPr>
              <w:t>​</w:t>
            </w:r>
            <w:r>
              <w:rPr>
                <w:rStyle w:val="CharStyle18"/>
                <w:spacing w:val="7"/>
                <w:shd w:val="clear" w:color="auto" w:fill="000000"/>
              </w:rPr>
              <w:t>......</w:t>
            </w:r>
            <w:r>
              <w:rPr>
                <w:rStyle w:val="CharStyle18"/>
                <w:shd w:val="clear" w:color="auto" w:fill="000000"/>
              </w:rPr>
              <w:t>​....</w:t>
            </w:r>
            <w:r>
              <w:rPr>
                <w:rStyle w:val="CharStyle18"/>
                <w:spacing w:val="1"/>
                <w:shd w:val="clear" w:color="auto" w:fill="000000"/>
              </w:rPr>
              <w:t>.....</w:t>
            </w:r>
            <w:r>
              <w:rPr>
                <w:rStyle w:val="CharStyle18"/>
                <w:shd w:val="clear" w:color="auto" w:fill="000000"/>
              </w:rPr>
              <w:t>​.......​.......​......</w:t>
            </w:r>
          </w:p>
        </w:tc>
      </w:tr>
      <w:tr>
        <w:trPr>
          <w:trHeight w:val="78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IČO: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DIČ: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Zápis v OR: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00346292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CZ00346292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Krajský soud v Brně sp. zn. Pr 1245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spacing w:val="3"/>
                <w:shd w:val="clear" w:color="auto" w:fill="000000"/>
              </w:rPr>
              <w:t>.............</w:t>
            </w:r>
            <w:r>
              <w:rPr>
                <w:rStyle w:val="CharStyle18"/>
                <w:spacing w:val="4"/>
                <w:shd w:val="clear" w:color="auto" w:fill="000000"/>
              </w:rPr>
              <w:t>..</w:t>
            </w:r>
            <w:r>
              <w:rPr>
                <w:rStyle w:val="CharStyle18"/>
                <w:shd w:val="clear" w:color="auto" w:fill="000000"/>
              </w:rPr>
              <w:t>​</w:t>
            </w:r>
            <w:r>
              <w:rPr>
                <w:rStyle w:val="CharStyle18"/>
                <w:spacing w:val="3"/>
                <w:shd w:val="clear" w:color="auto" w:fill="000000"/>
              </w:rPr>
              <w:t>....</w:t>
            </w:r>
            <w:r>
              <w:rPr>
                <w:rStyle w:val="CharStyle18"/>
                <w:spacing w:val="4"/>
                <w:shd w:val="clear" w:color="auto" w:fill="000000"/>
              </w:rPr>
              <w:t>.......</w:t>
            </w:r>
            <w:r>
              <w:rPr>
                <w:rStyle w:val="CharStyle18"/>
                <w:shd w:val="clear" w:color="auto" w:fill="000000"/>
              </w:rPr>
              <w:t>​</w:t>
            </w:r>
            <w:r>
              <w:rPr>
                <w:rStyle w:val="CharStyle18"/>
                <w:spacing w:val="1"/>
                <w:shd w:val="clear" w:color="auto" w:fill="000000"/>
              </w:rPr>
              <w:t>..........</w:t>
            </w:r>
            <w:r>
              <w:rPr>
                <w:rStyle w:val="CharStyle18"/>
                <w:shd w:val="clear" w:color="auto" w:fill="000000"/>
              </w:rPr>
              <w:t>​</w:t>
            </w:r>
            <w:r>
              <w:rPr>
                <w:rStyle w:val="CharStyle18"/>
                <w:spacing w:val="10"/>
                <w:shd w:val="clear" w:color="auto" w:fill="000000"/>
              </w:rPr>
              <w:t>..</w:t>
            </w:r>
            <w:r>
              <w:rPr>
                <w:rStyle w:val="CharStyle18"/>
                <w:spacing w:val="11"/>
                <w:shd w:val="clear" w:color="auto" w:fill="000000"/>
              </w:rPr>
              <w:t>..</w:t>
            </w:r>
            <w:r>
              <w:rPr>
                <w:rStyle w:val="CharStyle18"/>
                <w:spacing w:val="5"/>
                <w:shd w:val="clear" w:color="auto" w:fill="000000"/>
              </w:rPr>
              <w:t>..</w:t>
            </w:r>
            <w:r>
              <w:rPr>
                <w:rStyle w:val="CharStyle18"/>
                <w:shd w:val="clear" w:color="auto" w:fill="000000"/>
              </w:rPr>
              <w:t>​</w:t>
            </w:r>
            <w:r>
              <w:rPr>
                <w:rStyle w:val="CharStyle18"/>
                <w:spacing w:val="14"/>
                <w:shd w:val="clear" w:color="auto" w:fill="000000"/>
              </w:rPr>
              <w:t>...</w:t>
            </w:r>
            <w:r>
              <w:rPr>
                <w:rStyle w:val="CharStyle18"/>
                <w:shd w:val="clear" w:color="auto" w:fill="000000"/>
              </w:rPr>
              <w:t>​....​...........................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 xml:space="preserve">(dále jen </w:t>
      </w:r>
      <w:r>
        <w:rPr>
          <w:rStyle w:val="CharStyle3"/>
          <w:b/>
          <w:bCs/>
          <w:i/>
          <w:iCs/>
          <w:sz w:val="19"/>
          <w:szCs w:val="19"/>
        </w:rPr>
        <w:t>„objednatel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12700</wp:posOffset>
                </wp:positionV>
                <wp:extent cx="1645920" cy="130175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1301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6.5pt;margin-top:1.pt;width:129.59999999999999pt;height:102.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</w:rPr>
        <w:t>Fibiger Jiří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3"/>
        </w:rPr>
        <w:t>Litobratřice 110 67178 pošta Jiřice u Miroslavi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rStyle w:val="CharStyle3"/>
        </w:rPr>
        <w:t>Fibiger Jiří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30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rStyle w:val="CharStyle3"/>
          <w:spacing w:val="4"/>
          <w:shd w:val="clear" w:color="auto" w:fill="000000"/>
        </w:rPr>
        <w:t>....</w:t>
      </w:r>
      <w:r>
        <w:rPr>
          <w:rStyle w:val="CharStyle3"/>
          <w:spacing w:val="5"/>
          <w:shd w:val="clear" w:color="auto" w:fill="000000"/>
        </w:rPr>
        <w:t>.......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6"/>
          <w:shd w:val="clear" w:color="auto" w:fill="000000"/>
        </w:rPr>
        <w:t>.</w:t>
      </w:r>
      <w:r>
        <w:rPr>
          <w:rStyle w:val="CharStyle3"/>
          <w:spacing w:val="7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4"/>
          <w:shd w:val="clear" w:color="auto" w:fill="000000"/>
        </w:rPr>
        <w:t>.....</w:t>
      </w:r>
      <w:r>
        <w:rPr>
          <w:rStyle w:val="CharStyle3"/>
          <w:spacing w:val="5"/>
          <w:shd w:val="clear" w:color="auto" w:fill="000000"/>
        </w:rPr>
        <w:t>..</w:t>
      </w:r>
      <w:r>
        <w:rPr>
          <w:rStyle w:val="CharStyle3"/>
          <w:shd w:val="clear" w:color="auto" w:fill="000000"/>
        </w:rPr>
        <w:t>.......</w:t>
      </w:r>
      <w:r>
        <w:rPr>
          <w:rStyle w:val="CharStyle3"/>
          <w:spacing w:val="1"/>
          <w:shd w:val="clear" w:color="auto" w:fill="000000"/>
        </w:rPr>
        <w:t>........................</w:t>
      </w:r>
      <w:r>
        <w:rPr>
          <w:rStyle w:val="CharStyle3"/>
          <w:spacing w:val="8"/>
          <w:shd w:val="clear" w:color="auto" w:fill="000000"/>
        </w:rPr>
        <w:t>...</w:t>
      </w:r>
      <w:r>
        <w:rPr>
          <w:rStyle w:val="CharStyle3"/>
          <w:spacing w:val="9"/>
          <w:shd w:val="clear" w:color="auto" w:fill="000000"/>
        </w:rPr>
        <w:t>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2"/>
          <w:shd w:val="clear" w:color="auto" w:fill="000000"/>
        </w:rPr>
        <w:t>.</w:t>
      </w:r>
      <w:r>
        <w:rPr>
          <w:rStyle w:val="CharStyle3"/>
          <w:spacing w:val="3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.......​.......​.......​......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3"/>
        </w:rPr>
        <w:t>73504441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3"/>
        </w:rPr>
        <w:t>CZ 7405031249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3"/>
        </w:rPr>
        <w:t>Fyzická osoba zapsána v živn rejstříku č.j: OŽÚ 2716/04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Style w:val="CharStyle3"/>
        </w:rPr>
        <w:t>Fio banky, č.ú.</w:t>
      </w:r>
      <w:r>
        <w:rPr>
          <w:rStyle w:val="CharStyle3"/>
          <w:shd w:val="clear" w:color="auto" w:fill="000000"/>
        </w:rPr>
        <w:t>.​.......................​........</w:t>
      </w:r>
      <w:r>
        <w:rPr>
          <w:rStyle w:val="CharStyle3"/>
        </w:rPr>
        <w:t xml:space="preserve"> </w:t>
      </w:r>
      <w:r>
        <w:rPr>
          <w:rStyle w:val="CharStyle3"/>
        </w:rPr>
        <w:t xml:space="preserve">(dále jen </w:t>
      </w:r>
      <w:r>
        <w:rPr>
          <w:rStyle w:val="CharStyle3"/>
          <w:b/>
          <w:bCs/>
          <w:i/>
          <w:iCs/>
          <w:sz w:val="19"/>
          <w:szCs w:val="19"/>
        </w:rPr>
        <w:t>„zhotovíte?)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Zhotovitel se zavazuje, že pro objednatele provede dílo, spočívající v provedení výmalby prostor v objektu objednatele na adrese Pražská 3872/59a, 669 02 Znojmo. Bližší specifikace plnění je uvedena v příloze č. 1, která je nedílnou součástí této smlouvy. Součástí díla je přitom také zakrytí nábytku a podlah a úklid po provedení výmalby.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88" w:lineRule="auto"/>
        <w:ind w:left="400" w:right="0" w:hanging="400"/>
        <w:jc w:val="both"/>
      </w:pPr>
      <w:r>
        <w:rPr>
          <w:rStyle w:val="CharStyle3"/>
        </w:rPr>
        <w:t xml:space="preserve">Zhotovitel se zavazuje provést dílo podle čl. 1 této smlouvy ve lhůtě nejpozději do </w:t>
      </w:r>
      <w:r>
        <w:rPr>
          <w:rStyle w:val="CharStyle3"/>
          <w:b/>
          <w:bCs/>
        </w:rPr>
        <w:t xml:space="preserve">15. 12. 2022. </w:t>
      </w:r>
      <w:r>
        <w:rPr>
          <w:rStyle w:val="CharStyle3"/>
        </w:rPr>
        <w:t>Místem splnění závazku zhotovitele k provedení díla podle čl. 1 této smlouvy je přitom objekt objednatele dle čl. 1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90" w:lineRule="auto"/>
        <w:ind w:left="400" w:right="0" w:hanging="400"/>
        <w:jc w:val="both"/>
      </w:pPr>
      <w:r>
        <w:rPr>
          <w:rStyle w:val="CharStyle3"/>
        </w:rPr>
        <w:t>Zhotovitel se zavazuje při provádění díla podle této smlouvy postupovat s náležitou odbornou péčí a dle průběžných pokynů objednatele.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3"/>
        </w:rPr>
        <w:t>Závazek zhotovitele k provedení díla podle čl. 1 této smlouvy se považuje za splněný dokončením všech prací, spojených se zhotovením díla v dohodnutém rozsahu, a pořízením písemného protokolu o předání a převzetí tohoto díla, prostého všech vad nedodělků, podepsaného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after="140" w:line="276" w:lineRule="auto"/>
        <w:ind w:left="400" w:right="0" w:hanging="400"/>
        <w:jc w:val="both"/>
      </w:pPr>
      <w:r>
        <w:rPr>
          <w:rStyle w:val="CharStyle3"/>
        </w:rPr>
        <w:t>Pro případ prodlení se splněním svého závazku podle čl. 1 této smlouvy ve lhůtě podle čl. 2 této smlouvy se zhotovitel zavazuje zaplatit objednateli smluvní pokutu ve výši 0,1 % z celkové ceny díla podle čl. 6 této smlouvy za každý započatý den prodlení. Zaplacením této smluvní pokuty není dotčen nárok objednatele na případnou náhradu škody v plné výši.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after="0" w:line="295" w:lineRule="auto"/>
        <w:ind w:left="400" w:right="0" w:hanging="400"/>
        <w:jc w:val="both"/>
      </w:pPr>
      <w:r>
        <w:rPr>
          <w:rStyle w:val="CharStyle3"/>
        </w:rPr>
        <w:t>Objednatel se zavazuje zaplatit zhotoviteli za dílo podle čl. 1 této smlouvy celkovou cenu díla ve výši: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rStyle w:val="CharStyle3"/>
          <w:b/>
          <w:bCs/>
        </w:rPr>
        <w:t xml:space="preserve">63612 </w:t>
      </w:r>
      <w:r>
        <w:rPr>
          <w:rStyle w:val="CharStyle3"/>
        </w:rPr>
        <w:t xml:space="preserve">Kč bez DPH, tj. </w:t>
      </w:r>
      <w:r>
        <w:rPr>
          <w:rStyle w:val="CharStyle3"/>
          <w:b/>
          <w:bCs/>
        </w:rPr>
        <w:t xml:space="preserve">76971 </w:t>
      </w:r>
      <w:r>
        <w:rPr>
          <w:rStyle w:val="CharStyle3"/>
        </w:rPr>
        <w:t>Kč včetně 21%DPH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90" w:lineRule="auto"/>
        <w:ind w:left="400" w:right="0" w:firstLine="20"/>
        <w:jc w:val="both"/>
      </w:pPr>
      <w:r>
        <w:rPr>
          <w:rStyle w:val="CharStyle3"/>
        </w:rPr>
        <w:t>s tím, že součástí této ceny jsou veškeré náklady zhotovitele, spojené s plněním závazku zhotovitele podle čl. 1 této smlouvy v dohodnutém místě plnění, včetně daně z přidané hodnoty ve výši dle zákona stím, že DPH bude vypořádána dle zákona o DPH. Změna ceny díla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 xml:space="preserve">Cena díla podle čl. 6 této smlouvy je splatná po splnění závazku zhotovitele k provedení díla způsobem podle čl. 4 této smlouvy ve lhůtě do 30-ti dnů od předložení jeho písemného vyúčtování (daňového dokladu/faktury). Faktura bude doručena elektronicky na email: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b/>
          <w:bCs/>
          <w:shd w:val="clear" w:color="auto" w:fill="000000"/>
        </w:rPr>
        <w:t>​...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color w:val="87BFE3"/>
          <w:lang w:val="en-US" w:eastAsia="en-US" w:bidi="en-US"/>
        </w:rPr>
        <w:t xml:space="preserve"> </w:t>
      </w:r>
      <w:r>
        <w:rPr>
          <w:rStyle w:val="CharStyle3"/>
        </w:rPr>
        <w:t xml:space="preserve">Na faktuře musí být mimo jiné vždy uvedeno toto čislo veřejné zakázky, ke které se faktura vztahuje: </w:t>
      </w:r>
      <w:r>
        <w:rPr>
          <w:rStyle w:val="CharStyle3"/>
          <w:b/>
          <w:bCs/>
        </w:rPr>
        <w:t xml:space="preserve">P22V00003465. </w:t>
      </w:r>
      <w:r>
        <w:rPr>
          <w:rStyle w:val="CharStyle3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3"/>
        </w:rPr>
        <w:t>Pro případ prodlení s úhradou ceny díla ve lhůtě podle čl. 7 této smlouvy se objednatel zavazuje zaplatit zhotoviteli úrok z prodleni ve výši dle zákona.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Zhotovitel odpovídá objednateli za to, že dílo podle čl. 1 této smlouvy bude odpovídat tuzemským technickým, hygienickým a jiným normám, a že bude mit ty vlastnosti, které jsou u děl tohoto druhu obvyklé. V tomto smyslu se zhotovitel zavazuje bezplatně odstraňovat vady, které se na dílo podle čl. 1 této smlouvy vyskytnou v době do 24 měsíců ode dne splnění závazku podle čl. 3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88" w:lineRule="auto"/>
        <w:ind w:left="400" w:right="0" w:hanging="400"/>
        <w:jc w:val="both"/>
      </w:pPr>
      <w:r>
        <w:rPr>
          <w:rStyle w:val="CharStyle3"/>
        </w:rPr>
        <w:t>Zhotovitel se zavazuje rozhodovat o písemných reklamacích objednatele v období po dokončení díla písemně ve lhůtě do 10-ti dnů od jejich doručení, a ve stejné lhůtě provádět odstraňování reklamovaných vady, nebude-li mezi oběma stranami v jednotlivém případě dohodnuto jinak.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3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Neprovede-li zhotovitel odstraněni reklamované vady ve lhůtě podle čl. 10 této smlouvy, a to ani po písemné výzvě objednatele, je objednatel oprávněn nechat provést toto odstranění třetí osobou na náklad zhotovitele.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90" w:lineRule="auto"/>
        <w:ind w:left="400" w:right="0" w:hanging="400"/>
        <w:jc w:val="both"/>
      </w:pPr>
      <w:r>
        <w:rPr>
          <w:rStyle w:val="CharStyle3"/>
        </w:rPr>
        <w:t>Objednatel je oprávněn odstoupit od této smlouvy o dílo, bude-li zhotovitel v prodlení se splněním svého závazku podle čl. 1 této smlouvy ve lhůtě podle čl. 2 této smlouvy o víc, než jeden týden.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3"/>
        </w:rPr>
        <w:t>Není-li touto smlouvou ujednáno jinak, řídí se vzájemný právní vztah mezi zhotovitelem a objednatelem v této věci ust. § 2586 a násl.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3"/>
        </w:rPr>
        <w:t>Tato smlouva se uzavírá na základě návrhu na její uzavření ze strany objednatele. Předpokladem uzavření této smlouvy je její písemná forma a dohoda o jejích podstatných náležitostech, čímž se rozumí celý obsah této smlouvy, jak je uveden v čl. 1 až 19 této smlouvy. Objednatel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86" w:lineRule="auto"/>
        <w:ind w:left="0" w:right="0" w:firstLine="0"/>
        <w:jc w:val="both"/>
      </w:pPr>
      <w:r>
        <w:rPr>
          <w:rStyle w:val="CharStyle3"/>
        </w:rPr>
        <w:t>Tuto smlouvu lze změnit nebo zrušit pouze jinou písemnou dohodu obou smluvních stran.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6" w:val="left"/>
        </w:tabs>
        <w:bidi w:val="0"/>
        <w:spacing w:before="0" w:after="220" w:line="276" w:lineRule="auto"/>
        <w:ind w:left="420" w:right="0" w:hanging="420"/>
        <w:jc w:val="left"/>
      </w:pPr>
      <w:r>
        <w:rPr>
          <w:rStyle w:val="CharStyle3"/>
        </w:rPr>
        <w:t>Zhotovitel uděluje objednateli z opatrnosti svůj výslovný souhlas se zveřejněním podmínek této smlouvy v rozsahu a za podmínek vyplývajících z příslušných právních předpisů (zejména zák. č. 106/1999 Sb. O svobodném přístupu k informacím, v platném znění).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220" w:line="286" w:lineRule="auto"/>
        <w:ind w:left="420" w:right="0" w:hanging="420"/>
        <w:jc w:val="left"/>
      </w:pPr>
      <w:r>
        <w:rPr>
          <w:rStyle w:val="CharStyle3"/>
        </w:rPr>
        <w:t>Tato smlouva nabývá platnosti dnem jejího uzavřeni a účinnosti dnem jejího uveřejnění v registru smluv dle příslušných ustanovení zákona č. 340/2015 Sb. o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600" w:line="276" w:lineRule="auto"/>
        <w:ind w:left="420" w:right="0" w:hanging="420"/>
        <w:jc w:val="left"/>
      </w:pPr>
      <w:r>
        <w:drawing>
          <wp:anchor distT="0" distB="1423670" distL="833755" distR="464820" simplePos="0" relativeHeight="125829380" behindDoc="0" locked="0" layoutInCell="1" allowOverlap="1">
            <wp:simplePos x="0" y="0"/>
            <wp:positionH relativeFrom="page">
              <wp:posOffset>1687830</wp:posOffset>
            </wp:positionH>
            <wp:positionV relativeFrom="paragraph">
              <wp:posOffset>584200</wp:posOffset>
            </wp:positionV>
            <wp:extent cx="1127760" cy="286385"/>
            <wp:wrapSquare wrapText="righ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127760" cy="2863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08305" distB="539750" distL="141605" distR="114300" simplePos="0" relativeHeight="125829381" behindDoc="0" locked="0" layoutInCell="1" allowOverlap="1">
            <wp:simplePos x="0" y="0"/>
            <wp:positionH relativeFrom="page">
              <wp:posOffset>995680</wp:posOffset>
            </wp:positionH>
            <wp:positionV relativeFrom="paragraph">
              <wp:posOffset>992505</wp:posOffset>
            </wp:positionV>
            <wp:extent cx="2170430" cy="762000"/>
            <wp:wrapSquare wrapText="righ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170430" cy="7620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968375</wp:posOffset>
                </wp:positionH>
                <wp:positionV relativeFrom="paragraph">
                  <wp:posOffset>1781810</wp:posOffset>
                </wp:positionV>
                <wp:extent cx="1402080" cy="50927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2080" cy="509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>Objednatel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6.25pt;margin-top:140.30000000000001pt;width:110.40000000000001pt;height:40.1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MUDr. Hana Albrechtová ředitelka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Objednatel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16" w:lineRule="auto"/>
        <w:ind w:left="1260" w:right="0" w:firstLine="20"/>
        <w:jc w:val="left"/>
      </w:pPr>
      <w: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6149975</wp:posOffset>
            </wp:positionH>
            <wp:positionV relativeFrom="paragraph">
              <wp:posOffset>330200</wp:posOffset>
            </wp:positionV>
            <wp:extent cx="133985" cy="274320"/>
            <wp:wrapSquare wrapText="lef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33985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"/>
        </w:rPr>
        <w:t>Ve Znojmě dn^/Š^É^ Dyjákovičky 134. 6</w:t>
      </w:r>
      <w:r>
        <w:rPr>
          <w:rStyle w:val="CharStyle3"/>
          <w:shd w:val="clear" w:color="auto" w:fill="000000"/>
        </w:rPr>
        <w:t>.....​....</w:t>
      </w:r>
      <w:r>
        <w:rPr>
          <w:rStyle w:val="CharStyle3"/>
        </w:rPr>
        <w:t xml:space="preserve"> 10:735 04 44</w:t>
      </w:r>
      <w:r>
        <w:rPr>
          <w:rStyle w:val="CharStyle3"/>
          <w:shd w:val="clear" w:color="auto" w:fill="000000"/>
        </w:rPr>
        <w:t>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16" w:lineRule="auto"/>
        <w:ind w:left="0" w:right="880" w:firstLine="0"/>
        <w:jc w:val="right"/>
      </w:pPr>
      <w:r>
        <w:rPr>
          <w:rStyle w:val="CharStyle3"/>
        </w:rPr>
        <w:t>DIČ: CZ740</w:t>
      </w:r>
      <w:r>
        <w:rPr>
          <w:rStyle w:val="CharStyle3"/>
          <w:shd w:val="clear" w:color="auto" w:fill="000000"/>
        </w:rPr>
        <w:t>...............​</w:t>
      </w:r>
      <w:r>
        <w:rPr>
          <w:rStyle w:val="CharStyle3"/>
          <w:spacing w:val="-11"/>
          <w:shd w:val="clear" w:color="auto" w:fill="000000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16" w:lineRule="auto"/>
        <w:ind w:left="0" w:right="880" w:firstLine="0"/>
        <w:jc w:val="right"/>
      </w:pPr>
      <w:r>
        <w:rPr>
          <w:rStyle w:val="CharStyle3"/>
        </w:rPr>
        <w:t xml:space="preserve">Tel.: -42. 704 </w:t>
      </w:r>
      <w:r>
        <w:rPr>
          <w:rStyle w:val="CharStyle3"/>
          <w:shd w:val="clear" w:color="auto" w:fill="000000"/>
        </w:rPr>
        <w:t>.......​.......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1260" w:right="0" w:firstLine="0"/>
        <w:jc w:val="left"/>
      </w:pPr>
      <w:r>
        <w:rPr>
          <w:rStyle w:val="CharStyle3"/>
        </w:rPr>
        <w:t>Fibiger Jiří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60" w:line="240" w:lineRule="auto"/>
        <w:ind w:left="1260" w:right="0" w:firstLine="0"/>
        <w:jc w:val="left"/>
      </w:pPr>
      <w:r>
        <w:rPr>
          <w:rStyle w:val="CharStyle3"/>
          <w:b/>
          <w:bCs/>
        </w:rPr>
        <w:t>Zhotovitel</w:t>
      </w:r>
    </w:p>
    <w:p>
      <w:pPr>
        <w:pStyle w:val="Style5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52"/>
          <w:b/>
          <w:bCs/>
          <w:sz w:val="19"/>
          <w:szCs w:val="19"/>
        </w:rPr>
        <w:t>Příloha č. 1: Technická specifikace, Ceník</w:t>
      </w:r>
    </w:p>
    <w:tbl>
      <w:tblPr>
        <w:tblOverlap w:val="never"/>
        <w:jc w:val="center"/>
        <w:tblLayout w:type="fixed"/>
      </w:tblPr>
      <w:tblGrid>
        <w:gridCol w:w="5496"/>
        <w:gridCol w:w="806"/>
        <w:gridCol w:w="398"/>
        <w:gridCol w:w="1013"/>
        <w:gridCol w:w="1070"/>
      </w:tblGrid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Style w:val="CharStyle18"/>
                <w:sz w:val="12"/>
                <w:szCs w:val="12"/>
              </w:rPr>
              <w:t>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18"/>
                <w:sz w:val="12"/>
                <w:szCs w:val="12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18"/>
                <w:sz w:val="12"/>
                <w:szCs w:val="12"/>
              </w:rPr>
              <w:t>mi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2"/>
                <w:szCs w:val="12"/>
              </w:rPr>
            </w:pPr>
            <w:r>
              <w:rPr>
                <w:rStyle w:val="CharStyle18"/>
                <w:sz w:val="12"/>
                <w:szCs w:val="12"/>
              </w:rPr>
              <w:t>ccna/mj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18"/>
                <w:sz w:val="12"/>
                <w:szCs w:val="12"/>
              </w:rPr>
              <w:t>celkem j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966" w:val="left"/>
              </w:tabs>
              <w:bidi w:val="0"/>
              <w:spacing w:before="0" w:after="0" w:line="240" w:lineRule="auto"/>
              <w:ind w:left="0" w:right="0" w:firstLine="400"/>
              <w:jc w:val="left"/>
              <w:rPr>
                <w:sz w:val="12"/>
                <w:szCs w:val="12"/>
              </w:rPr>
            </w:pPr>
            <w:r>
              <w:rPr>
                <w:rStyle w:val="CharStyle18"/>
                <w:sz w:val="12"/>
                <w:szCs w:val="12"/>
              </w:rPr>
              <w:t>s la - c spem Larva Master ve sprchách umyvawina</w:t>
              <w:tab/>
              <w:t>op-aw omítek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18"/>
                <w:sz w:val="12"/>
                <w:szCs w:val="12"/>
              </w:rPr>
              <w:t>13'5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8"/>
                <w:sz w:val="12"/>
                <w:szCs w:val="12"/>
              </w:rPr>
              <w:t>-2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18"/>
                <w:color w:val="4B4C60"/>
                <w:sz w:val="12"/>
                <w:szCs w:val="12"/>
              </w:rPr>
              <w:t>4Í» Kc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2"/>
                <w:szCs w:val="12"/>
              </w:rPr>
            </w:pPr>
            <w:r>
              <w:rPr>
                <w:rStyle w:val="CharStyle18"/>
                <w:color w:val="4B4C60"/>
                <w:sz w:val="12"/>
                <w:szCs w:val="12"/>
              </w:rPr>
              <w:t>43 &lt;200 Kil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18"/>
                <w:sz w:val="12"/>
                <w:szCs w:val="12"/>
              </w:rPr>
              <w:t>OOKi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8"/>
                <w:sz w:val="12"/>
                <w:szCs w:val="12"/>
              </w:rPr>
              <w:t xml:space="preserve">—a </w:t>
            </w:r>
            <w:r>
              <w:rPr>
                <w:rStyle w:val="CharStyle18"/>
                <w:smallCaps/>
                <w:sz w:val="12"/>
                <w:szCs w:val="12"/>
              </w:rPr>
              <w:t>cú</w:t>
            </w:r>
            <w:r>
              <w:rPr>
                <w:rStyle w:val="CharStyle18"/>
                <w:sz w:val="12"/>
                <w:szCs w:val="12"/>
              </w:rPr>
              <w:t xml:space="preserve"> d $se'zm Cokw a* Ekodu' </w:t>
            </w:r>
            <w:r>
              <w:rPr>
                <w:rStyle w:val="CharStyle18"/>
                <w:smallCaps/>
                <w:sz w:val="12"/>
                <w:szCs w:val="12"/>
              </w:rPr>
              <w:t>ízc*</w:t>
            </w:r>
            <w:r>
              <w:rPr>
                <w:rStyle w:val="CharStyle18"/>
                <w:sz w:val="12"/>
                <w:szCs w:val="12"/>
              </w:rPr>
              <w:t xml:space="preserve"> oestín NCS S3^Of YzCR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18"/>
                <w:sz w:val="12"/>
                <w:szCs w:val="12"/>
              </w:rPr>
              <w:t>219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18"/>
                <w:sz w:val="12"/>
                <w:szCs w:val="12"/>
              </w:rPr>
              <w:t>-2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2"/>
                <w:szCs w:val="12"/>
              </w:rPr>
            </w:pPr>
            <w:r>
              <w:rPr>
                <w:rStyle w:val="CharStyle18"/>
                <w:color w:val="4B4C60"/>
                <w:sz w:val="12"/>
                <w:szCs w:val="12"/>
              </w:rPr>
              <w:t>66 Kč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18"/>
                <w:color w:val="4B4C60"/>
                <w:sz w:val="12"/>
                <w:szCs w:val="12"/>
              </w:rPr>
              <w:t>14 B92.C Kč ।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Style w:val="CharStyle18"/>
                <w:sz w:val="12"/>
                <w:szCs w:val="12"/>
              </w:rPr>
              <w:t>0.0 Kč</w:t>
            </w:r>
          </w:p>
        </w:tc>
      </w:tr>
    </w:tbl>
    <w:p>
      <w:pPr>
        <w:pStyle w:val="Style51"/>
        <w:keepNext w:val="0"/>
        <w:keepLines w:val="0"/>
        <w:widowControl w:val="0"/>
        <w:shd w:val="clear" w:color="auto" w:fill="auto"/>
        <w:tabs>
          <w:tab w:pos="5410" w:val="left"/>
        </w:tabs>
        <w:bidi w:val="0"/>
        <w:spacing w:before="0" w:after="0" w:line="240" w:lineRule="auto"/>
        <w:ind w:left="5" w:right="0" w:firstLine="0"/>
        <w:jc w:val="left"/>
      </w:pPr>
      <w:r>
        <w:rPr>
          <w:rStyle w:val="CharStyle52"/>
        </w:rPr>
        <w:t>cena ?ahrnuje: zakryt pocian vytavení m slnosti pf&lt;Mt zreóštón dioCnc opravy om</w:t>
        <w:tab/>
        <w:t>i mateři. ekotOgiCiiO^ sbalí od 0&amp;'£v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pos="5770" w:val="left"/>
        </w:tabs>
        <w:bidi w:val="0"/>
        <w:spacing w:before="0" w:after="0" w:line="240" w:lineRule="auto"/>
        <w:ind w:left="5" w:right="0" w:firstLine="0"/>
        <w:jc w:val="left"/>
      </w:pPr>
      <w:r>
        <w:rPr>
          <w:rStyle w:val="CharStyle52"/>
        </w:rPr>
        <w:t xml:space="preserve">Po žadova n a souč inos t o bjodna tol o p-úst jp -Ju objektu d e </w:t>
      </w:r>
      <w:r>
        <w:rPr>
          <w:rStyle w:val="CharStyle52"/>
          <w:color w:val="757389"/>
        </w:rPr>
        <w:t xml:space="preserve">úcr~ </w:t>
      </w:r>
      <w:r>
        <w:rPr>
          <w:rStyle w:val="CharStyle52"/>
        </w:rPr>
        <w:t>ucreho</w:t>
        <w:tab/>
        <w:t>postup i. vose a el zásuvce</w:t>
      </w:r>
    </w:p>
    <w:sectPr>
      <w:footerReference w:type="default" r:id="rId11"/>
      <w:footnotePr>
        <w:pos w:val="pageBottom"/>
        <w:numFmt w:val="decimal"/>
        <w:numRestart w:val="continuous"/>
      </w:footnotePr>
      <w:pgSz w:w="11900" w:h="16840"/>
      <w:pgMar w:top="485" w:right="1490" w:bottom="1544" w:left="1521" w:header="57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10052050</wp:posOffset>
              </wp:positionV>
              <wp:extent cx="2922905" cy="11303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2290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0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VZ 46_2022 Výmalba výjezdové základny ZZS Jmk Znojmo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7.950000000000003pt;margin-top:791.5pt;width:230.15000000000001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0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 46_2022 Výmalba výjezdové základny ZZS Jmk Znojmo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Nadpis #1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Základní text (2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">
    <w:name w:val="Nadpis #2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CharStyle18">
    <w:name w:val="Jiné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2">
    <w:name w:val="Titulek tabulky_"/>
    <w:basedOn w:val="DefaultParagraphFont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0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auto"/>
      <w:spacing w:line="28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auto"/>
      <w:spacing w:after="40"/>
      <w:ind w:right="32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auto"/>
      <w:spacing w:after="80"/>
      <w:ind w:right="32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4">
    <w:name w:val="Nadpis #2"/>
    <w:basedOn w:val="Normal"/>
    <w:link w:val="CharStyle15"/>
    <w:pPr>
      <w:widowControl w:val="0"/>
      <w:shd w:val="clear" w:color="auto" w:fill="auto"/>
      <w:spacing w:after="20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Style17">
    <w:name w:val="Jiné"/>
    <w:basedOn w:val="Normal"/>
    <w:link w:val="CharStyle18"/>
    <w:pPr>
      <w:widowControl w:val="0"/>
      <w:shd w:val="clear" w:color="auto" w:fill="auto"/>
      <w:spacing w:after="20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1">
    <w:name w:val="Titulek tabulky"/>
    <w:basedOn w:val="Normal"/>
    <w:link w:val="CharStyle5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footer" Target="footer1.xml"/></Relationships>
</file>