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0.7pt;margin-top:92.85pt;width:445.5pt;height:0;z-index:-251658240;mso-position-horizontal-relative:page;mso-position-vertical-relative:page">
            <v:stroke weight="1.6pt"/>
          </v:shape>
        </w:pict>
      </w:r>
      <w:r>
        <w:pict>
          <v:shape o:spt="32" o:oned="1" path="m,l21600,21600e" style="position:absolute;margin-left:20.7pt;margin-top:92.85pt;width:0;height:96.3pt;z-index:-251658240;mso-position-horizontal-relative:page;mso-position-vertical-relative:page">
            <v:stroke weight="1.6pt"/>
          </v:shape>
        </w:pict>
      </w:r>
      <w:r>
        <w:pict>
          <v:shape o:spt="32" o:oned="1" path="m,l21600,21600e" style="position:absolute;margin-left:20.7pt;margin-top:189.15pt;width:445.5pt;height:0;z-index:-251658240;mso-position-horizontal-relative:page;mso-position-vertical-relative:page">
            <v:stroke weight="1.6pt"/>
          </v:shape>
        </w:pict>
      </w:r>
      <w:r>
        <w:pict>
          <v:shape o:spt="32" o:oned="1" path="m,l21600,21600e" style="position:absolute;margin-left:466.2pt;margin-top:92.85pt;width:0;height:96.3pt;z-index:-251658240;mso-position-horizontal-relative:page;mso-position-vertical-relative:page">
            <v:stroke weight="1.6pt"/>
          </v:shape>
        </w:pict>
      </w:r>
      <w:r>
        <w:pict>
          <v:shape o:spt="32" o:oned="1" path="m,l21600,21600e" style="position:absolute;margin-left:532.95pt;margin-top:268.pt;width:276.3pt;height:0;z-index:-251658240;mso-position-horizontal-relative:page;mso-position-vertical-relative:page">
            <v:stroke weight="0.9pt"/>
          </v:shape>
        </w:pict>
      </w:r>
      <w:r>
        <w:pict>
          <v:shape o:spt="32" o:oned="1" path="m,l21600,21600e" style="position:absolute;margin-left:532.95pt;margin-top:268.pt;width:0;height:28.8pt;z-index:-251658240;mso-position-horizontal-relative:page;mso-position-vertical-relative:page">
            <v:stroke weight="0.9pt"/>
          </v:shape>
        </w:pict>
      </w:r>
      <w:r>
        <w:pict>
          <v:shape o:spt="32" o:oned="1" path="m,l21600,21600e" style="position:absolute;margin-left:532.95pt;margin-top:296.8pt;width:276.3pt;height:0;z-index:-251658240;mso-position-horizontal-relative:page;mso-position-vertical-relative:page">
            <v:stroke weight="0.9pt"/>
          </v:shape>
        </w:pict>
      </w:r>
      <w:r>
        <w:pict>
          <v:shape o:spt="32" o:oned="1" path="m,l21600,21600e" style="position:absolute;margin-left:809.25pt;margin-top:268.pt;width:0;height:28.8pt;z-index:-251658240;mso-position-horizontal-relative:page;mso-position-vertical-relative:page">
            <v:stroke weight="0.9pt"/>
          </v:shape>
        </w:pict>
      </w:r>
    </w:p>
    <w:p>
      <w:pPr>
        <w:pStyle w:val="Style2"/>
        <w:framePr w:w="15768" w:h="1199" w:hRule="exact" w:wrap="none" w:vAnchor="page" w:hAnchor="page" w:x="41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ROZSAH ASISTENČNÍCH SLUŽEB</w:t>
      </w:r>
      <w:bookmarkEnd w:id="0"/>
    </w:p>
    <w:p>
      <w:pPr>
        <w:pStyle w:val="Style4"/>
        <w:framePr w:w="15768" w:h="1199" w:hRule="exact" w:wrap="none" w:vAnchor="page" w:hAnchor="page" w:x="415" w:y="1087"/>
        <w:widowControl w:val="0"/>
        <w:keepNext w:val="0"/>
        <w:keepLines w:val="0"/>
        <w:shd w:val="clear" w:color="auto" w:fill="auto"/>
        <w:bidi w:val="0"/>
        <w:jc w:val="left"/>
        <w:spacing w:before="0" w:after="46"/>
        <w:ind w:left="15" w:right="96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Flotilové autokomplexní pojištění FAR - flotily uzavřené 1.1.2021 a později</w:t>
        <w:br/>
        <w:t xml:space="preserve">Poskytovatel: GLOBAL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ASSISTANCE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a.s., Dopraváků 749/3, 184 00 Praha 8</w:t>
      </w:r>
      <w:bookmarkEnd w:id="1"/>
    </w:p>
    <w:p>
      <w:pPr>
        <w:pStyle w:val="Style6"/>
        <w:framePr w:w="15768" w:h="1199" w:hRule="exact" w:wrap="none" w:vAnchor="page" w:hAnchor="page" w:x="415" w:y="108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poruchy, nehody nebo žádosti o pomoc v ČR volejte přednostně:</w:t>
        <w:br/>
      </w:r>
      <w:r>
        <w:rPr>
          <w:rStyle w:val="CharStyle8"/>
          <w:b w:val="0"/>
          <w:bCs w:val="0"/>
        </w:rPr>
        <w:t xml:space="preserve">LINKU POMOCI ŘIDIČŮM 1224, případně GLOBAL </w:t>
      </w:r>
      <w:r>
        <w:rPr>
          <w:rStyle w:val="CharStyle8"/>
          <w:lang w:val="en-US" w:eastAsia="en-US" w:bidi="en-US"/>
          <w:b w:val="0"/>
          <w:bCs w:val="0"/>
        </w:rPr>
        <w:t xml:space="preserve">ASSISTANCE </w:t>
      </w:r>
      <w:r>
        <w:rPr>
          <w:rStyle w:val="CharStyle8"/>
          <w:b w:val="0"/>
          <w:bCs w:val="0"/>
        </w:rPr>
        <w:t>1220</w:t>
      </w:r>
    </w:p>
    <w:p>
      <w:pPr>
        <w:pStyle w:val="Style6"/>
        <w:framePr w:w="15768" w:h="504" w:hRule="exact" w:wrap="none" w:vAnchor="page" w:hAnchor="page" w:x="415" w:y="2451"/>
        <w:widowControl w:val="0"/>
        <w:keepNext w:val="0"/>
        <w:keepLines w:val="0"/>
        <w:shd w:val="clear" w:color="auto" w:fill="auto"/>
        <w:bidi w:val="0"/>
        <w:spacing w:before="0" w:after="0" w:line="223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poruchy, nehody nebo žádosti o pomoc v zahraničí volejte:</w:t>
        <w:br/>
      </w:r>
      <w:r>
        <w:rPr>
          <w:rStyle w:val="CharStyle8"/>
          <w:b w:val="0"/>
          <w:bCs w:val="0"/>
        </w:rPr>
        <w:t xml:space="preserve">GLOBAL </w:t>
      </w:r>
      <w:r>
        <w:rPr>
          <w:rStyle w:val="CharStyle8"/>
          <w:lang w:val="en-US" w:eastAsia="en-US" w:bidi="en-US"/>
          <w:b w:val="0"/>
          <w:bCs w:val="0"/>
        </w:rPr>
        <w:t xml:space="preserve">ASSISTANCE </w:t>
      </w:r>
      <w:r>
        <w:rPr>
          <w:rStyle w:val="CharStyle8"/>
          <w:b w:val="0"/>
          <w:bCs w:val="0"/>
        </w:rPr>
        <w:t>+420 266 799 779</w:t>
      </w:r>
    </w:p>
    <w:p>
      <w:pPr>
        <w:pStyle w:val="Style9"/>
        <w:framePr w:w="15768" w:h="546" w:hRule="exact" w:wrap="none" w:vAnchor="page" w:hAnchor="page" w:x="415" w:y="3829"/>
        <w:widowControl w:val="0"/>
        <w:keepNext w:val="0"/>
        <w:keepLines w:val="0"/>
        <w:shd w:val="clear" w:color="auto" w:fill="auto"/>
        <w:bidi w:val="0"/>
        <w:jc w:val="left"/>
        <w:spacing w:before="0" w:after="4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Vznikne-li nárok na více asistenčních služeb nebo na některou vícekrát, pak se limity asistenčních služeb sčítají.</w:t>
      </w:r>
    </w:p>
    <w:p>
      <w:pPr>
        <w:pStyle w:val="Style9"/>
        <w:framePr w:w="15768" w:h="546" w:hRule="exact" w:wrap="none" w:vAnchor="page" w:hAnchor="page" w:x="415" w:y="3829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ZDARMA pomoc operátora v tlumočení (s policistou, asistenční službou, opravnou, hotelovým personálem, jiným úřadem - pokud je tento kontakt důsledkem</w:t>
        <w:br/>
        <w:t>nehody či poruchy pojištěného vozidla), pomoc při vyhledání hotelu, opravny, nádraží, letiště, taxi, spoje v jízdním či letovém řádu.</w:t>
      </w:r>
    </w:p>
    <w:tbl>
      <w:tblPr>
        <w:tblOverlap w:val="never"/>
        <w:tblLayout w:type="fixed"/>
        <w:jc w:val="left"/>
      </w:tblPr>
      <w:tblGrid>
        <w:gridCol w:w="2545"/>
        <w:gridCol w:w="1508"/>
        <w:gridCol w:w="1552"/>
        <w:gridCol w:w="1656"/>
        <w:gridCol w:w="1678"/>
      </w:tblGrid>
      <w:tr>
        <w:trPr>
          <w:trHeight w:val="2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1"/>
              </w:rPr>
              <w:t>Rozsah asistenčních služeb</w:t>
              <w:br/>
              <w:t>ZDARMA při poruše i nehodě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Asistence Speciál</w:t>
            </w:r>
          </w:p>
        </w:tc>
      </w:tr>
      <w:tr>
        <w:trPr>
          <w:trHeight w:val="2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9" w:h="1955" w:wrap="none" w:vAnchor="page" w:hAnchor="page" w:x="400" w:y="1844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1"/>
              </w:rPr>
              <w:t>Povinné ručení, havarijní pojištění</w:t>
            </w:r>
          </w:p>
        </w:tc>
      </w:tr>
      <w:tr>
        <w:trPr>
          <w:trHeight w:val="2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9" w:h="1955" w:wrap="none" w:vAnchor="page" w:hAnchor="page" w:x="400" w:y="1844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2"/>
              </w:rPr>
              <w:t xml:space="preserve">do 3,5 t </w:t>
            </w:r>
            <w:r>
              <w:rPr>
                <w:rStyle w:val="CharStyle13"/>
              </w:rPr>
              <w:t>včetně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2"/>
              </w:rPr>
              <w:t>nad 3,5 t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9" w:h="1955" w:wrap="none" w:vAnchor="page" w:hAnchor="page" w:x="400" w:y="184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4"/>
              </w:rPr>
              <w:t>ČR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4"/>
              </w:rPr>
              <w:t>Zahraničí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4"/>
              </w:rPr>
              <w:t>ČR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14"/>
              </w:rPr>
              <w:t>Zahraničí</w:t>
            </w:r>
          </w:p>
        </w:tc>
      </w:tr>
      <w:tr>
        <w:trPr>
          <w:trHeight w:val="10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0" w:right="0" w:firstLine="0"/>
            </w:pPr>
            <w:r>
              <w:rPr>
                <w:rStyle w:val="CharStyle14"/>
              </w:rPr>
              <w:t>příjezd asistenční služby</w:t>
              <w:br/>
              <w:t>oprava na místě</w:t>
              <w:br/>
              <w:t>vyproštění vozidla</w:t>
            </w:r>
          </w:p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0" w:right="0" w:firstLine="0"/>
            </w:pPr>
            <w:r>
              <w:rPr>
                <w:rStyle w:val="CharStyle14"/>
              </w:rPr>
              <w:t>odtah vozidla do nejbližší autoopravny</w:t>
              <w:br/>
              <w:t>repatriace vozidla do ČR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2 500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5 000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3 500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8939" w:h="1955" w:wrap="none" w:vAnchor="page" w:hAnchor="page" w:x="400" w:y="18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10 000 Kč</w:t>
            </w:r>
          </w:p>
        </w:tc>
      </w:tr>
    </w:tbl>
    <w:p>
      <w:pPr>
        <w:pStyle w:val="Style9"/>
        <w:framePr w:w="15768" w:h="1151" w:hRule="exact" w:wrap="none" w:vAnchor="page" w:hAnchor="page" w:x="415" w:y="4592"/>
        <w:widowControl w:val="0"/>
        <w:keepNext w:val="0"/>
        <w:keepLines w:val="0"/>
        <w:shd w:val="clear" w:color="auto" w:fill="auto"/>
        <w:bidi w:val="0"/>
        <w:jc w:val="left"/>
        <w:spacing w:before="0" w:after="38"/>
        <w:ind w:left="7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Limity asistenční služby nelze čerpat k úhradě náhradních dílů a pohonných hmot.</w:t>
      </w:r>
    </w:p>
    <w:p>
      <w:pPr>
        <w:pStyle w:val="Style9"/>
        <w:framePr w:w="15768" w:h="1151" w:hRule="exact" w:wrap="none" w:vAnchor="page" w:hAnchor="page" w:x="415" w:y="4592"/>
        <w:widowControl w:val="0"/>
        <w:keepNext w:val="0"/>
        <w:keepLines w:val="0"/>
        <w:shd w:val="clear" w:color="auto" w:fill="auto"/>
        <w:bidi w:val="0"/>
        <w:jc w:val="both"/>
        <w:spacing w:before="0" w:after="0" w:line="162" w:lineRule="exact"/>
        <w:ind w:left="7" w:right="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Územní platnost - služby jsou poskytovány v těchto evropských zemích: Albánie, Andorra, Belgie, Bělorusko, Bosna a Hercegovina, Bulharsko, Černá Hora, Dánsko, Estonsko, Finsko, Francie, Gibraltar, Chorvatsko, Irsko, Itálie, Kypr, Lichtenštejnsko, Litva, Lotyšsko, Lucembursko,</w:t>
        <w:br/>
        <w:t>Maďarsko. Makedonie, Malta, Moldavsko, Monako, Německo, Nizozemsko, Norsko, Polsko, Portugalsko, Rakousko, Rumunsko, Řecko, San Marino, Slovensko, Slovinsko, Spojené království Velké Británie a Severního Irska, Srbsko, Španělsko, Švédsko, Švýcarsko, Turecko (celé</w:t>
      </w:r>
    </w:p>
    <w:p>
      <w:pPr>
        <w:pStyle w:val="Style9"/>
        <w:framePr w:w="15768" w:h="1151" w:hRule="exact" w:wrap="none" w:vAnchor="page" w:hAnchor="page" w:x="415" w:y="4592"/>
        <w:widowControl w:val="0"/>
        <w:keepNext w:val="0"/>
        <w:keepLines w:val="0"/>
        <w:shd w:val="clear" w:color="auto" w:fill="auto"/>
        <w:bidi w:val="0"/>
        <w:jc w:val="both"/>
        <w:spacing w:before="0" w:after="63" w:line="162" w:lineRule="exact"/>
        <w:ind w:left="7" w:right="984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území), Ukrajina, Vatikán.</w:t>
      </w:r>
    </w:p>
    <w:p>
      <w:pPr>
        <w:pStyle w:val="Style9"/>
        <w:framePr w:w="15768" w:h="1151" w:hRule="exact" w:wrap="none" w:vAnchor="page" w:hAnchor="page" w:x="415" w:y="4592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7" w:right="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Evropskými zeměmi se rozumí výše uvedené státy včetně evropských ostrovních území</w:t>
        <w:br/>
        <w:t>(kromě Ruska, Grónska, Islandu, Faerských ostrovů, souostroví Špicberky, Kanárských ostrovů a Madeiry).</w:t>
      </w:r>
    </w:p>
    <w:p>
      <w:pPr>
        <w:pStyle w:val="Style6"/>
        <w:framePr w:w="5202" w:h="392" w:hRule="exact" w:wrap="none" w:vAnchor="page" w:hAnchor="page" w:x="10667" w:y="5552"/>
        <w:widowControl w:val="0"/>
        <w:keepNext w:val="0"/>
        <w:keepLines w:val="0"/>
        <w:shd w:val="clear" w:color="auto" w:fill="auto"/>
        <w:bidi w:val="0"/>
        <w:jc w:val="both"/>
        <w:spacing w:before="0" w:after="60" w:line="134" w:lineRule="exact"/>
        <w:ind w:left="0" w:right="0" w:firstLine="0"/>
      </w:pPr>
      <w:r>
        <w:rPr>
          <w:rStyle w:val="CharStyle16"/>
          <w:b/>
          <w:bCs/>
        </w:rPr>
        <w:t xml:space="preserve">Česká podnikatelská pojišťovna, a.s., </w:t>
      </w:r>
      <w:r>
        <w:rPr>
          <w:rStyle w:val="CharStyle16"/>
          <w:lang w:val="en-US" w:eastAsia="en-US" w:bidi="en-US"/>
          <w:b/>
          <w:bCs/>
        </w:rPr>
        <w:t xml:space="preserve">Vienna </w:t>
      </w:r>
      <w:r>
        <w:rPr>
          <w:rStyle w:val="CharStyle16"/>
          <w:b/>
          <w:bCs/>
        </w:rPr>
        <w:t>Insurance Group</w:t>
      </w:r>
    </w:p>
    <w:p>
      <w:pPr>
        <w:pStyle w:val="Style6"/>
        <w:framePr w:w="5202" w:h="392" w:hRule="exact" w:wrap="none" w:vAnchor="page" w:hAnchor="page" w:x="10667" w:y="5552"/>
        <w:tabs>
          <w:tab w:leader="none" w:pos="3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Pobřežní 665/23, Praha 8,186 00 |</w:t>
        <w:tab/>
        <w:t>| tel.:+420 957 444 555</w:t>
      </w:r>
    </w:p>
    <w:p>
      <w:pPr>
        <w:pStyle w:val="Style9"/>
        <w:framePr w:wrap="none" w:vAnchor="page" w:hAnchor="page" w:x="415" w:y="59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 informací viz Doplňkové pojistné podmínky pro havarijní pojištění vozidel DPPHAV.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">
    <w:name w:val="MSG_EN_FONT_STYLE_NAME_TEMPLATE_ROLE_LEVEL MSG_EN_FONT_STYLE_NAME_BY_ROLE_HEADING 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">
    <w:name w:val="MSG_EN_FONT_STYLE_NAME_TEMPLATE_ROLE_NUMBER MSG_EN_FONT_STYLE_NAME_BY_ROLE_TEXT 3_"/>
    <w:basedOn w:val="DefaultParagraphFont"/>
    <w:link w:val="Style6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8">
    <w:name w:val="MSG_EN_FONT_STYLE_NAME_TEMPLATE_ROLE_NUMBER MSG_EN_FONT_STYLE_NAME_BY_ROLE_TEXT 3 + MSG_EN_FONT_STYLE_MODIFER_NOT_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">
    <w:name w:val="MSG_EN_FONT_STYLE_NAME_TEMPLATE_ROLE_NUMBER MSG_EN_FONT_STYLE_NAME_BY_ROLE_TEXT 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1">
    <w:name w:val="MSG_EN_FONT_STYLE_NAME_TEMPLATE_ROLE_NUMBER MSG_EN_FONT_STYLE_NAME_BY_ROLE_TEXT 2 + MSG_EN_FONT_STYLE_MODIFER_SIZE 7.5,MSG_EN_FONT_STYLE_MODIFER_BOLD"/>
    <w:basedOn w:val="CharStyle10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2">
    <w:name w:val="MSG_EN_FONT_STYLE_NAME_TEMPLATE_ROLE_NUMBER MSG_EN_FONT_STYLE_NAME_BY_ROLE_TEXT 2 + MSG_EN_FONT_STYLE_MODIFER_SIZE 4"/>
    <w:basedOn w:val="CharStyle10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MSG_EN_FONT_STYLE_NAME_TEMPLATE_ROLE_NUMBER MSG_EN_FONT_STYLE_NAME_BY_ROLE_TEXT 2 + MSG_EN_FONT_STYLE_MODIFER_SIZE 4,MSG_EN_FONT_STYLE_MODIFER_BOLD"/>
    <w:basedOn w:val="CharStyle10"/>
    <w:rPr>
      <w:lang w:val="cs-CZ" w:eastAsia="cs-CZ" w:bidi="cs-CZ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14">
    <w:name w:val="MSG_EN_FONT_STYLE_NAME_TEMPLATE_ROLE_NUMBER MSG_EN_FONT_STYLE_NAME_BY_ROLE_TEXT 2 + MSG_EN_FONT_STYLE_MODIFER_SIZE 7.5"/>
    <w:basedOn w:val="CharStyle10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15">
    <w:name w:val="MSG_EN_FONT_STYLE_NAME_TEMPLATE_ROLE_NUMBER MSG_EN_FONT_STYLE_NAME_BY_ROLE_TEXT 2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6">
    <w:name w:val="MSG_EN_FONT_STYLE_NAME_TEMPLATE_ROLE_NUMBER MSG_EN_FONT_STYLE_NAME_BY_ROLE_TEXT 3"/>
    <w:basedOn w:val="CharStyle7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outlineLvl w:val="0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4">
    <w:name w:val="MSG_EN_FONT_STYLE_NAME_TEMPLATE_ROLE_LEVEL MSG_EN_FONT_STYLE_NAME_BY_ROLE_HEADING 2"/>
    <w:basedOn w:val="Normal"/>
    <w:link w:val="CharStyle5"/>
    <w:pPr>
      <w:widowControl w:val="0"/>
      <w:shd w:val="clear" w:color="auto" w:fill="FFFFFF"/>
      <w:outlineLvl w:val="1"/>
      <w:spacing w:after="60" w:line="19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6">
    <w:name w:val="MSG_EN_FONT_STYLE_NAME_TEMPLATE_ROLE_NUMBER MSG_EN_FONT_STYLE_NAME_BY_ROLE_TEXT 3"/>
    <w:basedOn w:val="Normal"/>
    <w:link w:val="CharStyle7"/>
    <w:pPr>
      <w:widowControl w:val="0"/>
      <w:shd w:val="clear" w:color="auto" w:fill="FFFFFF"/>
      <w:jc w:val="right"/>
      <w:spacing w:before="60" w:after="240" w:line="209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9">
    <w:name w:val="MSG_EN_FONT_STYLE_NAME_TEMPLATE_ROLE_NUMBER MSG_EN_FONT_STYLE_NAME_BY_ROLE_TEXT 2"/>
    <w:basedOn w:val="Normal"/>
    <w:link w:val="CharStyle10"/>
    <w:pPr>
      <w:widowControl w:val="0"/>
      <w:shd w:val="clear" w:color="auto" w:fill="FFFFFF"/>
      <w:spacing w:before="860" w:after="60"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