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0" w:rsidRPr="001D7A19" w:rsidRDefault="00010AD0" w:rsidP="00010AD0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010AD0" w:rsidRPr="001D7A19" w:rsidRDefault="00010AD0" w:rsidP="00010AD0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010AD0" w:rsidRDefault="00010AD0" w:rsidP="00010AD0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353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010AD0" w:rsidRPr="001D7A19" w:rsidRDefault="00010AD0" w:rsidP="00010AD0">
      <w:pPr>
        <w:jc w:val="center"/>
        <w:rPr>
          <w:rFonts w:ascii="Arial CE" w:hAnsi="Arial CE" w:cs="Arial"/>
          <w:b/>
          <w:sz w:val="22"/>
          <w:szCs w:val="22"/>
        </w:rPr>
      </w:pPr>
    </w:p>
    <w:p w:rsidR="00010AD0" w:rsidRPr="001D7A19" w:rsidRDefault="00010AD0" w:rsidP="00010AD0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010AD0" w:rsidRPr="001D7A19" w:rsidRDefault="00010AD0" w:rsidP="00010AD0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010AD0" w:rsidRDefault="00010AD0" w:rsidP="00010AD0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EA2934">
        <w:rPr>
          <w:rFonts w:ascii="Arial CE" w:hAnsi="Arial CE" w:cs="Arial"/>
          <w:b/>
          <w:sz w:val="28"/>
          <w:szCs w:val="28"/>
        </w:rPr>
        <w:t>Hučivý p. (Perštejn - Lužný) - rekonstrukce koryta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010AD0" w:rsidRPr="001D7A19" w:rsidRDefault="00010AD0" w:rsidP="00010AD0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010AD0" w:rsidRPr="001D7A19" w:rsidRDefault="00010AD0" w:rsidP="00010AD0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10AD0" w:rsidRPr="001D7A19" w:rsidRDefault="00010AD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010AD0" w:rsidRPr="001D7A19" w:rsidRDefault="00010AD0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010AD0" w:rsidRPr="001D7A19" w:rsidRDefault="00010AD0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010AD0" w:rsidRPr="001D7A19" w:rsidRDefault="00010AD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010AD0" w:rsidRPr="001D7A19" w:rsidRDefault="00010AD0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10AD0" w:rsidRDefault="00010AD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10AD0" w:rsidRPr="001D7A19" w:rsidRDefault="00010AD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010AD0" w:rsidRDefault="00010AD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10AD0" w:rsidRDefault="00010AD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10AD0" w:rsidRDefault="00010AD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10AD0" w:rsidRDefault="00010AD0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010AD0" w:rsidRPr="001D7A19" w:rsidRDefault="00010AD0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010AD0" w:rsidRDefault="00010AD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10AD0" w:rsidRDefault="00010AD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10AD0" w:rsidRPr="001D7A19" w:rsidRDefault="00010AD0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010AD0" w:rsidRDefault="00010AD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010AD0" w:rsidRDefault="00010AD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10AD0" w:rsidRDefault="00010AD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10AD0" w:rsidRDefault="00010AD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010AD0" w:rsidRPr="001D7A19" w:rsidRDefault="00010AD0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10AD0" w:rsidRDefault="00010AD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10AD0" w:rsidRDefault="00010AD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010AD0" w:rsidRDefault="00010AD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010AD0" w:rsidRPr="001D7A19" w:rsidRDefault="00010AD0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010AD0" w:rsidRDefault="00010AD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010AD0" w:rsidRDefault="00010AD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010AD0" w:rsidRDefault="00010AD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010AD0" w:rsidRDefault="00010AD0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783630" w:rsidRDefault="00783630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Smetanova 200, 250 82 Úvaly</w:t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27221253</w:t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CZ27221253</w:t>
      </w:r>
    </w:p>
    <w:p w:rsidR="00EA2934" w:rsidRPr="001D7A19" w:rsidRDefault="00EA2934" w:rsidP="00EA2934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Ing. Jaroslavem Vrzákem, jednatelem společnosti</w:t>
      </w:r>
    </w:p>
    <w:p w:rsidR="00EA2934" w:rsidRPr="00C81553" w:rsidRDefault="00EA2934" w:rsidP="00EA2934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 CE" w:hAnsi="Arial CE" w:cs="Arial"/>
          <w:b/>
          <w:sz w:val="22"/>
          <w:szCs w:val="22"/>
        </w:rPr>
        <w:t>Dodavatele zastupuje:</w:t>
      </w:r>
      <w:r w:rsidRPr="00C81553">
        <w:rPr>
          <w:rFonts w:ascii="Arial CE" w:hAnsi="Arial CE" w:cs="Arial"/>
          <w:b/>
          <w:sz w:val="22"/>
          <w:szCs w:val="22"/>
        </w:rPr>
        <w:tab/>
      </w:r>
    </w:p>
    <w:p w:rsidR="00EA2934" w:rsidRPr="00C81553" w:rsidRDefault="00EA2934" w:rsidP="00EA293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mobil: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EA2934" w:rsidRPr="00C81553" w:rsidRDefault="00EA2934" w:rsidP="00EA293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telefon: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EA2934" w:rsidRDefault="00EA2934" w:rsidP="00EA2934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81553">
        <w:rPr>
          <w:rFonts w:ascii="Arial" w:hAnsi="Arial" w:cs="Arial"/>
          <w:color w:val="000000"/>
          <w:sz w:val="22"/>
          <w:szCs w:val="22"/>
        </w:rPr>
        <w:t>e-mail:</w:t>
      </w:r>
      <w:r w:rsidRPr="00C81553">
        <w:rPr>
          <w:rFonts w:ascii="Arial" w:hAnsi="Arial" w:cs="Arial"/>
          <w:color w:val="000000"/>
          <w:sz w:val="22"/>
          <w:szCs w:val="22"/>
        </w:rPr>
        <w:tab/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EA2934" w:rsidRPr="005E1501" w:rsidRDefault="00EA2934" w:rsidP="00EA2934">
      <w:pPr>
        <w:tabs>
          <w:tab w:val="left" w:pos="1260"/>
          <w:tab w:val="left" w:pos="3960"/>
        </w:tabs>
        <w:spacing w:before="12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EA2934" w:rsidRPr="001D7A19" w:rsidRDefault="00EA2934" w:rsidP="00EA2934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</w:p>
    <w:p w:rsidR="00EA2934" w:rsidRPr="001D7A19" w:rsidRDefault="00EA2934" w:rsidP="00EA2934">
      <w:pPr>
        <w:jc w:val="both"/>
        <w:rPr>
          <w:rFonts w:ascii="Arial CE" w:hAnsi="Arial CE" w:cs="Arial"/>
          <w:sz w:val="22"/>
          <w:szCs w:val="22"/>
        </w:rPr>
      </w:pPr>
    </w:p>
    <w:p w:rsidR="00EA2934" w:rsidRPr="001D7A19" w:rsidRDefault="00EA2934" w:rsidP="00EA2934">
      <w:pPr>
        <w:jc w:val="both"/>
        <w:rPr>
          <w:rFonts w:ascii="Arial CE" w:hAnsi="Arial CE" w:cs="Arial"/>
          <w:sz w:val="22"/>
          <w:szCs w:val="22"/>
        </w:rPr>
      </w:pPr>
      <w:r w:rsidRPr="007657B1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je zapsán v Obchodním rejstříku</w:t>
      </w:r>
      <w:r>
        <w:rPr>
          <w:rFonts w:ascii="Arial CE" w:hAnsi="Arial CE" w:cs="Arial"/>
          <w:sz w:val="22"/>
          <w:szCs w:val="22"/>
        </w:rPr>
        <w:t xml:space="preserve"> </w:t>
      </w:r>
      <w:r w:rsidRPr="00F24B22">
        <w:rPr>
          <w:rFonts w:ascii="Arial" w:hAnsi="Arial" w:cs="Arial"/>
          <w:color w:val="000000"/>
          <w:sz w:val="22"/>
          <w:szCs w:val="22"/>
        </w:rPr>
        <w:t>u Městského soudu v Praze</w:t>
      </w:r>
      <w:r w:rsidRPr="001D7A19">
        <w:rPr>
          <w:rFonts w:ascii="Arial CE" w:hAnsi="Arial CE" w:cs="Arial"/>
          <w:sz w:val="22"/>
          <w:szCs w:val="22"/>
        </w:rPr>
        <w:t>, v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oddílu</w:t>
      </w:r>
      <w:r>
        <w:rPr>
          <w:rFonts w:ascii="Arial CE" w:hAnsi="Arial CE" w:cs="Arial"/>
          <w:sz w:val="22"/>
          <w:szCs w:val="22"/>
        </w:rPr>
        <w:t xml:space="preserve"> C,</w:t>
      </w:r>
      <w:r w:rsidRPr="001D7A19">
        <w:rPr>
          <w:rFonts w:ascii="Arial CE" w:hAnsi="Arial CE" w:cs="Arial"/>
          <w:sz w:val="22"/>
          <w:szCs w:val="22"/>
        </w:rPr>
        <w:t xml:space="preserve"> vložce </w:t>
      </w:r>
      <w:proofErr w:type="gramStart"/>
      <w:r w:rsidRPr="001D7A19">
        <w:rPr>
          <w:rFonts w:ascii="Arial CE" w:hAnsi="Arial CE" w:cs="Arial"/>
          <w:sz w:val="22"/>
          <w:szCs w:val="22"/>
        </w:rPr>
        <w:t>č.</w:t>
      </w:r>
      <w:r>
        <w:rPr>
          <w:rFonts w:ascii="Arial CE" w:hAnsi="Arial CE" w:cs="Arial"/>
          <w:sz w:val="22"/>
          <w:szCs w:val="22"/>
        </w:rPr>
        <w:t>105510</w:t>
      </w:r>
      <w:proofErr w:type="gramEnd"/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EA2934" w:rsidRPr="001D7A19" w:rsidRDefault="00EA2934" w:rsidP="00EA2934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Default="008359D6" w:rsidP="008359D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Default="00043803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D</w:t>
      </w:r>
      <w:r w:rsidR="008359D6" w:rsidRPr="00F32879">
        <w:rPr>
          <w:rFonts w:ascii="Arial CE" w:hAnsi="Arial CE" w:cs="Arial"/>
          <w:b/>
          <w:sz w:val="22"/>
          <w:szCs w:val="22"/>
        </w:rPr>
        <w:t xml:space="preserve">okumentace pro ohlášení stavby nebo pro vydání stavebního povolení </w:t>
      </w:r>
      <w:r w:rsidR="004A574D" w:rsidRPr="00F32879">
        <w:rPr>
          <w:rFonts w:ascii="Arial CE" w:hAnsi="Arial CE" w:cs="Arial"/>
          <w:b/>
          <w:sz w:val="22"/>
          <w:szCs w:val="22"/>
        </w:rPr>
        <w:t xml:space="preserve">v podrobnostech dokumentace pro provedení stavby </w:t>
      </w:r>
      <w:r w:rsidR="008359D6" w:rsidRPr="00F32879">
        <w:rPr>
          <w:rFonts w:ascii="Arial CE" w:hAnsi="Arial CE" w:cs="Arial"/>
          <w:b/>
          <w:sz w:val="22"/>
          <w:szCs w:val="22"/>
        </w:rPr>
        <w:t>(dále jen DS</w:t>
      </w:r>
      <w:r w:rsidR="004A574D" w:rsidRPr="00F32879">
        <w:rPr>
          <w:rFonts w:ascii="Arial CE" w:hAnsi="Arial CE" w:cs="Arial"/>
          <w:b/>
          <w:sz w:val="22"/>
          <w:szCs w:val="22"/>
        </w:rPr>
        <w:t>J</w:t>
      </w:r>
      <w:r w:rsidR="008359D6" w:rsidRPr="00F32879">
        <w:rPr>
          <w:rFonts w:ascii="Arial CE" w:hAnsi="Arial CE" w:cs="Arial"/>
          <w:b/>
          <w:sz w:val="22"/>
          <w:szCs w:val="22"/>
        </w:rPr>
        <w:t>) návrhu povodňového a havarijního plánu (dále jen PP a HP), vyhodnocení potřeby zajištění koordinátora BOZP v přípravě a realizaci stavby nebo zpracování plánu BOZP</w:t>
      </w:r>
    </w:p>
    <w:p w:rsidR="00EA2934" w:rsidRPr="00EA2934" w:rsidRDefault="00EA2934" w:rsidP="00EA293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EA2934" w:rsidRPr="00EA2934" w:rsidRDefault="00EA2934" w:rsidP="00EA293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A2934">
        <w:rPr>
          <w:rFonts w:ascii="Arial CE" w:hAnsi="Arial CE" w:cs="Arial"/>
          <w:sz w:val="22"/>
          <w:szCs w:val="22"/>
        </w:rPr>
        <w:t>Geodetické zaměření</w:t>
      </w:r>
    </w:p>
    <w:p w:rsidR="00EA2934" w:rsidRPr="00EA2934" w:rsidRDefault="00EA2934" w:rsidP="00EA293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A2934" w:rsidRPr="00EA2934" w:rsidRDefault="00EA2934" w:rsidP="00EA293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A2934">
        <w:rPr>
          <w:rFonts w:ascii="Arial CE" w:hAnsi="Arial CE" w:cs="Arial"/>
          <w:sz w:val="22"/>
          <w:szCs w:val="22"/>
        </w:rPr>
        <w:t>Průzkumné práce</w:t>
      </w:r>
    </w:p>
    <w:p w:rsidR="00EA2934" w:rsidRPr="00EA2934" w:rsidRDefault="00EA2934" w:rsidP="00EA2934">
      <w:pPr>
        <w:pStyle w:val="Odstavecseseznamem"/>
        <w:rPr>
          <w:rFonts w:ascii="Arial CE" w:hAnsi="Arial CE" w:cs="Arial"/>
          <w:sz w:val="22"/>
          <w:szCs w:val="22"/>
        </w:rPr>
      </w:pPr>
    </w:p>
    <w:p w:rsidR="00EA2934" w:rsidRPr="00EA2934" w:rsidRDefault="00EA2934" w:rsidP="00EA293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A574D" w:rsidRDefault="004A574D" w:rsidP="00522E9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522E93">
        <w:rPr>
          <w:rFonts w:ascii="Arial CE" w:hAnsi="Arial CE" w:cs="Arial"/>
          <w:b/>
          <w:sz w:val="22"/>
          <w:szCs w:val="22"/>
        </w:rPr>
        <w:lastRenderedPageBreak/>
        <w:t>Dokumentace pro ohlášení stavby nebo pro vydání stavebního povolení v podrobnostech dokumentace pro provedení stavby (dále jen DSJ) včetně návrhu povodňového a havarijního plánu (dále jen PP a HP), vyhodnocení potřeby zajištění koordinátora BOZP v přípravě a realizaci stavby nebo zpracování plánu BOZP</w:t>
      </w:r>
    </w:p>
    <w:p w:rsidR="00EA2934" w:rsidRDefault="00EA2934" w:rsidP="00EA293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7824E7" w:rsidRPr="00043803" w:rsidRDefault="007824E7" w:rsidP="007824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F4002">
        <w:rPr>
          <w:rFonts w:ascii="Arial CE" w:hAnsi="Arial CE" w:cs="Arial"/>
          <w:sz w:val="22"/>
          <w:szCs w:val="22"/>
        </w:rPr>
        <w:t xml:space="preserve">dokladován trvalých a dočasných záborů s jednotlivými vlastníky za použití typového formuláře objednatele předaného MPR </w:t>
      </w:r>
      <w:r w:rsidRPr="00043803">
        <w:rPr>
          <w:rFonts w:ascii="Arial CE" w:hAnsi="Arial CE" w:cs="Arial"/>
          <w:sz w:val="22"/>
          <w:szCs w:val="22"/>
        </w:rPr>
        <w:t>dodavateli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7824E7" w:rsidRPr="00FA6FDE" w:rsidRDefault="007824E7" w:rsidP="007824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7824E7" w:rsidRPr="00FA6FDE" w:rsidRDefault="007824E7" w:rsidP="007824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 xml:space="preserve">zpracování Dopravně – inženýrského opatření (DIO) v počtu 6x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</w:t>
      </w:r>
      <w:r w:rsidRPr="005B6054">
        <w:rPr>
          <w:rFonts w:ascii="Arial CE" w:hAnsi="Arial CE" w:cs="Arial"/>
          <w:sz w:val="22"/>
          <w:szCs w:val="22"/>
        </w:rPr>
        <w:lastRenderedPageBreak/>
        <w:t xml:space="preserve">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Pr="0038627B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4A574D" w:rsidRDefault="004A574D" w:rsidP="004A574D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3A246A" w:rsidRPr="002E7734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E7734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2E7734">
        <w:rPr>
          <w:rFonts w:ascii="Arial CE" w:hAnsi="Arial CE" w:cs="Arial"/>
          <w:sz w:val="22"/>
          <w:szCs w:val="22"/>
          <w:u w:val="single"/>
        </w:rPr>
        <w:t>,</w:t>
      </w:r>
      <w:r w:rsidR="00521199" w:rsidRPr="002E7734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E7734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E7734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38627B">
        <w:rPr>
          <w:rFonts w:ascii="Arial CE" w:hAnsi="Arial CE" w:cs="Arial"/>
          <w:sz w:val="22"/>
          <w:szCs w:val="22"/>
        </w:rPr>
        <w:t xml:space="preserve">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Pr="00C60059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Výkresy budou </w:t>
      </w:r>
      <w:r>
        <w:rPr>
          <w:rFonts w:ascii="Arial CE" w:hAnsi="Arial CE" w:cs="Arial"/>
          <w:sz w:val="22"/>
          <w:szCs w:val="22"/>
        </w:rPr>
        <w:t>na vyžádání objednavatele</w:t>
      </w:r>
      <w:r w:rsidRPr="00C60059">
        <w:rPr>
          <w:rFonts w:ascii="Arial CE" w:hAnsi="Arial CE" w:cs="Arial"/>
          <w:sz w:val="22"/>
          <w:szCs w:val="22"/>
        </w:rPr>
        <w:t xml:space="preserve"> předány samostatně 1x na elektronickém nosiči dat v editovatelném formátu pro potřeby objednatele </w:t>
      </w:r>
      <w:r w:rsidRPr="00C60059">
        <w:rPr>
          <w:rFonts w:ascii="Arial CE" w:hAnsi="Arial CE" w:cs="Arial"/>
          <w:i/>
          <w:sz w:val="22"/>
          <w:szCs w:val="22"/>
        </w:rPr>
        <w:t xml:space="preserve">(doc,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docx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dwg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dgn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dxf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a dalších, všechny GIS vrstvy musí být ve formátu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shapefile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(2D), popř. i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raster</w:t>
      </w:r>
      <w:proofErr w:type="spellEnd"/>
      <w:r>
        <w:rPr>
          <w:rFonts w:ascii="Arial CE" w:hAnsi="Arial CE" w:cs="Arial"/>
          <w:i/>
          <w:sz w:val="22"/>
          <w:szCs w:val="22"/>
        </w:rPr>
        <w:t>)</w:t>
      </w:r>
      <w:r w:rsidRPr="00C60059">
        <w:rPr>
          <w:rFonts w:ascii="Arial CE" w:hAnsi="Arial CE" w:cs="Arial"/>
          <w:i/>
          <w:sz w:val="22"/>
          <w:szCs w:val="22"/>
        </w:rPr>
        <w:t xml:space="preserve">. </w:t>
      </w:r>
      <w:r w:rsidRPr="00C60059">
        <w:rPr>
          <w:rFonts w:ascii="Arial CE" w:hAnsi="Arial CE" w:cs="Arial"/>
          <w:sz w:val="22"/>
          <w:szCs w:val="22"/>
        </w:rPr>
        <w:t xml:space="preserve">Výkresy budou v souřadnicovém systému S-JTSK. </w:t>
      </w:r>
    </w:p>
    <w:p w:rsidR="00CC6787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C6787" w:rsidRPr="002E1E1F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2E1E1F">
        <w:rPr>
          <w:rFonts w:ascii="Arial CE" w:hAnsi="Arial CE" w:cs="Arial"/>
          <w:sz w:val="22"/>
          <w:szCs w:val="22"/>
        </w:rPr>
        <w:t>paré</w:t>
      </w:r>
      <w:proofErr w:type="spellEnd"/>
      <w:r w:rsidRPr="002E1E1F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EA2934" w:rsidRPr="00EA2934" w:rsidRDefault="00EA2934" w:rsidP="00EA293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EA2934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38627B">
        <w:rPr>
          <w:rFonts w:ascii="Arial CE" w:hAnsi="Arial CE" w:cs="Arial"/>
          <w:sz w:val="22"/>
          <w:szCs w:val="22"/>
        </w:rPr>
        <w:t>Bpv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EA2934" w:rsidRPr="0038627B" w:rsidRDefault="00EA2934" w:rsidP="00EA2934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EA2934" w:rsidRPr="00EA2934" w:rsidRDefault="00EA2934" w:rsidP="00EA293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EA2934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</w:t>
      </w:r>
      <w:proofErr w:type="spellStart"/>
      <w:r w:rsidRPr="0038627B">
        <w:rPr>
          <w:rFonts w:ascii="Arial CE" w:hAnsi="Arial CE" w:cs="Arial"/>
          <w:sz w:val="22"/>
          <w:szCs w:val="22"/>
        </w:rPr>
        <w:t>inž</w:t>
      </w:r>
      <w:proofErr w:type="spellEnd"/>
      <w:r w:rsidRPr="0038627B">
        <w:rPr>
          <w:rFonts w:ascii="Arial CE" w:hAnsi="Arial CE" w:cs="Arial"/>
          <w:sz w:val="22"/>
          <w:szCs w:val="22"/>
        </w:rPr>
        <w:t>. sítí (IS), kde je předpoklad kolize IS se stavbou a zároveň prohlašuje, že jím nadefinovaný rozsah průzkumných prací je dostačující jako podklad pro zhotovení kvalitní projektové dokumentace. K provádění průzkumných prací na místě bude přizván TDS</w:t>
      </w:r>
      <w:r>
        <w:rPr>
          <w:rFonts w:ascii="Arial CE" w:hAnsi="Arial CE" w:cs="Arial"/>
          <w:sz w:val="22"/>
          <w:szCs w:val="22"/>
        </w:rPr>
        <w:t xml:space="preserve"> prostřednictvím MPR</w:t>
      </w: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 </w:t>
      </w:r>
    </w:p>
    <w:p w:rsidR="00EA2934" w:rsidRPr="0038627B" w:rsidRDefault="00EA2934" w:rsidP="00EA293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EA2934" w:rsidRDefault="00EA2934" w:rsidP="00EA2934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043803" w:rsidRPr="002E7734" w:rsidRDefault="003A246A" w:rsidP="002E773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 xml:space="preserve">zajistit pro objednatele výkon autorského </w:t>
      </w:r>
      <w:r w:rsidR="003A246A" w:rsidRPr="001D7A19">
        <w:rPr>
          <w:rFonts w:ascii="Arial CE" w:hAnsi="Arial CE" w:cs="Arial"/>
          <w:sz w:val="22"/>
          <w:szCs w:val="22"/>
        </w:rPr>
        <w:lastRenderedPageBreak/>
        <w:t>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7824E7" w:rsidRDefault="007824E7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3</w:t>
      </w:r>
      <w:r w:rsidR="006E033D" w:rsidRPr="006E033D">
        <w:rPr>
          <w:rFonts w:ascii="Arial CE" w:hAnsi="Arial CE" w:cs="Arial"/>
          <w:sz w:val="22"/>
          <w:szCs w:val="22"/>
        </w:rPr>
        <w:t xml:space="preserve">x pracovní </w:t>
      </w:r>
      <w:proofErr w:type="spellStart"/>
      <w:r w:rsidR="006E033D"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="006E033D"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10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7734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7734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7734">
        <w:rPr>
          <w:rFonts w:ascii="Arial CE" w:hAnsi="Arial CE" w:cs="Arial"/>
          <w:sz w:val="22"/>
          <w:szCs w:val="22"/>
        </w:rPr>
        <w:t xml:space="preserve">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</w:t>
      </w:r>
      <w:r w:rsidR="001F50E3" w:rsidRPr="00BD09F3">
        <w:rPr>
          <w:rFonts w:ascii="Arial CE" w:hAnsi="Arial CE" w:cs="Arial"/>
          <w:sz w:val="22"/>
          <w:szCs w:val="22"/>
        </w:rPr>
        <w:lastRenderedPageBreak/>
        <w:t>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proofErr w:type="gramStart"/>
      <w:r w:rsidR="0057498B" w:rsidRPr="0057498B">
        <w:rPr>
          <w:rFonts w:ascii="Arial CE" w:hAnsi="Arial CE" w:cs="Arial"/>
          <w:b/>
          <w:sz w:val="22"/>
          <w:szCs w:val="22"/>
        </w:rPr>
        <w:t>1</w:t>
      </w:r>
      <w:r w:rsidR="00745CFE">
        <w:rPr>
          <w:rFonts w:ascii="Arial CE" w:hAnsi="Arial CE" w:cs="Arial"/>
          <w:b/>
          <w:sz w:val="22"/>
          <w:szCs w:val="22"/>
        </w:rPr>
        <w:t>8</w:t>
      </w:r>
      <w:r w:rsidR="00067F4D" w:rsidRPr="0057498B">
        <w:rPr>
          <w:rFonts w:ascii="Arial CE" w:hAnsi="Arial CE" w:cs="Arial"/>
          <w:b/>
          <w:sz w:val="22"/>
          <w:szCs w:val="22"/>
        </w:rPr>
        <w:t>.</w:t>
      </w:r>
      <w:r w:rsidR="0057498B" w:rsidRPr="0057498B">
        <w:rPr>
          <w:rFonts w:ascii="Arial CE" w:hAnsi="Arial CE" w:cs="Arial"/>
          <w:b/>
          <w:sz w:val="22"/>
          <w:szCs w:val="22"/>
        </w:rPr>
        <w:t>04</w:t>
      </w:r>
      <w:r w:rsidR="00067F4D" w:rsidRPr="0057498B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="00C800A6"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="00C800A6"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C800A6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6B3E0B">
        <w:rPr>
          <w:rFonts w:ascii="Arial CE" w:hAnsi="Arial CE" w:cs="Arial"/>
          <w:sz w:val="22"/>
          <w:szCs w:val="22"/>
        </w:rPr>
        <w:t xml:space="preserve">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proofErr w:type="gramStart"/>
      <w:r w:rsidR="00745CFE">
        <w:rPr>
          <w:rFonts w:ascii="Arial CE" w:hAnsi="Arial CE" w:cs="Arial"/>
          <w:b/>
          <w:sz w:val="22"/>
          <w:szCs w:val="22"/>
        </w:rPr>
        <w:t>31</w:t>
      </w:r>
      <w:r w:rsidR="0057498B">
        <w:rPr>
          <w:rFonts w:ascii="Arial CE" w:hAnsi="Arial CE" w:cs="Arial"/>
          <w:b/>
          <w:sz w:val="22"/>
          <w:szCs w:val="22"/>
        </w:rPr>
        <w:t>.0</w:t>
      </w:r>
      <w:r w:rsidR="00973997">
        <w:rPr>
          <w:rFonts w:ascii="Arial CE" w:hAnsi="Arial CE" w:cs="Arial"/>
          <w:b/>
          <w:sz w:val="22"/>
          <w:szCs w:val="22"/>
        </w:rPr>
        <w:t>7</w:t>
      </w:r>
      <w:r w:rsidR="0057498B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7824E7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="00C800A6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C800A6" w:rsidRPr="00280CEE">
        <w:rPr>
          <w:rFonts w:ascii="Arial CE" w:hAnsi="Arial CE" w:cs="Arial"/>
          <w:sz w:val="22"/>
          <w:szCs w:val="22"/>
        </w:rPr>
        <w:t>IK</w:t>
      </w:r>
      <w:proofErr w:type="gramEnd"/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973997" w:rsidRPr="00973997">
        <w:rPr>
          <w:rFonts w:ascii="Arial CE" w:hAnsi="Arial CE" w:cs="Arial"/>
          <w:b/>
          <w:sz w:val="22"/>
          <w:szCs w:val="22"/>
        </w:rPr>
        <w:t>31</w:t>
      </w:r>
      <w:r w:rsidR="0057498B" w:rsidRPr="00973997">
        <w:rPr>
          <w:rFonts w:ascii="Arial CE" w:hAnsi="Arial CE" w:cs="Arial"/>
          <w:b/>
          <w:sz w:val="22"/>
          <w:szCs w:val="22"/>
        </w:rPr>
        <w:t>.0</w:t>
      </w:r>
      <w:r w:rsidR="00973997" w:rsidRPr="00973997">
        <w:rPr>
          <w:rFonts w:ascii="Arial CE" w:hAnsi="Arial CE" w:cs="Arial"/>
          <w:b/>
          <w:sz w:val="22"/>
          <w:szCs w:val="22"/>
        </w:rPr>
        <w:t>8</w:t>
      </w:r>
      <w:r w:rsidR="0057498B" w:rsidRPr="00973997">
        <w:rPr>
          <w:rFonts w:ascii="Arial CE" w:hAnsi="Arial CE" w:cs="Arial"/>
          <w:b/>
          <w:sz w:val="22"/>
          <w:szCs w:val="22"/>
        </w:rPr>
        <w:t>.2017</w:t>
      </w:r>
      <w:r w:rsidR="005569D5" w:rsidRPr="007824E7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7824E7">
        <w:rPr>
          <w:rFonts w:ascii="Arial CE" w:hAnsi="Arial CE" w:cs="Arial"/>
          <w:b/>
          <w:color w:val="000000"/>
          <w:sz w:val="22"/>
          <w:szCs w:val="22"/>
        </w:rPr>
        <w:t>159 431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7824E7">
        <w:rPr>
          <w:rFonts w:ascii="Arial CE" w:hAnsi="Arial CE" w:cs="Arial"/>
          <w:sz w:val="22"/>
          <w:szCs w:val="22"/>
        </w:rPr>
        <w:t>136 431</w:t>
      </w:r>
      <w:r w:rsidR="0057498B">
        <w:rPr>
          <w:rFonts w:ascii="Arial CE" w:hAnsi="Arial CE" w:cs="Arial"/>
          <w:sz w:val="22"/>
          <w:szCs w:val="22"/>
        </w:rPr>
        <w:t>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PP, HP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  <w:t xml:space="preserve">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9A10BC">
        <w:rPr>
          <w:rFonts w:ascii="Arial CE" w:hAnsi="Arial CE" w:cs="Arial"/>
          <w:sz w:val="22"/>
          <w:szCs w:val="22"/>
        </w:rPr>
        <w:t xml:space="preserve">    </w:t>
      </w:r>
      <w:r w:rsidR="007824E7">
        <w:rPr>
          <w:rFonts w:ascii="Arial CE" w:hAnsi="Arial CE" w:cs="Arial"/>
          <w:sz w:val="22"/>
          <w:szCs w:val="22"/>
        </w:rPr>
        <w:t>5</w:t>
      </w:r>
      <w:r w:rsidR="0057498B" w:rsidRPr="0057498B">
        <w:rPr>
          <w:rFonts w:ascii="Arial CE" w:hAnsi="Arial CE" w:cs="Arial"/>
          <w:sz w:val="22"/>
          <w:szCs w:val="22"/>
        </w:rPr>
        <w:t xml:space="preserve"> 000,00 </w:t>
      </w:r>
      <w:r w:rsidRPr="0057498B">
        <w:rPr>
          <w:rFonts w:ascii="Arial CE" w:hAnsi="Arial CE" w:cs="Arial"/>
          <w:sz w:val="22"/>
          <w:szCs w:val="22"/>
        </w:rPr>
        <w:t>Kč bez DPH</w:t>
      </w:r>
    </w:p>
    <w:p w:rsidR="007824E7" w:rsidRDefault="007824E7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Geometrické zaměření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9 000, </w:t>
      </w:r>
      <w:r w:rsidRPr="0057498B">
        <w:rPr>
          <w:rFonts w:ascii="Arial CE" w:hAnsi="Arial CE" w:cs="Arial"/>
          <w:sz w:val="22"/>
          <w:szCs w:val="22"/>
        </w:rPr>
        <w:t>00 Kč bez DPH</w:t>
      </w: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824E7" w:rsidRPr="001D7A19" w:rsidRDefault="007824E7" w:rsidP="007824E7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7824E7">
        <w:rPr>
          <w:rFonts w:ascii="Arial CE" w:hAnsi="Arial CE" w:cs="Arial"/>
          <w:sz w:val="22"/>
          <w:szCs w:val="22"/>
        </w:rPr>
        <w:t>Průzkumné práce</w:t>
      </w:r>
      <w:r w:rsidRPr="007824E7">
        <w:rPr>
          <w:rFonts w:ascii="Arial CE" w:hAnsi="Arial CE" w:cs="Arial"/>
          <w:sz w:val="22"/>
          <w:szCs w:val="22"/>
        </w:rPr>
        <w:tab/>
      </w:r>
      <w:r w:rsidRPr="007824E7">
        <w:rPr>
          <w:rFonts w:ascii="Arial CE" w:hAnsi="Arial CE" w:cs="Arial"/>
          <w:sz w:val="22"/>
          <w:szCs w:val="22"/>
        </w:rPr>
        <w:tab/>
      </w:r>
      <w:r w:rsidRPr="007824E7">
        <w:rPr>
          <w:rFonts w:ascii="Arial CE" w:hAnsi="Arial CE" w:cs="Arial"/>
          <w:sz w:val="22"/>
          <w:szCs w:val="22"/>
        </w:rPr>
        <w:tab/>
      </w:r>
      <w:r w:rsidRPr="007824E7">
        <w:rPr>
          <w:rFonts w:ascii="Arial CE" w:hAnsi="Arial CE" w:cs="Arial"/>
          <w:sz w:val="22"/>
          <w:szCs w:val="22"/>
        </w:rPr>
        <w:tab/>
      </w:r>
      <w:r w:rsidRPr="007824E7">
        <w:rPr>
          <w:rFonts w:ascii="Arial CE" w:hAnsi="Arial CE" w:cs="Arial"/>
          <w:sz w:val="22"/>
          <w:szCs w:val="22"/>
        </w:rPr>
        <w:tab/>
      </w:r>
      <w:r w:rsidRPr="007824E7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9 000, </w:t>
      </w:r>
      <w:r w:rsidRPr="0057498B">
        <w:rPr>
          <w:rFonts w:ascii="Arial CE" w:hAnsi="Arial CE" w:cs="Arial"/>
          <w:sz w:val="22"/>
          <w:szCs w:val="22"/>
        </w:rPr>
        <w:t>00 Kč bez DPH</w:t>
      </w: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6722C5">
        <w:rPr>
          <w:rFonts w:ascii="Arial CE" w:hAnsi="Arial CE" w:cs="Arial"/>
          <w:sz w:val="22"/>
          <w:szCs w:val="22"/>
        </w:rPr>
        <w:tab/>
      </w: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57498B">
        <w:rPr>
          <w:rFonts w:ascii="Arial CE" w:hAnsi="Arial CE" w:cs="Arial"/>
          <w:sz w:val="22"/>
          <w:szCs w:val="22"/>
        </w:rPr>
        <w:t>AD</w:t>
      </w:r>
      <w:r w:rsidR="00E5013A"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57498B">
        <w:rPr>
          <w:rFonts w:ascii="Arial CE" w:hAnsi="Arial CE" w:cs="Arial"/>
          <w:sz w:val="22"/>
          <w:szCs w:val="22"/>
        </w:rPr>
        <w:t xml:space="preserve"> </w:t>
      </w:r>
      <w:r w:rsidR="00E5013A" w:rsidRPr="0057498B">
        <w:rPr>
          <w:rFonts w:ascii="Arial CE" w:hAnsi="Arial CE" w:cs="Arial"/>
          <w:sz w:val="22"/>
          <w:szCs w:val="22"/>
        </w:rPr>
        <w:tab/>
      </w:r>
      <w:r w:rsidR="00F44843" w:rsidRPr="0057498B">
        <w:rPr>
          <w:rFonts w:ascii="Arial CE" w:hAnsi="Arial CE" w:cs="Arial"/>
          <w:sz w:val="22"/>
          <w:szCs w:val="22"/>
        </w:rPr>
        <w:tab/>
      </w:r>
      <w:r w:rsidR="000E5C87" w:rsidRPr="0057498B">
        <w:rPr>
          <w:rFonts w:ascii="Arial CE" w:hAnsi="Arial CE" w:cs="Arial"/>
          <w:sz w:val="22"/>
          <w:szCs w:val="22"/>
        </w:rPr>
        <w:t>650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7824E7" w:rsidRPr="007901CA" w:rsidRDefault="007824E7" w:rsidP="007824E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824E7" w:rsidRDefault="007824E7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průzkumných prací </w:t>
      </w:r>
      <w:r>
        <w:rPr>
          <w:rFonts w:ascii="Arial CE" w:hAnsi="Arial CE" w:cs="Arial"/>
          <w:sz w:val="22"/>
          <w:szCs w:val="22"/>
        </w:rPr>
        <w:t>a</w:t>
      </w:r>
      <w:r w:rsidRPr="002E610D">
        <w:rPr>
          <w:rFonts w:ascii="Arial CE" w:hAnsi="Arial CE" w:cs="Arial"/>
          <w:sz w:val="22"/>
          <w:szCs w:val="22"/>
        </w:rPr>
        <w:t xml:space="preserve"> zaměření – ve výši 100% ceny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CC6787" w:rsidRDefault="00CC6787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lastRenderedPageBreak/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40BCD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750582" w:rsidRDefault="00750582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lastRenderedPageBreak/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63DA" w:rsidRDefault="000663DA" w:rsidP="007505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0663DA" w:rsidRDefault="000663DA" w:rsidP="000663D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824E7" w:rsidRDefault="007824E7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824E7" w:rsidRPr="0057498B" w:rsidRDefault="007824E7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824E7" w:rsidRPr="002414B9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Úvaly, dne</w:t>
      </w: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24E7" w:rsidRPr="005C192A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7824E7" w:rsidRPr="00A9202A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Ing. Jaroslav Vrzák</w:t>
      </w:r>
    </w:p>
    <w:p w:rsidR="007824E7" w:rsidRPr="00A9202A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  <w:t>Jednatel společnosti</w:t>
      </w:r>
    </w:p>
    <w:p w:rsidR="007824E7" w:rsidRDefault="007824E7" w:rsidP="0078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57498B" w:rsidRPr="0057498B" w:rsidRDefault="0057498B" w:rsidP="007824E7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DA" w:rsidRDefault="008A67DA">
      <w:r>
        <w:separator/>
      </w:r>
    </w:p>
  </w:endnote>
  <w:endnote w:type="continuationSeparator" w:id="0">
    <w:p w:rsidR="008A67DA" w:rsidRDefault="008A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65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65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65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65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DA" w:rsidRDefault="008A67DA">
      <w:r>
        <w:separator/>
      </w:r>
    </w:p>
  </w:footnote>
  <w:footnote w:type="continuationSeparator" w:id="0">
    <w:p w:rsidR="008A67DA" w:rsidRDefault="008A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3D93FE3"/>
    <w:multiLevelType w:val="hybridMultilevel"/>
    <w:tmpl w:val="589CAC6E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6D63DFD"/>
    <w:multiLevelType w:val="hybridMultilevel"/>
    <w:tmpl w:val="64BA9A2E"/>
    <w:lvl w:ilvl="0" w:tplc="D4F09930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05CBF"/>
    <w:multiLevelType w:val="hybridMultilevel"/>
    <w:tmpl w:val="9D66B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19"/>
  </w:num>
  <w:num w:numId="19">
    <w:abstractNumId w:val="36"/>
  </w:num>
  <w:num w:numId="20">
    <w:abstractNumId w:val="24"/>
  </w:num>
  <w:num w:numId="21">
    <w:abstractNumId w:val="21"/>
  </w:num>
  <w:num w:numId="22">
    <w:abstractNumId w:val="35"/>
  </w:num>
  <w:num w:numId="23">
    <w:abstractNumId w:val="37"/>
  </w:num>
  <w:num w:numId="24">
    <w:abstractNumId w:val="31"/>
  </w:num>
  <w:num w:numId="25">
    <w:abstractNumId w:val="14"/>
  </w:num>
  <w:num w:numId="26">
    <w:abstractNumId w:val="3"/>
  </w:num>
  <w:num w:numId="27">
    <w:abstractNumId w:val="12"/>
  </w:num>
  <w:num w:numId="28">
    <w:abstractNumId w:val="32"/>
  </w:num>
  <w:num w:numId="29">
    <w:abstractNumId w:val="1"/>
  </w:num>
  <w:num w:numId="30">
    <w:abstractNumId w:val="4"/>
  </w:num>
  <w:num w:numId="31">
    <w:abstractNumId w:val="38"/>
  </w:num>
  <w:num w:numId="32">
    <w:abstractNumId w:val="27"/>
  </w:num>
  <w:num w:numId="33">
    <w:abstractNumId w:val="25"/>
  </w:num>
  <w:num w:numId="34">
    <w:abstractNumId w:val="22"/>
  </w:num>
  <w:num w:numId="35">
    <w:abstractNumId w:val="29"/>
  </w:num>
  <w:num w:numId="36">
    <w:abstractNumId w:val="26"/>
  </w:num>
  <w:num w:numId="37">
    <w:abstractNumId w:val="3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0AD0"/>
    <w:rsid w:val="00011C84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E0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5E2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0E6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1C06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498B"/>
    <w:rsid w:val="005757B6"/>
    <w:rsid w:val="00576041"/>
    <w:rsid w:val="00577706"/>
    <w:rsid w:val="005803C5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557A1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5CFE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24E7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7F7ACB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67DA"/>
    <w:rsid w:val="008A7632"/>
    <w:rsid w:val="008B2FC3"/>
    <w:rsid w:val="008B3490"/>
    <w:rsid w:val="008B394F"/>
    <w:rsid w:val="008B3B7C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3997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5AFD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A7E3C"/>
    <w:rsid w:val="00CB12F4"/>
    <w:rsid w:val="00CB2152"/>
    <w:rsid w:val="00CB27A4"/>
    <w:rsid w:val="00CB4356"/>
    <w:rsid w:val="00CC0327"/>
    <w:rsid w:val="00CC0807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4E33"/>
    <w:rsid w:val="00D76A79"/>
    <w:rsid w:val="00D76FDB"/>
    <w:rsid w:val="00D77318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4128"/>
    <w:rsid w:val="00E968D8"/>
    <w:rsid w:val="00E97CC8"/>
    <w:rsid w:val="00EA2934"/>
    <w:rsid w:val="00EA6C76"/>
    <w:rsid w:val="00EA775D"/>
    <w:rsid w:val="00EB0727"/>
    <w:rsid w:val="00EB127D"/>
    <w:rsid w:val="00EB39BC"/>
    <w:rsid w:val="00EB40DF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EC8B-E52A-45D7-A1D5-E8671602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3856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26557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6</cp:revision>
  <cp:lastPrinted>2017-01-09T11:52:00Z</cp:lastPrinted>
  <dcterms:created xsi:type="dcterms:W3CDTF">2017-03-31T12:37:00Z</dcterms:created>
  <dcterms:modified xsi:type="dcterms:W3CDTF">2017-05-15T10:57:00Z</dcterms:modified>
</cp:coreProperties>
</file>