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26" w:rsidRDefault="00D13404">
      <w:pPr>
        <w:pStyle w:val="NoList1"/>
        <w:jc w:val="right"/>
        <w:rPr>
          <w:b/>
          <w:spacing w:val="8"/>
          <w:sz w:val="28"/>
          <w:lang w:val="cs-CZ"/>
        </w:rPr>
      </w:pPr>
      <w:r>
        <w:rPr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joinstyle="miter"/>
            <v:textbox>
              <w:txbxContent>
                <w:p w:rsidR="001E797B" w:rsidRDefault="001E797B"/>
              </w:txbxContent>
            </v:textbox>
            <w10:wrap anchorx="page" anchory="page"/>
          </v:shape>
        </w:pict>
      </w:r>
      <w:r w:rsidR="00877B93">
        <w:rPr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s-CZ"/>
        </w:rPr>
        <w:pict w14:anchorId="488FA8A2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877B93">
        <w:rPr>
          <w:spacing w:val="14"/>
          <w:lang w:val="cs-CZ"/>
        </w:rPr>
        <w:t xml:space="preserve"> </w:t>
      </w:r>
      <w:r w:rsidR="00877B93">
        <w:rPr>
          <w:b/>
          <w:i/>
          <w:spacing w:val="8"/>
          <w:sz w:val="28"/>
          <w:lang w:val="cs-CZ"/>
        </w:rPr>
        <w:t xml:space="preserve"> </w:t>
      </w:r>
    </w:p>
    <w:p w:rsidR="00D51426" w:rsidRDefault="00877B93">
      <w:r>
        <w:t xml:space="preserve"> </w:t>
      </w:r>
    </w:p>
    <w:p w:rsidR="00D51426" w:rsidRDefault="00877B93">
      <w:pPr>
        <w:pStyle w:val="Nadpis1"/>
        <w:rPr>
          <w:b/>
          <w:bCs/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</w:t>
      </w:r>
      <w:r>
        <w:rPr>
          <w:b/>
          <w:bCs/>
          <w:sz w:val="16"/>
          <w:szCs w:val="16"/>
        </w:rPr>
        <w:t>Sml. č. 824-2013/121343</w:t>
      </w:r>
      <w:r w:rsidR="00AC3F3D">
        <w:rPr>
          <w:b/>
          <w:bCs/>
          <w:sz w:val="16"/>
          <w:szCs w:val="16"/>
        </w:rPr>
        <w:t>-1</w:t>
      </w:r>
      <w:bookmarkStart w:id="0" w:name="_GoBack"/>
      <w:bookmarkEnd w:id="0"/>
    </w:p>
    <w:p w:rsidR="00D51426" w:rsidRDefault="00D51426"/>
    <w:p w:rsidR="00D51426" w:rsidRDefault="00877B93">
      <w:pPr>
        <w:pStyle w:val="Nadpis1"/>
        <w:rPr>
          <w:b/>
          <w:bCs/>
        </w:rPr>
      </w:pPr>
      <w:r>
        <w:rPr>
          <w:b/>
          <w:bCs/>
        </w:rPr>
        <w:t xml:space="preserve">                                                     Dodatek č. 1</w:t>
      </w:r>
    </w:p>
    <w:p w:rsidR="00D51426" w:rsidRDefault="00D51426">
      <w:pPr>
        <w:jc w:val="center"/>
        <w:rPr>
          <w:b/>
          <w:bCs/>
        </w:rPr>
      </w:pPr>
    </w:p>
    <w:p w:rsidR="00D51426" w:rsidRDefault="00877B93">
      <w:pPr>
        <w:jc w:val="center"/>
        <w:rPr>
          <w:b/>
          <w:bCs/>
        </w:rPr>
      </w:pPr>
      <w:r>
        <w:rPr>
          <w:b/>
          <w:bCs/>
        </w:rPr>
        <w:t>o bezplatném užívání nebytových prostor</w:t>
      </w:r>
    </w:p>
    <w:p w:rsidR="00D51426" w:rsidRDefault="00877B93">
      <w:pPr>
        <w:jc w:val="center"/>
      </w:pPr>
      <w:r>
        <w:t>podle zákona č. 219/2000 Sb., o majetku České republiky a jejím vystupování v právních vztazích, ve znění pozdějších předpisů, a vyhlášky Ministerstva financí č. 62/2001 Sb.,           o hospodaření organizačních složek státu a státních organizací s majetkem státu, ve znění pozdějších předpisů podepsaný 14.1.2013</w:t>
      </w:r>
    </w:p>
    <w:p w:rsidR="00D51426" w:rsidRDefault="00D51426">
      <w:pPr>
        <w:jc w:val="center"/>
      </w:pPr>
    </w:p>
    <w:p w:rsidR="00D51426" w:rsidRDefault="00877B93">
      <w:r>
        <w:t>uzavřený mezi stranami:</w:t>
      </w:r>
    </w:p>
    <w:p w:rsidR="00D51426" w:rsidRDefault="00D51426"/>
    <w:p w:rsidR="00D51426" w:rsidRDefault="00877B93">
      <w:pPr>
        <w:pStyle w:val="Zkladntext"/>
        <w:rPr>
          <w:sz w:val="24"/>
          <w:szCs w:val="24"/>
        </w:rPr>
      </w:pPr>
      <w:r>
        <w:rPr>
          <w:b/>
          <w:sz w:val="24"/>
          <w:szCs w:val="24"/>
        </w:rPr>
        <w:t xml:space="preserve">Ministerstvo zemědělství </w:t>
      </w:r>
      <w:r>
        <w:rPr>
          <w:sz w:val="24"/>
          <w:szCs w:val="24"/>
        </w:rPr>
        <w:t xml:space="preserve"> </w:t>
      </w:r>
    </w:p>
    <w:p w:rsidR="00D51426" w:rsidRDefault="00877B93">
      <w:pPr>
        <w:pStyle w:val="Nadpis2"/>
        <w:rPr>
          <w:i w:val="0"/>
        </w:rPr>
      </w:pPr>
      <w:r>
        <w:rPr>
          <w:i w:val="0"/>
        </w:rPr>
        <w:t>se sídlem Těšnov 17, 110 00 Praha 1</w:t>
      </w:r>
    </w:p>
    <w:p w:rsidR="00D51426" w:rsidRDefault="00877B93">
      <w:r>
        <w:t>IČ: 00020478</w:t>
      </w:r>
    </w:p>
    <w:p w:rsidR="00D51426" w:rsidRDefault="00877B93">
      <w:r>
        <w:t>DIČ: není plátce DPH</w:t>
      </w:r>
    </w:p>
    <w:p w:rsidR="00D51426" w:rsidRDefault="00877B93">
      <w:r>
        <w:t>zastoupená Ing. Bedřichem Brychem,</w:t>
      </w:r>
    </w:p>
    <w:p w:rsidR="00D51426" w:rsidRDefault="00877B93">
      <w:r>
        <w:t xml:space="preserve"> pověřeném výkonem funkce ředitele odboru vnitřní správy</w:t>
      </w:r>
    </w:p>
    <w:p w:rsidR="005C6589" w:rsidRDefault="00877B9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</w:p>
    <w:p w:rsidR="00D51426" w:rsidRDefault="00877B9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</w:p>
    <w:p w:rsidR="00D51426" w:rsidRDefault="00877B93">
      <w:pPr>
        <w:rPr>
          <w:b/>
          <w:bCs/>
        </w:rPr>
      </w:pPr>
      <w:r>
        <w:rPr>
          <w:b/>
          <w:bCs/>
        </w:rPr>
        <w:t>(</w:t>
      </w:r>
      <w:r>
        <w:t>dále jen</w:t>
      </w:r>
      <w:r>
        <w:rPr>
          <w:b/>
          <w:bCs/>
        </w:rPr>
        <w:t xml:space="preserve"> „předávající“)</w:t>
      </w:r>
    </w:p>
    <w:p w:rsidR="00D51426" w:rsidRDefault="00877B93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Kontaktní osoba :  Dana Machačová,  referent ORSB</w:t>
      </w:r>
    </w:p>
    <w:p w:rsidR="00D51426" w:rsidRDefault="00877B93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sídlem: Poděbradova 909, 537 01 Chrudim</w:t>
      </w:r>
    </w:p>
    <w:p w:rsidR="005C6589" w:rsidRDefault="00877B93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6589" w:rsidRDefault="00877B93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: </w:t>
      </w:r>
    </w:p>
    <w:p w:rsidR="00D51426" w:rsidRDefault="00877B93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předávající“ )</w:t>
      </w:r>
      <w:proofErr w:type="gramEnd"/>
    </w:p>
    <w:p w:rsidR="00D51426" w:rsidRDefault="00D51426"/>
    <w:p w:rsidR="00D51426" w:rsidRDefault="00877B93">
      <w:r>
        <w:t>a</w:t>
      </w:r>
    </w:p>
    <w:p w:rsidR="00D51426" w:rsidRDefault="00D51426"/>
    <w:p w:rsidR="00D51426" w:rsidRDefault="00877B9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Státní pozemkový úřad,</w:t>
      </w:r>
    </w:p>
    <w:p w:rsidR="00D51426" w:rsidRDefault="00877B93">
      <w:pPr>
        <w:rPr>
          <w:color w:val="182002"/>
        </w:rPr>
      </w:pPr>
      <w:r>
        <w:rPr>
          <w:bCs/>
        </w:rPr>
        <w:t xml:space="preserve">se sídlem </w:t>
      </w:r>
      <w:r>
        <w:rPr>
          <w:color w:val="182002"/>
        </w:rPr>
        <w:t>Husinecká 1024/11a, 130 00 Praha 3 - Žižkov</w:t>
      </w:r>
    </w:p>
    <w:p w:rsidR="00D51426" w:rsidRDefault="00877B93">
      <w:pPr>
        <w:autoSpaceDE w:val="0"/>
        <w:autoSpaceDN w:val="0"/>
        <w:adjustRightInd w:val="0"/>
        <w:rPr>
          <w:color w:val="182002"/>
        </w:rPr>
      </w:pPr>
      <w:r>
        <w:rPr>
          <w:bCs/>
        </w:rPr>
        <w:t xml:space="preserve">IČ: </w:t>
      </w:r>
      <w:r>
        <w:rPr>
          <w:color w:val="182002"/>
        </w:rPr>
        <w:t>01312774</w:t>
      </w:r>
    </w:p>
    <w:p w:rsidR="00D51426" w:rsidRDefault="00877B93">
      <w:pPr>
        <w:autoSpaceDE w:val="0"/>
        <w:autoSpaceDN w:val="0"/>
        <w:adjustRightInd w:val="0"/>
        <w:rPr>
          <w:bCs/>
        </w:rPr>
      </w:pPr>
      <w:r>
        <w:rPr>
          <w:color w:val="182002"/>
        </w:rPr>
        <w:t>DIČ: CZ01312774</w:t>
      </w:r>
    </w:p>
    <w:p w:rsidR="00D51426" w:rsidRDefault="00877B93">
      <w:pPr>
        <w:pStyle w:val="Zkladntext2"/>
        <w:jc w:val="both"/>
        <w:rPr>
          <w:szCs w:val="24"/>
        </w:rPr>
      </w:pPr>
      <w:r>
        <w:rPr>
          <w:szCs w:val="24"/>
        </w:rPr>
        <w:t xml:space="preserve">Organizační složka státu zřízená v souladu se zákonem č. </w:t>
      </w:r>
      <w:hyperlink r:id="rId10" w:history="1">
        <w:r>
          <w:rPr>
            <w:szCs w:val="24"/>
          </w:rPr>
          <w:t>503/2012 Sb.</w:t>
        </w:r>
      </w:hyperlink>
      <w:r>
        <w:rPr>
          <w:szCs w:val="24"/>
        </w:rPr>
        <w:t>, o Státním pozemkovém úřadu a o změně některých souvisejících zákonů</w:t>
      </w:r>
    </w:p>
    <w:p w:rsidR="00D51426" w:rsidRDefault="00877B93">
      <w:pPr>
        <w:autoSpaceDE w:val="0"/>
        <w:autoSpaceDN w:val="0"/>
        <w:adjustRightInd w:val="0"/>
      </w:pPr>
      <w:r>
        <w:t>zastoupený Ing. Milanem Rybkou, náměstkem ústředního ředitele pro úsek ekonomiky, provozu a správy</w:t>
      </w:r>
    </w:p>
    <w:p w:rsidR="005C6589" w:rsidRDefault="00877B93">
      <w:pPr>
        <w:autoSpaceDE w:val="0"/>
        <w:autoSpaceDN w:val="0"/>
        <w:adjustRightInd w:val="0"/>
      </w:pPr>
      <w:r>
        <w:t xml:space="preserve">bankovní spojení: </w:t>
      </w:r>
    </w:p>
    <w:p w:rsidR="00D51426" w:rsidRDefault="00877B93">
      <w:pPr>
        <w:autoSpaceDE w:val="0"/>
        <w:autoSpaceDN w:val="0"/>
        <w:adjustRightInd w:val="0"/>
      </w:pPr>
      <w:r>
        <w:t xml:space="preserve">číslo účtu </w:t>
      </w:r>
    </w:p>
    <w:p w:rsidR="00D51426" w:rsidRDefault="00877B93">
      <w:pPr>
        <w:rPr>
          <w:b/>
          <w:bCs/>
        </w:rPr>
      </w:pPr>
      <w:r>
        <w:rPr>
          <w:b/>
          <w:bCs/>
        </w:rPr>
        <w:t>(</w:t>
      </w:r>
      <w:r>
        <w:t>dále jen</w:t>
      </w:r>
      <w:r>
        <w:rPr>
          <w:b/>
          <w:bCs/>
        </w:rPr>
        <w:t xml:space="preserve"> „uživatel“).</w:t>
      </w:r>
    </w:p>
    <w:p w:rsidR="00D51426" w:rsidRDefault="00D51426">
      <w:pPr>
        <w:rPr>
          <w:b/>
          <w:bCs/>
        </w:rPr>
      </w:pPr>
    </w:p>
    <w:p w:rsidR="00D51426" w:rsidRDefault="00D51426">
      <w:pPr>
        <w:rPr>
          <w:b/>
          <w:bCs/>
        </w:rPr>
      </w:pPr>
    </w:p>
    <w:p w:rsidR="00D51426" w:rsidRDefault="00877B93">
      <w:pPr>
        <w:rPr>
          <w:bCs/>
        </w:rPr>
      </w:pPr>
      <w:r>
        <w:rPr>
          <w:bCs/>
        </w:rPr>
        <w:t>Tímto dodatkem se mezi předávajícím a uživatelem mění a doplňuje Zápis o užívání nebytových prostor situovaných v budově MZe Poděbradova 909, 537 01 Chrudim</w:t>
      </w:r>
    </w:p>
    <w:p w:rsidR="00D51426" w:rsidRDefault="00877B93">
      <w:pPr>
        <w:rPr>
          <w:bCs/>
        </w:rPr>
      </w:pPr>
      <w:r>
        <w:rPr>
          <w:bCs/>
        </w:rPr>
        <w:t>uzavřený dne 14.1.2013.</w:t>
      </w:r>
    </w:p>
    <w:p w:rsidR="00D51426" w:rsidRDefault="00D51426"/>
    <w:p w:rsidR="00D51426" w:rsidRDefault="00877B93">
      <w:r>
        <w:lastRenderedPageBreak/>
        <w:t xml:space="preserve"> Dodatkem se upravuje čl. II. Zápisu</w:t>
      </w:r>
    </w:p>
    <w:p w:rsidR="00D51426" w:rsidRDefault="00D51426"/>
    <w:p w:rsidR="00D51426" w:rsidRDefault="00D51426"/>
    <w:p w:rsidR="00D51426" w:rsidRDefault="00D51426"/>
    <w:p w:rsidR="00D51426" w:rsidRDefault="00D51426"/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877B93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II.</w:t>
      </w:r>
    </w:p>
    <w:p w:rsidR="00D51426" w:rsidRDefault="00D51426">
      <w:pPr>
        <w:pStyle w:val="Zkladntext"/>
        <w:jc w:val="center"/>
        <w:rPr>
          <w:b/>
          <w:bCs/>
          <w:sz w:val="24"/>
        </w:rPr>
      </w:pPr>
    </w:p>
    <w:p w:rsidR="00D51426" w:rsidRDefault="00877B93">
      <w:pPr>
        <w:pStyle w:val="Zkladntext"/>
        <w:numPr>
          <w:ilvl w:val="0"/>
          <w:numId w:val="14"/>
        </w:numPr>
        <w:tabs>
          <w:tab w:val="clear" w:pos="720"/>
          <w:tab w:val="num" w:pos="426"/>
        </w:tabs>
        <w:ind w:left="426"/>
        <w:rPr>
          <w:sz w:val="24"/>
        </w:rPr>
      </w:pPr>
      <w:r>
        <w:rPr>
          <w:sz w:val="24"/>
        </w:rPr>
        <w:t xml:space="preserve">Předmětem plnění tohoto zápisu je užívání nebytových prostor v budově </w:t>
      </w:r>
    </w:p>
    <w:p w:rsidR="00D51426" w:rsidRDefault="00877B93">
      <w:pPr>
        <w:pStyle w:val="Zkladntext"/>
        <w:ind w:left="426"/>
        <w:rPr>
          <w:sz w:val="24"/>
        </w:rPr>
      </w:pPr>
      <w:r>
        <w:rPr>
          <w:sz w:val="24"/>
        </w:rPr>
        <w:t xml:space="preserve">na pozemku parcelní číslo 280/1 </w:t>
      </w:r>
    </w:p>
    <w:p w:rsidR="00D51426" w:rsidRDefault="00877B93">
      <w:pPr>
        <w:pStyle w:val="Zkladntext"/>
        <w:ind w:left="426"/>
        <w:rPr>
          <w:sz w:val="24"/>
        </w:rPr>
      </w:pPr>
      <w:r>
        <w:rPr>
          <w:sz w:val="24"/>
        </w:rPr>
        <w:t>zapsané v katastru nemovitostí u Katastrálního úřadu pro Pardubický kraj</w:t>
      </w:r>
    </w:p>
    <w:p w:rsidR="00D51426" w:rsidRDefault="00877B93">
      <w:pPr>
        <w:pStyle w:val="Zkladntext"/>
        <w:ind w:left="426"/>
        <w:rPr>
          <w:sz w:val="24"/>
        </w:rPr>
      </w:pPr>
      <w:r>
        <w:rPr>
          <w:sz w:val="24"/>
        </w:rPr>
        <w:t xml:space="preserve">Katastrální pracoviště Chrudim. </w:t>
      </w:r>
    </w:p>
    <w:p w:rsidR="00D51426" w:rsidRDefault="00877B93">
      <w:pPr>
        <w:pStyle w:val="Zkladntext"/>
        <w:ind w:left="426"/>
        <w:rPr>
          <w:sz w:val="24"/>
        </w:rPr>
      </w:pPr>
      <w:r>
        <w:rPr>
          <w:sz w:val="24"/>
        </w:rPr>
        <w:t>na listu vlastnictví č. 438</w:t>
      </w:r>
    </w:p>
    <w:p w:rsidR="00D51426" w:rsidRDefault="00877B93">
      <w:pPr>
        <w:pStyle w:val="Zkladntext"/>
        <w:ind w:left="426"/>
        <w:rPr>
          <w:sz w:val="24"/>
        </w:rPr>
      </w:pPr>
      <w:r>
        <w:rPr>
          <w:sz w:val="24"/>
        </w:rPr>
        <w:t>pro okres Chrudim…</w:t>
      </w:r>
    </w:p>
    <w:p w:rsidR="00D51426" w:rsidRDefault="00877B93">
      <w:pPr>
        <w:pStyle w:val="Zkladntext"/>
        <w:ind w:left="426"/>
        <w:rPr>
          <w:sz w:val="24"/>
        </w:rPr>
      </w:pPr>
      <w:r>
        <w:rPr>
          <w:sz w:val="24"/>
        </w:rPr>
        <w:t xml:space="preserve">(dále jen </w:t>
      </w:r>
      <w:r>
        <w:rPr>
          <w:b/>
          <w:bCs/>
          <w:sz w:val="24"/>
        </w:rPr>
        <w:t>„budova“</w:t>
      </w:r>
      <w:r>
        <w:rPr>
          <w:sz w:val="24"/>
        </w:rPr>
        <w:t>).</w:t>
      </w:r>
    </w:p>
    <w:p w:rsidR="00D51426" w:rsidRDefault="00877B93">
      <w:pPr>
        <w:pStyle w:val="Zkladntext"/>
        <w:numPr>
          <w:ilvl w:val="0"/>
          <w:numId w:val="14"/>
        </w:numPr>
        <w:tabs>
          <w:tab w:val="clear" w:pos="720"/>
          <w:tab w:val="num" w:pos="426"/>
        </w:tabs>
        <w:ind w:left="426"/>
        <w:rPr>
          <w:sz w:val="24"/>
          <w:szCs w:val="24"/>
        </w:rPr>
      </w:pPr>
      <w:r>
        <w:rPr>
          <w:sz w:val="24"/>
        </w:rPr>
        <w:t xml:space="preserve">Předávající předává </w:t>
      </w:r>
      <w:r>
        <w:rPr>
          <w:sz w:val="24"/>
          <w:szCs w:val="24"/>
        </w:rPr>
        <w:t>uživateli do užívání nebytové prostory:</w:t>
      </w:r>
    </w:p>
    <w:p w:rsidR="00D51426" w:rsidRDefault="00D51426">
      <w:pPr>
        <w:pStyle w:val="Zkladntext"/>
        <w:ind w:left="66"/>
        <w:rPr>
          <w:sz w:val="24"/>
          <w:szCs w:val="24"/>
        </w:rPr>
      </w:pPr>
    </w:p>
    <w:p w:rsidR="00D51426" w:rsidRDefault="00877B93">
      <w:pPr>
        <w:pStyle w:val="Zkladntext"/>
        <w:ind w:left="66"/>
        <w:rPr>
          <w:sz w:val="24"/>
          <w:szCs w:val="24"/>
        </w:rPr>
      </w:pPr>
      <w:r>
        <w:rPr>
          <w:sz w:val="24"/>
          <w:szCs w:val="24"/>
        </w:rPr>
        <w:t>v </w:t>
      </w:r>
      <w:r>
        <w:rPr>
          <w:b/>
          <w:sz w:val="24"/>
          <w:szCs w:val="24"/>
        </w:rPr>
        <w:t xml:space="preserve">suterénu </w:t>
      </w:r>
      <w:r>
        <w:rPr>
          <w:sz w:val="24"/>
          <w:szCs w:val="24"/>
        </w:rPr>
        <w:t>užívané jako spisovna:</w:t>
      </w:r>
    </w:p>
    <w:p w:rsidR="00D51426" w:rsidRDefault="00D51426">
      <w:pPr>
        <w:pStyle w:val="Zkladntext"/>
        <w:ind w:left="66"/>
        <w:rPr>
          <w:sz w:val="24"/>
          <w:szCs w:val="24"/>
        </w:rPr>
      </w:pPr>
    </w:p>
    <w:p w:rsidR="00D51426" w:rsidRDefault="00877B93">
      <w:pPr>
        <w:pStyle w:val="Zkladntext"/>
        <w:ind w:left="66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011  o výměře 14,21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ind w:left="66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015  o výměře 27,20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1426" w:rsidRDefault="00877B9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ve </w:t>
      </w:r>
      <w:r>
        <w:rPr>
          <w:b/>
          <w:sz w:val="24"/>
          <w:szCs w:val="24"/>
        </w:rPr>
        <w:t>II. poschodí</w:t>
      </w:r>
      <w:r>
        <w:rPr>
          <w:sz w:val="24"/>
          <w:szCs w:val="24"/>
        </w:rPr>
        <w:t xml:space="preserve"> užívané jako kanceláře:</w:t>
      </w:r>
    </w:p>
    <w:p w:rsidR="00D51426" w:rsidRDefault="00D51426">
      <w:pPr>
        <w:pStyle w:val="Zkladntext"/>
        <w:rPr>
          <w:sz w:val="24"/>
          <w:szCs w:val="24"/>
        </w:rPr>
      </w:pP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223   o výmeře   24,58 m</w:t>
      </w:r>
      <w:r>
        <w:rPr>
          <w:sz w:val="24"/>
          <w:szCs w:val="24"/>
          <w:vertAlign w:val="superscript"/>
        </w:rPr>
        <w:t>2</w:t>
      </w:r>
    </w:p>
    <w:p w:rsidR="00D51426" w:rsidRDefault="00D51426">
      <w:pPr>
        <w:pStyle w:val="Zkladntext"/>
        <w:rPr>
          <w:sz w:val="24"/>
          <w:szCs w:val="24"/>
        </w:rPr>
      </w:pPr>
    </w:p>
    <w:p w:rsidR="00D51426" w:rsidRDefault="00877B9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ve </w:t>
      </w:r>
      <w:r>
        <w:rPr>
          <w:b/>
          <w:sz w:val="24"/>
          <w:szCs w:val="24"/>
        </w:rPr>
        <w:t>III. poschodí</w:t>
      </w:r>
      <w:r>
        <w:rPr>
          <w:sz w:val="24"/>
          <w:szCs w:val="24"/>
        </w:rPr>
        <w:t xml:space="preserve"> užívané jako kanceláře </w:t>
      </w:r>
    </w:p>
    <w:p w:rsidR="00D51426" w:rsidRDefault="00D51426">
      <w:pPr>
        <w:pStyle w:val="Zkladntext"/>
        <w:rPr>
          <w:sz w:val="24"/>
          <w:szCs w:val="24"/>
        </w:rPr>
      </w:pP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302 o výměře  14,21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303 o výměře  15,77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304 o výměře  14,47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305  o výměře 16,30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306  o výměře 14,21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307  o výměře 15,20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312 o výměře 16,30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313 o výměře 14,21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314 o výměře 16,30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316 o výměře 17,33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317 o výměře 14,47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318 o výměře 15,20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319 o výměře 15,20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320 o výměře 14,47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místnost č. 321 o výměře 24,58 m</w:t>
      </w:r>
      <w:r>
        <w:rPr>
          <w:sz w:val="24"/>
          <w:szCs w:val="24"/>
          <w:vertAlign w:val="superscript"/>
        </w:rPr>
        <w:t>2</w:t>
      </w:r>
    </w:p>
    <w:p w:rsidR="00D51426" w:rsidRDefault="00D51426">
      <w:pPr>
        <w:pStyle w:val="Zkladntext"/>
        <w:rPr>
          <w:sz w:val="24"/>
          <w:szCs w:val="24"/>
        </w:rPr>
      </w:pPr>
    </w:p>
    <w:p w:rsidR="00D51426" w:rsidRDefault="00877B9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Dále předává o užívání 2 garáže pro služební vozidla o výměře 18,91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a 18,91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D51426" w:rsidRDefault="00D51426">
      <w:pPr>
        <w:pStyle w:val="Zkladntext"/>
        <w:rPr>
          <w:sz w:val="24"/>
          <w:szCs w:val="24"/>
        </w:rPr>
      </w:pPr>
    </w:p>
    <w:p w:rsidR="00D51426" w:rsidRDefault="00877B9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celková výměra kancelářských ploch: 262,80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celková výměra spisoven:                     41,41 m</w:t>
      </w:r>
      <w:r>
        <w:rPr>
          <w:sz w:val="24"/>
          <w:szCs w:val="24"/>
          <w:vertAlign w:val="superscript"/>
        </w:rPr>
        <w:t>2</w:t>
      </w:r>
    </w:p>
    <w:p w:rsidR="00D51426" w:rsidRDefault="00877B9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>garáží :                                                   37,82 m</w:t>
      </w:r>
      <w:r>
        <w:rPr>
          <w:sz w:val="24"/>
          <w:szCs w:val="24"/>
          <w:vertAlign w:val="superscript"/>
        </w:rPr>
        <w:t>2</w:t>
      </w:r>
    </w:p>
    <w:p w:rsidR="00D51426" w:rsidRDefault="00D51426">
      <w:pPr>
        <w:pStyle w:val="Zkladntext"/>
        <w:rPr>
          <w:sz w:val="24"/>
          <w:szCs w:val="24"/>
        </w:rPr>
      </w:pPr>
    </w:p>
    <w:p w:rsidR="00D51426" w:rsidRDefault="00877B93">
      <w:pPr>
        <w:pStyle w:val="Zkladntext"/>
        <w:numPr>
          <w:ilvl w:val="0"/>
          <w:numId w:val="14"/>
        </w:numPr>
        <w:tabs>
          <w:tab w:val="clear" w:pos="720"/>
          <w:tab w:val="num" w:pos="426"/>
        </w:tabs>
        <w:ind w:left="426"/>
        <w:rPr>
          <w:i/>
          <w:iCs/>
          <w:sz w:val="24"/>
        </w:rPr>
      </w:pPr>
      <w:r>
        <w:rPr>
          <w:sz w:val="24"/>
        </w:rPr>
        <w:t xml:space="preserve">Nebytové prostory se předávají do užívání za účelem jejich využití jako prostor kancelářských, spisoven a garáží pro služební vozidla, sloužících v souvislosti se zabezpečením úkolů uživatele. </w:t>
      </w:r>
    </w:p>
    <w:p w:rsidR="00D51426" w:rsidRDefault="00877B93">
      <w:pPr>
        <w:pStyle w:val="Zkladntext"/>
        <w:numPr>
          <w:ilvl w:val="0"/>
          <w:numId w:val="14"/>
        </w:numPr>
        <w:tabs>
          <w:tab w:val="clear" w:pos="720"/>
          <w:tab w:val="num" w:pos="426"/>
        </w:tabs>
        <w:ind w:left="426"/>
        <w:rPr>
          <w:i/>
          <w:iCs/>
          <w:sz w:val="24"/>
          <w:szCs w:val="24"/>
        </w:rPr>
      </w:pPr>
      <w:r>
        <w:rPr>
          <w:sz w:val="24"/>
          <w:szCs w:val="24"/>
        </w:rPr>
        <w:t>Umístění nebytových prostor je vyznačeno v půdorysném plánu budovy, který tvoří přílohu č. 1 tohoto zápisu, která tvoří její nedílnou součást.</w:t>
      </w:r>
    </w:p>
    <w:p w:rsidR="00D51426" w:rsidRDefault="00877B93">
      <w:pPr>
        <w:pStyle w:val="Zkladntext"/>
        <w:numPr>
          <w:ilvl w:val="0"/>
          <w:numId w:val="14"/>
        </w:numPr>
        <w:tabs>
          <w:tab w:val="clear" w:pos="720"/>
          <w:tab w:val="num" w:pos="426"/>
        </w:tabs>
        <w:ind w:left="426"/>
        <w:rPr>
          <w:i/>
          <w:iCs/>
          <w:sz w:val="24"/>
        </w:rPr>
      </w:pPr>
      <w:r>
        <w:rPr>
          <w:sz w:val="24"/>
          <w:szCs w:val="24"/>
        </w:rPr>
        <w:t>Uživatel se zavazuje, že nebude předávané prostory užívat k jiným účelům, než ke kterým jsou dle tohoto zápisu určeny. Porušení tohoto závazku zakládá právo předávajícího odstoupit od tohoto zápisu.</w:t>
      </w:r>
    </w:p>
    <w:p w:rsidR="00D51426" w:rsidRDefault="00877B93">
      <w:pPr>
        <w:pStyle w:val="Zkladntext"/>
        <w:numPr>
          <w:ilvl w:val="0"/>
          <w:numId w:val="14"/>
        </w:numPr>
        <w:tabs>
          <w:tab w:val="clear" w:pos="720"/>
          <w:tab w:val="num" w:pos="426"/>
        </w:tabs>
        <w:ind w:left="426"/>
        <w:rPr>
          <w:i/>
          <w:iCs/>
          <w:sz w:val="24"/>
        </w:rPr>
      </w:pPr>
      <w:r>
        <w:rPr>
          <w:sz w:val="24"/>
          <w:szCs w:val="24"/>
        </w:rPr>
        <w:t>Smluvní strany konstatují, že výše uvedené prostory jsou způsobilé k řádnému užívání.</w:t>
      </w: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877B93">
      <w:pPr>
        <w:pStyle w:val="Zkladntext"/>
        <w:rPr>
          <w:sz w:val="24"/>
        </w:rPr>
      </w:pPr>
      <w:r>
        <w:rPr>
          <w:sz w:val="24"/>
        </w:rPr>
        <w:t>Ostatní ustanovení zápisu o bezplatném užívání nebytových prostor  zůstávají beze změny.</w:t>
      </w:r>
    </w:p>
    <w:p w:rsidR="00D51426" w:rsidRDefault="00D51426">
      <w:pPr>
        <w:pStyle w:val="Zkladntext"/>
        <w:rPr>
          <w:sz w:val="24"/>
        </w:rPr>
      </w:pPr>
    </w:p>
    <w:p w:rsidR="00D51426" w:rsidRDefault="00877B93">
      <w:pPr>
        <w:pStyle w:val="Zkladntext"/>
        <w:rPr>
          <w:sz w:val="24"/>
        </w:rPr>
      </w:pPr>
      <w:r>
        <w:rPr>
          <w:sz w:val="24"/>
        </w:rPr>
        <w:t>Tento dodatek č. 1 nabývá účinnost od 1.10.2014</w:t>
      </w: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877B93">
      <w:pPr>
        <w:pStyle w:val="Zkladntext"/>
        <w:rPr>
          <w:sz w:val="24"/>
        </w:rPr>
      </w:pPr>
      <w:r>
        <w:rPr>
          <w:sz w:val="24"/>
        </w:rPr>
        <w:t>Tento dodatek byl vyhotoven ve čtyřech stejnopisech, z nichž předávající a uživatel obdrží</w:t>
      </w:r>
    </w:p>
    <w:p w:rsidR="00D51426" w:rsidRDefault="00877B93">
      <w:pPr>
        <w:pStyle w:val="Zkladntext"/>
        <w:rPr>
          <w:sz w:val="24"/>
        </w:rPr>
      </w:pPr>
      <w:r>
        <w:rPr>
          <w:sz w:val="24"/>
        </w:rPr>
        <w:t>po dvou stejnopisech.</w:t>
      </w: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jc w:val="center"/>
        <w:rPr>
          <w:sz w:val="24"/>
        </w:rPr>
      </w:pPr>
    </w:p>
    <w:p w:rsidR="00D51426" w:rsidRDefault="00D51426">
      <w:pPr>
        <w:pStyle w:val="Zkladntext"/>
        <w:tabs>
          <w:tab w:val="left" w:pos="142"/>
          <w:tab w:val="left" w:pos="5245"/>
        </w:tabs>
        <w:rPr>
          <w:sz w:val="24"/>
        </w:rPr>
      </w:pPr>
    </w:p>
    <w:p w:rsidR="00D51426" w:rsidRDefault="00877B93">
      <w:pPr>
        <w:pStyle w:val="Zkladntext"/>
        <w:tabs>
          <w:tab w:val="left" w:pos="142"/>
          <w:tab w:val="left" w:pos="5245"/>
        </w:tabs>
        <w:rPr>
          <w:sz w:val="24"/>
        </w:rPr>
      </w:pPr>
      <w:r>
        <w:rPr>
          <w:sz w:val="24"/>
        </w:rPr>
        <w:t xml:space="preserve">  V Praze dne </w:t>
      </w:r>
      <w:r>
        <w:rPr>
          <w:sz w:val="24"/>
        </w:rPr>
        <w:tab/>
        <w:t>V Praze dne</w:t>
      </w: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D51426">
      <w:pPr>
        <w:pStyle w:val="Zkladntext"/>
        <w:rPr>
          <w:sz w:val="24"/>
        </w:rPr>
      </w:pPr>
    </w:p>
    <w:p w:rsidR="00D51426" w:rsidRDefault="00877B93">
      <w:pPr>
        <w:pStyle w:val="Zkladntext"/>
        <w:rPr>
          <w:sz w:val="24"/>
        </w:rPr>
      </w:pPr>
      <w:r>
        <w:rPr>
          <w:sz w:val="24"/>
        </w:rPr>
        <w:t xml:space="preserve"> ………………………………                                      ……………………………….….</w:t>
      </w:r>
    </w:p>
    <w:p w:rsidR="00D51426" w:rsidRDefault="00877B93">
      <w:pPr>
        <w:pStyle w:val="Zkladntext"/>
        <w:rPr>
          <w:b/>
          <w:sz w:val="24"/>
        </w:rPr>
      </w:pPr>
      <w:r>
        <w:rPr>
          <w:b/>
          <w:sz w:val="24"/>
        </w:rPr>
        <w:t xml:space="preserve">           </w:t>
      </w:r>
      <w:r>
        <w:rPr>
          <w:b/>
          <w:sz w:val="24"/>
          <w:szCs w:val="24"/>
        </w:rPr>
        <w:t>Ing. Bedřich Brych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Ing. Milan Rybka</w:t>
      </w:r>
    </w:p>
    <w:p w:rsidR="00D51426" w:rsidRDefault="00877B9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pověřený výkonem funkce                               </w:t>
      </w:r>
      <w:r>
        <w:rPr>
          <w:sz w:val="24"/>
        </w:rPr>
        <w:t xml:space="preserve">náměstek ústředního ředitele pro úsek                                    </w:t>
      </w:r>
      <w:r>
        <w:rPr>
          <w:sz w:val="24"/>
          <w:szCs w:val="24"/>
        </w:rPr>
        <w:t xml:space="preserve">          ředitele odboru vnitřní správy</w:t>
      </w:r>
      <w:r>
        <w:rPr>
          <w:sz w:val="24"/>
        </w:rPr>
        <w:t xml:space="preserve">                                        ekonomiky, provozu a správy   </w:t>
      </w:r>
    </w:p>
    <w:p w:rsidR="00D51426" w:rsidRDefault="00877B93">
      <w:pPr>
        <w:pStyle w:val="Zkladntext"/>
        <w:rPr>
          <w:sz w:val="24"/>
        </w:rPr>
      </w:pPr>
      <w:r>
        <w:rPr>
          <w:sz w:val="24"/>
        </w:rPr>
        <w:t xml:space="preserve">           ( předávající )                                                                      ( uživatel )                                                                                                         </w:t>
      </w:r>
    </w:p>
    <w:p w:rsidR="00D51426" w:rsidRDefault="00877B93">
      <w:pPr>
        <w:pStyle w:val="Zkladntex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D51426" w:rsidRDefault="00877B93">
      <w:r>
        <w:t xml:space="preserve">                                   </w:t>
      </w:r>
    </w:p>
    <w:p w:rsidR="00D51426" w:rsidRDefault="00D51426"/>
    <w:p w:rsidR="00D51426" w:rsidRDefault="00D51426"/>
    <w:p w:rsidR="00D51426" w:rsidRDefault="00D51426"/>
    <w:p w:rsidR="00D51426" w:rsidRDefault="00D51426"/>
    <w:sectPr w:rsidR="00D51426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04" w:rsidRDefault="00D13404">
      <w:r>
        <w:separator/>
      </w:r>
    </w:p>
  </w:endnote>
  <w:endnote w:type="continuationSeparator" w:id="0">
    <w:p w:rsidR="00D13404" w:rsidRDefault="00D1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26" w:rsidRDefault="00877B93">
    <w:pPr>
      <w:pStyle w:val="Zpat"/>
    </w:pPr>
    <w:fldSimple w:instr=" DOCVARIABLE  dms_cj  \* MERGEFORMAT ">
      <w:r>
        <w:rPr>
          <w:bCs/>
        </w:rPr>
        <w:t>53728/2014-MZE-121343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AC3F3D">
      <w:rPr>
        <w:noProof/>
      </w:rPr>
      <w:t>3</w:t>
    </w:r>
    <w:r>
      <w:fldChar w:fldCharType="end"/>
    </w:r>
  </w:p>
  <w:p w:rsidR="00D51426" w:rsidRDefault="00D51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04" w:rsidRDefault="00D13404">
      <w:r>
        <w:separator/>
      </w:r>
    </w:p>
  </w:footnote>
  <w:footnote w:type="continuationSeparator" w:id="0">
    <w:p w:rsidR="00D13404" w:rsidRDefault="00D13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26" w:rsidRDefault="00D1340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35c47a5-0cba-4b72-8d80-7f27fca2d6fe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26" w:rsidRDefault="00D1340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0c30acc-14df-4c9f-b389-aa9fcd03d4c8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26" w:rsidRDefault="00D1340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0017816-9e50-49c3-9144-171319f97a00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3FE"/>
    <w:multiLevelType w:val="multilevel"/>
    <w:tmpl w:val="08BA0B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12FB49C8"/>
    <w:multiLevelType w:val="multilevel"/>
    <w:tmpl w:val="97F06C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15A76636"/>
    <w:multiLevelType w:val="multilevel"/>
    <w:tmpl w:val="BFD85C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18397D3D"/>
    <w:multiLevelType w:val="multilevel"/>
    <w:tmpl w:val="D74071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E893540"/>
    <w:multiLevelType w:val="multilevel"/>
    <w:tmpl w:val="4B9E3E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278D0CE6"/>
    <w:multiLevelType w:val="multilevel"/>
    <w:tmpl w:val="F9B4F5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27E36A68"/>
    <w:multiLevelType w:val="multilevel"/>
    <w:tmpl w:val="E40C65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8B157F8"/>
    <w:multiLevelType w:val="multilevel"/>
    <w:tmpl w:val="FB2434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AE25EE1"/>
    <w:multiLevelType w:val="multilevel"/>
    <w:tmpl w:val="3F9CA2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34585DB9"/>
    <w:multiLevelType w:val="multilevel"/>
    <w:tmpl w:val="9BE669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363559C4"/>
    <w:multiLevelType w:val="multilevel"/>
    <w:tmpl w:val="D884CD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379219A5"/>
    <w:multiLevelType w:val="multilevel"/>
    <w:tmpl w:val="267CDA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3D971203"/>
    <w:multiLevelType w:val="multilevel"/>
    <w:tmpl w:val="65F001C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40734CAA"/>
    <w:multiLevelType w:val="multilevel"/>
    <w:tmpl w:val="BC14E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D7833"/>
    <w:multiLevelType w:val="multilevel"/>
    <w:tmpl w:val="3B9AE4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4F09654E"/>
    <w:multiLevelType w:val="multilevel"/>
    <w:tmpl w:val="468004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53D6038B"/>
    <w:multiLevelType w:val="multilevel"/>
    <w:tmpl w:val="3C469B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56A25729"/>
    <w:multiLevelType w:val="multilevel"/>
    <w:tmpl w:val="FFB217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579D620D"/>
    <w:multiLevelType w:val="multilevel"/>
    <w:tmpl w:val="8E5257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64642037"/>
    <w:multiLevelType w:val="multilevel"/>
    <w:tmpl w:val="29285F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66274352"/>
    <w:multiLevelType w:val="multilevel"/>
    <w:tmpl w:val="D44616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69EF4A23"/>
    <w:multiLevelType w:val="multilevel"/>
    <w:tmpl w:val="CBD421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6B4F72E4"/>
    <w:multiLevelType w:val="multilevel"/>
    <w:tmpl w:val="D23A84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6D9D0035"/>
    <w:multiLevelType w:val="multilevel"/>
    <w:tmpl w:val="5FA6C1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772225B6"/>
    <w:multiLevelType w:val="multilevel"/>
    <w:tmpl w:val="CA22F2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7F7E4B7B"/>
    <w:multiLevelType w:val="multilevel"/>
    <w:tmpl w:val="C7628A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7F9D0A70"/>
    <w:multiLevelType w:val="multilevel"/>
    <w:tmpl w:val="535674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4"/>
  </w:num>
  <w:num w:numId="5">
    <w:abstractNumId w:val="26"/>
  </w:num>
  <w:num w:numId="6">
    <w:abstractNumId w:val="15"/>
  </w:num>
  <w:num w:numId="7">
    <w:abstractNumId w:val="24"/>
  </w:num>
  <w:num w:numId="8">
    <w:abstractNumId w:val="22"/>
  </w:num>
  <w:num w:numId="9">
    <w:abstractNumId w:val="20"/>
  </w:num>
  <w:num w:numId="10">
    <w:abstractNumId w:val="2"/>
  </w:num>
  <w:num w:numId="11">
    <w:abstractNumId w:val="23"/>
  </w:num>
  <w:num w:numId="12">
    <w:abstractNumId w:val="5"/>
  </w:num>
  <w:num w:numId="13">
    <w:abstractNumId w:val="9"/>
  </w:num>
  <w:num w:numId="14">
    <w:abstractNumId w:val="13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12"/>
  </w:num>
  <w:num w:numId="20">
    <w:abstractNumId w:val="10"/>
  </w:num>
  <w:num w:numId="21">
    <w:abstractNumId w:val="14"/>
  </w:num>
  <w:num w:numId="22">
    <w:abstractNumId w:val="21"/>
  </w:num>
  <w:num w:numId="23">
    <w:abstractNumId w:val="25"/>
  </w:num>
  <w:num w:numId="24">
    <w:abstractNumId w:val="16"/>
  </w:num>
  <w:num w:numId="25">
    <w:abstractNumId w:val="17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12130 - Odbor vnitřní správy_x000d__x000a_Ing. Bedřich Brych, pověřený funkcí ředitele_x000d__x000a_zde"/>
    <w:docVar w:name="dms_adresat_adresa" w:val=" "/>
    <w:docVar w:name="dms_adresat_dat_narozeni" w:val=" "/>
    <w:docVar w:name="dms_adresat_ic" w:val=" "/>
    <w:docVar w:name="dms_adresat_jmeno" w:val="Ing. Bedřich Brych, pověřený funkcí ředitele"/>
    <w:docVar w:name="dms_carovy_kod" w:val="00021193438753728/2014-MZE-121343"/>
    <w:docVar w:name="dms_cj" w:val="53728/2014-MZE-121343"/>
    <w:docVar w:name="dms_datum" w:val="8. 8. 2014"/>
    <w:docVar w:name="dms_datum_textem" w:val="8. srpna 2014"/>
    <w:docVar w:name="dms_datum_vzniku" w:val="17. 7. 2014 10:40:00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Bedřich Brych_x000d__x000a_vedoucí oddělení"/>
    <w:docVar w:name="dms_podpisova_dolozka_funkce" w:val="vedoucí oddělení"/>
    <w:docVar w:name="dms_podpisova_dolozka_jmeno" w:val="Ing. Bedřich Brych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6VD8514/2013-12134"/>
    <w:docVar w:name="dms_spravce_jmeno" w:val="Dana Machačová"/>
    <w:docVar w:name="dms_spravce_mail" w:val="Dana.Machacova@mze.cz"/>
    <w:docVar w:name="dms_spravce_telefon" w:val="46936615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4"/>
    <w:docVar w:name="dms_utvar_nazev" w:val="Oddělení regionální správy budov"/>
    <w:docVar w:name="dms_utvar_nazev_adresa" w:val="12134 - Oddělení regionální správy budov_x000d__x000a_Těšnov 65/17_x000d__x000a_Nové Město_x000d__x000a_110 00 Praha 1"/>
    <w:docVar w:name="dms_utvar_nazev_do_dopisu" w:val="Oddělení regionální správy budov"/>
    <w:docVar w:name="dms_vec" w:val="dodatek zápisu SPÚ"/>
    <w:docVar w:name="dms_VNVSpravce" w:val=" "/>
    <w:docVar w:name="dms_zpracoval_jmeno" w:val="Dana Machačová"/>
    <w:docVar w:name="dms_zpracoval_mail" w:val="Dana.Machacova@mze.cz"/>
    <w:docVar w:name="dms_zpracoval_telefon" w:val="469366151"/>
  </w:docVars>
  <w:rsids>
    <w:rsidRoot w:val="00D51426"/>
    <w:rsid w:val="001E797B"/>
    <w:rsid w:val="005C6589"/>
    <w:rsid w:val="00877B93"/>
    <w:rsid w:val="00AC3F3D"/>
    <w:rsid w:val="00D13404"/>
    <w:rsid w:val="00D5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lang w:eastAsia="cs-CZ"/>
    </w:rPr>
  </w:style>
  <w:style w:type="paragraph" w:styleId="Zkladntext2">
    <w:name w:val="Body Text 2"/>
    <w:basedOn w:val="Normln"/>
    <w:semiHidden/>
    <w:pPr>
      <w:autoSpaceDE w:val="0"/>
      <w:autoSpaceDN w:val="0"/>
      <w:adjustRightInd w:val="0"/>
      <w:jc w:val="left"/>
    </w:pPr>
    <w:rPr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lang w:eastAsia="cs-CZ"/>
    </w:rPr>
  </w:style>
  <w:style w:type="paragraph" w:styleId="Zkladntext2">
    <w:name w:val="Body Text 2"/>
    <w:basedOn w:val="Normln"/>
    <w:semiHidden/>
    <w:pPr>
      <w:autoSpaceDE w:val="0"/>
      <w:autoSpaceDN w:val="0"/>
      <w:adjustRightInd w:val="0"/>
      <w:jc w:val="left"/>
    </w:pPr>
    <w:rPr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fcr.cz/spucr/page.aspx?OdkazyID=12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dcterms:created xsi:type="dcterms:W3CDTF">2017-05-15T12:36:00Z</dcterms:created>
  <dcterms:modified xsi:type="dcterms:W3CDTF">2017-05-15T12:36:00Z</dcterms:modified>
</cp:coreProperties>
</file>