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9"/>
      </w:tblGrid>
      <w:tr w:rsidR="00814B5A" w:rsidTr="00814B5A">
        <w:tc>
          <w:tcPr>
            <w:tcW w:w="0" w:type="auto"/>
            <w:hideMark/>
          </w:tcPr>
          <w:p w:rsidR="00814B5A" w:rsidRDefault="00814B5A">
            <w:pPr>
              <w:rPr>
                <w:rFonts w:ascii="Arial Black" w:hAnsi="Arial Black" w:cs="Arial"/>
                <w:b/>
              </w:rPr>
            </w:pPr>
            <w:r>
              <w:rPr>
                <w:rFonts w:ascii="Arial Black" w:hAnsi="Arial Black" w:cs="Arial"/>
                <w:b/>
              </w:rPr>
              <w:t>Číslo objednávky:</w:t>
            </w:r>
            <w:r w:rsidR="002564D8">
              <w:rPr>
                <w:rFonts w:ascii="Arial Black" w:hAnsi="Arial Black" w:cs="Arial"/>
                <w:b/>
              </w:rPr>
              <w:t xml:space="preserve"> OB01219-17</w:t>
            </w:r>
          </w:p>
        </w:tc>
      </w:tr>
      <w:tr w:rsidR="00814B5A" w:rsidTr="00814B5A">
        <w:tc>
          <w:tcPr>
            <w:tcW w:w="0" w:type="auto"/>
            <w:hideMark/>
          </w:tcPr>
          <w:p w:rsidR="00814B5A" w:rsidRDefault="00814B5A" w:rsidP="00263688">
            <w:pPr>
              <w:rPr>
                <w:rFonts w:ascii="Arial Black" w:hAnsi="Arial Black" w:cs="Arial"/>
                <w:b/>
              </w:rPr>
            </w:pPr>
          </w:p>
        </w:tc>
      </w:tr>
      <w:tr w:rsidR="00814B5A" w:rsidTr="00814B5A">
        <w:tc>
          <w:tcPr>
            <w:tcW w:w="0" w:type="auto"/>
            <w:hideMark/>
          </w:tcPr>
          <w:p w:rsidR="00814B5A" w:rsidRDefault="0089360D" w:rsidP="00BD60F6">
            <w:pPr>
              <w:rPr>
                <w:rFonts w:ascii="Arial" w:hAnsi="Arial" w:cs="Arial"/>
                <w:b/>
              </w:rPr>
            </w:pPr>
            <w:r>
              <w:rPr>
                <w:rFonts w:ascii="Arial" w:hAnsi="Arial" w:cs="Arial"/>
                <w:b/>
              </w:rPr>
              <w:t xml:space="preserve">Čj.: ČOI </w:t>
            </w:r>
            <w:r w:rsidR="00C8253D" w:rsidRPr="00C8253D">
              <w:rPr>
                <w:rFonts w:ascii="Arial" w:hAnsi="Arial" w:cs="Arial"/>
                <w:b/>
              </w:rPr>
              <w:t>64857</w:t>
            </w:r>
            <w:r w:rsidR="00061DF1">
              <w:rPr>
                <w:rFonts w:ascii="Arial" w:hAnsi="Arial" w:cs="Arial"/>
                <w:b/>
              </w:rPr>
              <w:t>/</w:t>
            </w:r>
            <w:r w:rsidR="00235501">
              <w:rPr>
                <w:rFonts w:ascii="Arial" w:hAnsi="Arial" w:cs="Arial"/>
                <w:b/>
              </w:rPr>
              <w:t>17</w:t>
            </w:r>
            <w:r w:rsidR="00814B5A">
              <w:rPr>
                <w:rFonts w:ascii="Arial" w:hAnsi="Arial" w:cs="Arial"/>
                <w:b/>
              </w:rPr>
              <w:t>/O100</w:t>
            </w:r>
          </w:p>
        </w:tc>
      </w:tr>
    </w:tbl>
    <w:p w:rsidR="00814B5A" w:rsidRDefault="00814B5A" w:rsidP="00814B5A">
      <w:pPr>
        <w:rPr>
          <w:rFonts w:ascii="Arial" w:hAnsi="Arial" w:cs="Arial"/>
          <w:sz w:val="16"/>
          <w:szCs w:val="16"/>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6"/>
        <w:gridCol w:w="2418"/>
      </w:tblGrid>
      <w:tr w:rsidR="00814B5A" w:rsidTr="00814B5A">
        <w:tc>
          <w:tcPr>
            <w:tcW w:w="0" w:type="auto"/>
            <w:vAlign w:val="center"/>
            <w:hideMark/>
          </w:tcPr>
          <w:p w:rsidR="00814B5A" w:rsidRDefault="00814B5A">
            <w:pPr>
              <w:rPr>
                <w:rFonts w:ascii="Arial" w:hAnsi="Arial" w:cs="Arial"/>
                <w:sz w:val="24"/>
                <w:szCs w:val="24"/>
              </w:rPr>
            </w:pPr>
            <w:r>
              <w:rPr>
                <w:rFonts w:ascii="Arial" w:hAnsi="Arial" w:cs="Arial"/>
              </w:rPr>
              <w:t>Datum vystavení:</w:t>
            </w:r>
          </w:p>
        </w:tc>
        <w:tc>
          <w:tcPr>
            <w:tcW w:w="0" w:type="auto"/>
            <w:vAlign w:val="center"/>
            <w:hideMark/>
          </w:tcPr>
          <w:p w:rsidR="00814B5A" w:rsidRDefault="000402A7">
            <w:pPr>
              <w:jc w:val="both"/>
              <w:rPr>
                <w:rFonts w:ascii="Arial" w:hAnsi="Arial" w:cs="Arial"/>
              </w:rPr>
            </w:pPr>
            <w:r>
              <w:rPr>
                <w:rFonts w:ascii="Arial" w:hAnsi="Arial" w:cs="Arial"/>
              </w:rPr>
              <w:t>11</w:t>
            </w:r>
            <w:r w:rsidR="00235501">
              <w:rPr>
                <w:rFonts w:ascii="Arial" w:hAnsi="Arial" w:cs="Arial"/>
              </w:rPr>
              <w:t>.</w:t>
            </w:r>
            <w:r w:rsidR="00F60FC2">
              <w:rPr>
                <w:rFonts w:ascii="Arial" w:hAnsi="Arial" w:cs="Arial"/>
              </w:rPr>
              <w:t xml:space="preserve"> 05.</w:t>
            </w:r>
            <w:r w:rsidR="00235501">
              <w:rPr>
                <w:rFonts w:ascii="Arial" w:hAnsi="Arial" w:cs="Arial"/>
              </w:rPr>
              <w:t xml:space="preserve"> 2017</w:t>
            </w:r>
          </w:p>
        </w:tc>
      </w:tr>
      <w:tr w:rsidR="00814B5A" w:rsidTr="00814B5A">
        <w:tc>
          <w:tcPr>
            <w:tcW w:w="0" w:type="auto"/>
            <w:vAlign w:val="center"/>
            <w:hideMark/>
          </w:tcPr>
          <w:p w:rsidR="00814B5A" w:rsidRDefault="00814B5A">
            <w:pPr>
              <w:rPr>
                <w:rFonts w:ascii="Arial" w:hAnsi="Arial" w:cs="Arial"/>
              </w:rPr>
            </w:pPr>
            <w:r>
              <w:rPr>
                <w:rFonts w:ascii="Arial" w:hAnsi="Arial" w:cs="Arial"/>
              </w:rPr>
              <w:t>Vyřizuje:</w:t>
            </w:r>
          </w:p>
        </w:tc>
        <w:tc>
          <w:tcPr>
            <w:tcW w:w="0" w:type="auto"/>
            <w:vAlign w:val="center"/>
            <w:hideMark/>
          </w:tcPr>
          <w:p w:rsidR="00814B5A" w:rsidRDefault="00F60FC2">
            <w:pPr>
              <w:jc w:val="both"/>
              <w:rPr>
                <w:rStyle w:val="detail"/>
              </w:rPr>
            </w:pPr>
            <w:r>
              <w:rPr>
                <w:rStyle w:val="detail"/>
                <w:rFonts w:ascii="Arial" w:hAnsi="Arial" w:cs="Arial"/>
              </w:rPr>
              <w:t>Ing. Blanka Thompson</w:t>
            </w:r>
          </w:p>
        </w:tc>
      </w:tr>
      <w:tr w:rsidR="00814B5A" w:rsidTr="00814B5A">
        <w:tc>
          <w:tcPr>
            <w:tcW w:w="0" w:type="auto"/>
            <w:vAlign w:val="center"/>
            <w:hideMark/>
          </w:tcPr>
          <w:p w:rsidR="00814B5A" w:rsidRDefault="00814B5A">
            <w:r>
              <w:rPr>
                <w:rFonts w:ascii="Arial" w:hAnsi="Arial" w:cs="Arial"/>
              </w:rPr>
              <w:t>Telefon:</w:t>
            </w:r>
          </w:p>
        </w:tc>
        <w:tc>
          <w:tcPr>
            <w:tcW w:w="0" w:type="auto"/>
            <w:vAlign w:val="center"/>
            <w:hideMark/>
          </w:tcPr>
          <w:p w:rsidR="00814B5A" w:rsidRPr="00F60FC2" w:rsidRDefault="00F60FC2">
            <w:pPr>
              <w:jc w:val="both"/>
              <w:rPr>
                <w:rStyle w:val="detail"/>
                <w:rFonts w:ascii="Arial" w:hAnsi="Arial" w:cs="Arial"/>
              </w:rPr>
            </w:pPr>
            <w:r w:rsidRPr="00F60FC2">
              <w:rPr>
                <w:rFonts w:ascii="Arial" w:hAnsi="Arial" w:cs="Arial"/>
              </w:rPr>
              <w:t>(+420) 296 366 134</w:t>
            </w:r>
          </w:p>
        </w:tc>
      </w:tr>
      <w:tr w:rsidR="00814B5A" w:rsidTr="00814B5A">
        <w:tc>
          <w:tcPr>
            <w:tcW w:w="0" w:type="auto"/>
            <w:vAlign w:val="center"/>
            <w:hideMark/>
          </w:tcPr>
          <w:p w:rsidR="00814B5A" w:rsidRDefault="00814B5A">
            <w:r>
              <w:rPr>
                <w:rFonts w:ascii="Arial" w:hAnsi="Arial" w:cs="Arial"/>
              </w:rPr>
              <w:t>Email:</w:t>
            </w:r>
          </w:p>
        </w:tc>
        <w:tc>
          <w:tcPr>
            <w:tcW w:w="0" w:type="auto"/>
            <w:vAlign w:val="center"/>
            <w:hideMark/>
          </w:tcPr>
          <w:p w:rsidR="00814B5A" w:rsidRDefault="00F60FC2">
            <w:pPr>
              <w:jc w:val="both"/>
              <w:rPr>
                <w:rStyle w:val="detail"/>
              </w:rPr>
            </w:pPr>
            <w:r>
              <w:rPr>
                <w:rStyle w:val="detail"/>
                <w:rFonts w:ascii="Arial" w:hAnsi="Arial" w:cs="Arial"/>
              </w:rPr>
              <w:t>bthompson</w:t>
            </w:r>
            <w:r w:rsidR="00814B5A">
              <w:rPr>
                <w:rStyle w:val="detail"/>
                <w:rFonts w:ascii="Arial" w:hAnsi="Arial" w:cs="Arial"/>
              </w:rPr>
              <w:t>@coi.cz</w:t>
            </w:r>
          </w:p>
        </w:tc>
      </w:tr>
    </w:tbl>
    <w:p w:rsidR="00814B5A" w:rsidRDefault="00814B5A" w:rsidP="00814B5A">
      <w:pPr>
        <w:rPr>
          <w:rFonts w:ascii="Arial" w:hAnsi="Arial" w:cs="Arial"/>
          <w:sz w:val="16"/>
          <w:szCs w:val="16"/>
        </w:r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282"/>
        <w:gridCol w:w="4393"/>
      </w:tblGrid>
      <w:tr w:rsidR="00814B5A" w:rsidTr="00814B5A">
        <w:tc>
          <w:tcPr>
            <w:tcW w:w="2501" w:type="pct"/>
            <w:vAlign w:val="center"/>
            <w:hideMark/>
          </w:tcPr>
          <w:p w:rsidR="00814B5A" w:rsidRDefault="00814B5A">
            <w:pPr>
              <w:rPr>
                <w:rFonts w:ascii="Arial" w:hAnsi="Arial" w:cs="Arial"/>
                <w:b/>
                <w:sz w:val="24"/>
                <w:szCs w:val="24"/>
              </w:rPr>
            </w:pPr>
            <w:r>
              <w:rPr>
                <w:rFonts w:ascii="Arial" w:hAnsi="Arial" w:cs="Arial"/>
                <w:b/>
              </w:rPr>
              <w:t>Identifikační údaje odběratele:</w:t>
            </w:r>
          </w:p>
        </w:tc>
        <w:tc>
          <w:tcPr>
            <w:tcW w:w="151" w:type="pct"/>
            <w:vMerge w:val="restart"/>
            <w:vAlign w:val="center"/>
          </w:tcPr>
          <w:p w:rsidR="00814B5A" w:rsidRDefault="00814B5A">
            <w:pPr>
              <w:rPr>
                <w:rFonts w:ascii="Arial" w:hAnsi="Arial" w:cs="Arial"/>
                <w:b/>
              </w:rPr>
            </w:pPr>
          </w:p>
        </w:tc>
        <w:tc>
          <w:tcPr>
            <w:tcW w:w="2348" w:type="pct"/>
            <w:hideMark/>
          </w:tcPr>
          <w:p w:rsidR="00814B5A" w:rsidRDefault="00814B5A">
            <w:pPr>
              <w:rPr>
                <w:rFonts w:ascii="Arial" w:hAnsi="Arial" w:cs="Arial"/>
                <w:b/>
              </w:rPr>
            </w:pPr>
            <w:r>
              <w:rPr>
                <w:rFonts w:ascii="Arial" w:hAnsi="Arial" w:cs="Arial"/>
                <w:b/>
              </w:rPr>
              <w:t>Identifikační údaje dodavatele:</w:t>
            </w:r>
          </w:p>
        </w:tc>
      </w:tr>
      <w:tr w:rsidR="00814B5A" w:rsidTr="00814B5A">
        <w:tc>
          <w:tcPr>
            <w:tcW w:w="2501" w:type="pct"/>
            <w:vAlign w:val="center"/>
            <w:hideMark/>
          </w:tcPr>
          <w:p w:rsidR="00814B5A" w:rsidRDefault="00814B5A">
            <w:pPr>
              <w:rPr>
                <w:rFonts w:ascii="Arial" w:hAnsi="Arial" w:cs="Arial"/>
              </w:rPr>
            </w:pPr>
            <w:r>
              <w:rPr>
                <w:rFonts w:ascii="Arial" w:hAnsi="Arial" w:cs="Arial"/>
              </w:rPr>
              <w:t>Česká republika – Česká obchodní inspekce</w:t>
            </w:r>
          </w:p>
        </w:tc>
        <w:tc>
          <w:tcPr>
            <w:tcW w:w="0" w:type="auto"/>
            <w:vMerge/>
            <w:vAlign w:val="center"/>
            <w:hideMark/>
          </w:tcPr>
          <w:p w:rsidR="00814B5A" w:rsidRDefault="00814B5A">
            <w:pPr>
              <w:rPr>
                <w:rFonts w:ascii="Arial" w:hAnsi="Arial" w:cs="Arial"/>
                <w:b/>
                <w:sz w:val="24"/>
                <w:szCs w:val="24"/>
              </w:rPr>
            </w:pPr>
          </w:p>
        </w:tc>
        <w:tc>
          <w:tcPr>
            <w:tcW w:w="2348" w:type="pct"/>
            <w:hideMark/>
          </w:tcPr>
          <w:p w:rsidR="00814B5A" w:rsidRDefault="00ED79E5">
            <w:pPr>
              <w:rPr>
                <w:rFonts w:ascii="Arial" w:hAnsi="Arial" w:cs="Arial"/>
              </w:rPr>
            </w:pPr>
            <w:r>
              <w:rPr>
                <w:rFonts w:ascii="Arial" w:hAnsi="Arial" w:cs="Arial"/>
              </w:rPr>
              <w:t>Institut pro testování a certifikaci</w:t>
            </w:r>
            <w:r w:rsidR="00BD60F6">
              <w:rPr>
                <w:rFonts w:ascii="Arial" w:hAnsi="Arial" w:cs="Arial"/>
              </w:rPr>
              <w:t>, a. s.</w:t>
            </w:r>
          </w:p>
        </w:tc>
      </w:tr>
      <w:tr w:rsidR="00814B5A" w:rsidTr="00814B5A">
        <w:tc>
          <w:tcPr>
            <w:tcW w:w="2501" w:type="pct"/>
            <w:vAlign w:val="center"/>
            <w:hideMark/>
          </w:tcPr>
          <w:p w:rsidR="00814B5A" w:rsidRDefault="00814B5A">
            <w:pPr>
              <w:rPr>
                <w:rFonts w:ascii="Arial" w:hAnsi="Arial" w:cs="Arial"/>
              </w:rPr>
            </w:pPr>
            <w:r>
              <w:rPr>
                <w:rFonts w:ascii="Arial" w:hAnsi="Arial" w:cs="Arial"/>
              </w:rPr>
              <w:t>Štěpánská 567/15, 120 00 Praha 2</w:t>
            </w:r>
          </w:p>
        </w:tc>
        <w:tc>
          <w:tcPr>
            <w:tcW w:w="0" w:type="auto"/>
            <w:vMerge/>
            <w:vAlign w:val="center"/>
            <w:hideMark/>
          </w:tcPr>
          <w:p w:rsidR="00814B5A" w:rsidRDefault="00814B5A">
            <w:pPr>
              <w:rPr>
                <w:rFonts w:ascii="Arial" w:hAnsi="Arial" w:cs="Arial"/>
                <w:b/>
                <w:sz w:val="24"/>
                <w:szCs w:val="24"/>
              </w:rPr>
            </w:pPr>
          </w:p>
        </w:tc>
        <w:tc>
          <w:tcPr>
            <w:tcW w:w="2348" w:type="pct"/>
            <w:hideMark/>
          </w:tcPr>
          <w:p w:rsidR="00814B5A" w:rsidRDefault="00ED79E5">
            <w:pPr>
              <w:rPr>
                <w:rFonts w:ascii="Arial" w:hAnsi="Arial" w:cs="Arial"/>
              </w:rPr>
            </w:pPr>
            <w:r>
              <w:rPr>
                <w:rFonts w:ascii="Arial" w:hAnsi="Arial" w:cs="Arial"/>
              </w:rPr>
              <w:t>Tomáše Bati 299, Louky, 763 02 Zlín</w:t>
            </w:r>
          </w:p>
        </w:tc>
      </w:tr>
      <w:tr w:rsidR="00814B5A" w:rsidTr="00814B5A">
        <w:tc>
          <w:tcPr>
            <w:tcW w:w="2501" w:type="pct"/>
            <w:vAlign w:val="center"/>
            <w:hideMark/>
          </w:tcPr>
          <w:p w:rsidR="00814B5A" w:rsidRDefault="00814B5A">
            <w:pPr>
              <w:rPr>
                <w:rFonts w:ascii="Arial" w:hAnsi="Arial" w:cs="Arial"/>
              </w:rPr>
            </w:pPr>
            <w:r>
              <w:rPr>
                <w:rFonts w:ascii="Arial" w:hAnsi="Arial" w:cs="Arial"/>
              </w:rPr>
              <w:t>IČ: 00020869</w:t>
            </w:r>
          </w:p>
        </w:tc>
        <w:tc>
          <w:tcPr>
            <w:tcW w:w="0" w:type="auto"/>
            <w:vMerge/>
            <w:vAlign w:val="center"/>
            <w:hideMark/>
          </w:tcPr>
          <w:p w:rsidR="00814B5A" w:rsidRDefault="00814B5A">
            <w:pPr>
              <w:rPr>
                <w:rFonts w:ascii="Arial" w:hAnsi="Arial" w:cs="Arial"/>
                <w:b/>
                <w:sz w:val="24"/>
                <w:szCs w:val="24"/>
              </w:rPr>
            </w:pPr>
          </w:p>
        </w:tc>
        <w:tc>
          <w:tcPr>
            <w:tcW w:w="2348" w:type="pct"/>
            <w:hideMark/>
          </w:tcPr>
          <w:p w:rsidR="00814B5A" w:rsidRDefault="00BD60F6" w:rsidP="00ED79E5">
            <w:pPr>
              <w:rPr>
                <w:rFonts w:ascii="Arial" w:hAnsi="Arial" w:cs="Arial"/>
              </w:rPr>
            </w:pPr>
            <w:r>
              <w:rPr>
                <w:rFonts w:ascii="Arial" w:hAnsi="Arial" w:cs="Arial"/>
              </w:rPr>
              <w:t xml:space="preserve">IČ: </w:t>
            </w:r>
            <w:r w:rsidR="00ED79E5">
              <w:rPr>
                <w:rFonts w:ascii="Arial" w:hAnsi="Arial" w:cs="Arial"/>
              </w:rPr>
              <w:t>479 10 381</w:t>
            </w:r>
          </w:p>
        </w:tc>
      </w:tr>
      <w:tr w:rsidR="00814B5A" w:rsidTr="00814B5A">
        <w:tc>
          <w:tcPr>
            <w:tcW w:w="2501" w:type="pct"/>
            <w:vAlign w:val="center"/>
          </w:tcPr>
          <w:p w:rsidR="00814B5A" w:rsidRDefault="00814B5A">
            <w:pPr>
              <w:rPr>
                <w:rFonts w:ascii="Arial" w:hAnsi="Arial" w:cs="Arial"/>
              </w:rPr>
            </w:pPr>
          </w:p>
        </w:tc>
        <w:tc>
          <w:tcPr>
            <w:tcW w:w="151" w:type="pct"/>
          </w:tcPr>
          <w:p w:rsidR="00814B5A" w:rsidRDefault="00814B5A">
            <w:pPr>
              <w:rPr>
                <w:rFonts w:ascii="Arial" w:hAnsi="Arial" w:cs="Arial"/>
              </w:rPr>
            </w:pPr>
          </w:p>
        </w:tc>
        <w:tc>
          <w:tcPr>
            <w:tcW w:w="2348" w:type="pct"/>
            <w:hideMark/>
          </w:tcPr>
          <w:p w:rsidR="00814B5A" w:rsidRDefault="00814B5A">
            <w:pPr>
              <w:rPr>
                <w:rFonts w:ascii="Arial" w:hAnsi="Arial" w:cs="Arial"/>
              </w:rPr>
            </w:pPr>
            <w:r>
              <w:rPr>
                <w:rFonts w:ascii="Arial" w:hAnsi="Arial" w:cs="Arial"/>
              </w:rPr>
              <w:t>Subjekt je plátcem DPH</w:t>
            </w:r>
          </w:p>
        </w:tc>
      </w:tr>
    </w:tbl>
    <w:p w:rsidR="00814B5A" w:rsidRDefault="00814B5A" w:rsidP="00814B5A">
      <w:pPr>
        <w:rPr>
          <w:rFonts w:ascii="Arial" w:hAnsi="Arial" w:cs="Arial"/>
          <w:sz w:val="16"/>
          <w:szCs w:val="16"/>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814B5A" w:rsidTr="00814B5A">
        <w:tc>
          <w:tcPr>
            <w:tcW w:w="0" w:type="auto"/>
            <w:vAlign w:val="center"/>
          </w:tcPr>
          <w:p w:rsidR="00814B5A" w:rsidRPr="0089360D" w:rsidRDefault="00814B5A" w:rsidP="00ED79E5">
            <w:pPr>
              <w:jc w:val="both"/>
              <w:rPr>
                <w:rFonts w:ascii="Arial" w:hAnsi="Arial" w:cs="Arial"/>
                <w:sz w:val="24"/>
                <w:szCs w:val="24"/>
              </w:rPr>
            </w:pPr>
            <w:r>
              <w:rPr>
                <w:rFonts w:ascii="Arial" w:hAnsi="Arial" w:cs="Arial"/>
              </w:rPr>
              <w:t>Objednávka vystavena na základě výsledku veřejné zakázky malého rozsahu na služby laboratorní zkouš</w:t>
            </w:r>
            <w:r w:rsidR="00BD60F6">
              <w:rPr>
                <w:rFonts w:ascii="Arial" w:hAnsi="Arial" w:cs="Arial"/>
              </w:rPr>
              <w:t>ky výrobků (</w:t>
            </w:r>
            <w:r w:rsidR="00ED79E5">
              <w:rPr>
                <w:rFonts w:ascii="Arial" w:hAnsi="Arial" w:cs="Arial"/>
              </w:rPr>
              <w:t>ochranné prostředky pro bojové sporty</w:t>
            </w:r>
            <w:r>
              <w:rPr>
                <w:rFonts w:ascii="Arial" w:hAnsi="Arial" w:cs="Arial"/>
              </w:rPr>
              <w:t>).</w:t>
            </w:r>
          </w:p>
        </w:tc>
      </w:tr>
    </w:tbl>
    <w:p w:rsidR="00814B5A" w:rsidRDefault="00814B5A" w:rsidP="00814B5A">
      <w:pPr>
        <w:rPr>
          <w:rFonts w:ascii="Arial" w:hAnsi="Arial" w:cs="Arial"/>
          <w:sz w:val="16"/>
          <w:szCs w:val="16"/>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220"/>
      </w:tblGrid>
      <w:tr w:rsidR="00814B5A" w:rsidTr="00814B5A">
        <w:tc>
          <w:tcPr>
            <w:tcW w:w="1134" w:type="dxa"/>
            <w:vAlign w:val="center"/>
            <w:hideMark/>
          </w:tcPr>
          <w:p w:rsidR="00814B5A" w:rsidRDefault="00814B5A">
            <w:pPr>
              <w:jc w:val="both"/>
              <w:rPr>
                <w:rFonts w:ascii="Arial" w:hAnsi="Arial" w:cs="Arial"/>
                <w:sz w:val="24"/>
                <w:szCs w:val="24"/>
              </w:rPr>
            </w:pPr>
            <w:r>
              <w:rPr>
                <w:rFonts w:ascii="Arial" w:hAnsi="Arial" w:cs="Arial"/>
              </w:rPr>
              <w:t>NIPEZ:</w:t>
            </w:r>
          </w:p>
        </w:tc>
        <w:tc>
          <w:tcPr>
            <w:tcW w:w="8220" w:type="dxa"/>
            <w:vAlign w:val="center"/>
            <w:hideMark/>
          </w:tcPr>
          <w:p w:rsidR="00814B5A" w:rsidRDefault="00814B5A">
            <w:pPr>
              <w:jc w:val="both"/>
              <w:rPr>
                <w:rFonts w:ascii="Arial" w:hAnsi="Arial" w:cs="Arial"/>
              </w:rPr>
            </w:pPr>
            <w:r>
              <w:rPr>
                <w:rStyle w:val="detail"/>
                <w:rFonts w:ascii="Arial" w:hAnsi="Arial" w:cs="Arial"/>
              </w:rPr>
              <w:t>71632000-7 Technické testování</w:t>
            </w:r>
          </w:p>
        </w:tc>
      </w:tr>
    </w:tbl>
    <w:p w:rsidR="00814B5A" w:rsidRDefault="00814B5A" w:rsidP="00814B5A">
      <w:pPr>
        <w:rPr>
          <w:rFonts w:ascii="Arial" w:hAnsi="Arial" w:cs="Arial"/>
          <w:sz w:val="16"/>
          <w:szCs w:val="16"/>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814B5A" w:rsidTr="00814B5A">
        <w:tc>
          <w:tcPr>
            <w:tcW w:w="0" w:type="auto"/>
            <w:vAlign w:val="center"/>
            <w:hideMark/>
          </w:tcPr>
          <w:p w:rsidR="00814B5A" w:rsidRDefault="00814B5A">
            <w:pPr>
              <w:jc w:val="both"/>
              <w:rPr>
                <w:rFonts w:ascii="Arial" w:hAnsi="Arial" w:cs="Arial"/>
                <w:b/>
                <w:sz w:val="24"/>
                <w:szCs w:val="24"/>
              </w:rPr>
            </w:pPr>
            <w:r>
              <w:rPr>
                <w:rFonts w:ascii="Arial" w:hAnsi="Arial" w:cs="Arial"/>
                <w:b/>
              </w:rPr>
              <w:t>Podrobná specifikace předmětu plnění:</w:t>
            </w:r>
          </w:p>
        </w:tc>
      </w:tr>
      <w:tr w:rsidR="00814B5A" w:rsidTr="00814B5A">
        <w:tc>
          <w:tcPr>
            <w:tcW w:w="0" w:type="auto"/>
            <w:vAlign w:val="center"/>
            <w:hideMark/>
          </w:tcPr>
          <w:p w:rsidR="00B9656A" w:rsidRDefault="00814B5A">
            <w:pPr>
              <w:pStyle w:val="Bezmezer"/>
              <w:jc w:val="both"/>
              <w:rPr>
                <w:rFonts w:ascii="Arial" w:hAnsi="Arial" w:cs="Arial"/>
                <w:sz w:val="22"/>
                <w:szCs w:val="20"/>
              </w:rPr>
            </w:pPr>
            <w:r>
              <w:rPr>
                <w:rFonts w:ascii="Arial" w:hAnsi="Arial" w:cs="Arial"/>
                <w:sz w:val="22"/>
                <w:szCs w:val="20"/>
              </w:rPr>
              <w:t>Proveden</w:t>
            </w:r>
            <w:r w:rsidR="00BD60F6">
              <w:rPr>
                <w:rFonts w:ascii="Arial" w:hAnsi="Arial" w:cs="Arial"/>
                <w:sz w:val="22"/>
                <w:szCs w:val="20"/>
              </w:rPr>
              <w:t xml:space="preserve">í </w:t>
            </w:r>
            <w:r>
              <w:rPr>
                <w:rFonts w:ascii="Arial" w:hAnsi="Arial" w:cs="Arial"/>
                <w:sz w:val="22"/>
                <w:szCs w:val="20"/>
              </w:rPr>
              <w:t>laboratorníc</w:t>
            </w:r>
            <w:r w:rsidR="00871AB8">
              <w:rPr>
                <w:rFonts w:ascii="Arial" w:hAnsi="Arial" w:cs="Arial"/>
                <w:sz w:val="22"/>
                <w:szCs w:val="20"/>
              </w:rPr>
              <w:t>h zkoušek</w:t>
            </w:r>
            <w:r w:rsidR="00BD60F6">
              <w:rPr>
                <w:rFonts w:ascii="Arial" w:hAnsi="Arial" w:cs="Arial"/>
                <w:sz w:val="22"/>
                <w:szCs w:val="20"/>
              </w:rPr>
              <w:t xml:space="preserve"> –</w:t>
            </w:r>
            <w:r w:rsidR="00263688">
              <w:rPr>
                <w:rFonts w:ascii="Arial" w:hAnsi="Arial" w:cs="Arial"/>
                <w:sz w:val="22"/>
                <w:szCs w:val="20"/>
              </w:rPr>
              <w:t xml:space="preserve"> laboratorní zkoušky</w:t>
            </w:r>
            <w:r w:rsidR="00BD60F6">
              <w:rPr>
                <w:rFonts w:ascii="Arial" w:hAnsi="Arial" w:cs="Arial"/>
                <w:sz w:val="22"/>
                <w:szCs w:val="20"/>
              </w:rPr>
              <w:t xml:space="preserve"> </w:t>
            </w:r>
            <w:r w:rsidR="00ED79E5">
              <w:rPr>
                <w:rFonts w:ascii="Arial" w:hAnsi="Arial" w:cs="Arial"/>
                <w:sz w:val="22"/>
                <w:szCs w:val="20"/>
              </w:rPr>
              <w:t>6</w:t>
            </w:r>
            <w:r w:rsidR="00BD60F6">
              <w:rPr>
                <w:rFonts w:ascii="Arial" w:hAnsi="Arial" w:cs="Arial"/>
                <w:sz w:val="22"/>
                <w:szCs w:val="20"/>
              </w:rPr>
              <w:t xml:space="preserve"> </w:t>
            </w:r>
            <w:r w:rsidR="00ED79E5">
              <w:rPr>
                <w:rFonts w:ascii="Arial" w:hAnsi="Arial" w:cs="Arial"/>
                <w:sz w:val="22"/>
                <w:szCs w:val="20"/>
              </w:rPr>
              <w:t>(šesti) vzorků</w:t>
            </w:r>
            <w:r w:rsidR="00B95150">
              <w:rPr>
                <w:rFonts w:ascii="Arial" w:hAnsi="Arial" w:cs="Arial"/>
                <w:sz w:val="22"/>
                <w:szCs w:val="20"/>
              </w:rPr>
              <w:t xml:space="preserve"> </w:t>
            </w:r>
            <w:r w:rsidR="00ED79E5">
              <w:rPr>
                <w:rFonts w:ascii="Arial" w:hAnsi="Arial" w:cs="Arial"/>
                <w:sz w:val="22"/>
                <w:szCs w:val="20"/>
              </w:rPr>
              <w:t>výrobků odebraných</w:t>
            </w:r>
            <w:r>
              <w:rPr>
                <w:rFonts w:ascii="Arial" w:hAnsi="Arial" w:cs="Arial"/>
                <w:sz w:val="22"/>
                <w:szCs w:val="20"/>
              </w:rPr>
              <w:t xml:space="preserve"> v tržní sít</w:t>
            </w:r>
            <w:r w:rsidR="00BD60F6">
              <w:rPr>
                <w:rFonts w:ascii="Arial" w:hAnsi="Arial" w:cs="Arial"/>
                <w:sz w:val="22"/>
                <w:szCs w:val="20"/>
              </w:rPr>
              <w:t xml:space="preserve">i ČR </w:t>
            </w:r>
            <w:r w:rsidR="00B9656A">
              <w:rPr>
                <w:rFonts w:ascii="Arial" w:hAnsi="Arial" w:cs="Arial"/>
                <w:sz w:val="22"/>
                <w:szCs w:val="20"/>
              </w:rPr>
              <w:t>(</w:t>
            </w:r>
            <w:r w:rsidR="001D592B">
              <w:rPr>
                <w:rFonts w:ascii="Arial" w:hAnsi="Arial" w:cs="Arial"/>
                <w:sz w:val="22"/>
                <w:szCs w:val="20"/>
              </w:rPr>
              <w:t>ochranné prostředky pro bo</w:t>
            </w:r>
            <w:r w:rsidR="00B9656A">
              <w:rPr>
                <w:rFonts w:ascii="Arial" w:hAnsi="Arial" w:cs="Arial"/>
                <w:sz w:val="22"/>
                <w:szCs w:val="20"/>
              </w:rPr>
              <w:t>jové sporty</w:t>
            </w:r>
            <w:r>
              <w:rPr>
                <w:rFonts w:ascii="Arial" w:hAnsi="Arial" w:cs="Arial"/>
                <w:sz w:val="22"/>
                <w:szCs w:val="20"/>
              </w:rPr>
              <w:t>)</w:t>
            </w:r>
            <w:r w:rsidR="00B9656A">
              <w:rPr>
                <w:rFonts w:ascii="Arial" w:hAnsi="Arial" w:cs="Arial"/>
                <w:sz w:val="22"/>
                <w:szCs w:val="20"/>
              </w:rPr>
              <w:t>:</w:t>
            </w:r>
          </w:p>
          <w:p w:rsidR="00B9656A" w:rsidRPr="00B9656A" w:rsidRDefault="00B9656A" w:rsidP="00B9656A">
            <w:pPr>
              <w:pStyle w:val="Odstavecseseznamem"/>
              <w:numPr>
                <w:ilvl w:val="0"/>
                <w:numId w:val="9"/>
              </w:numPr>
              <w:ind w:left="357" w:hanging="357"/>
              <w:jc w:val="both"/>
              <w:rPr>
                <w:rFonts w:ascii="Arial" w:hAnsi="Arial" w:cs="Arial"/>
              </w:rPr>
            </w:pPr>
            <w:r w:rsidRPr="00B9656A">
              <w:rPr>
                <w:rFonts w:ascii="Arial" w:hAnsi="Arial" w:cs="Arial"/>
              </w:rPr>
              <w:t xml:space="preserve">vzorek č. 2217_S (helma pro bojové sporty </w:t>
            </w:r>
            <w:proofErr w:type="spellStart"/>
            <w:r w:rsidRPr="00B9656A">
              <w:rPr>
                <w:rFonts w:ascii="Arial" w:hAnsi="Arial" w:cs="Arial"/>
              </w:rPr>
              <w:t>Everlast</w:t>
            </w:r>
            <w:proofErr w:type="spellEnd"/>
            <w:r w:rsidRPr="00B9656A">
              <w:rPr>
                <w:rFonts w:ascii="Arial" w:hAnsi="Arial" w:cs="Arial"/>
              </w:rPr>
              <w:t xml:space="preserve"> </w:t>
            </w:r>
            <w:proofErr w:type="spellStart"/>
            <w:r w:rsidRPr="00B9656A">
              <w:rPr>
                <w:rFonts w:ascii="Arial" w:hAnsi="Arial" w:cs="Arial"/>
              </w:rPr>
              <w:t>Evercool</w:t>
            </w:r>
            <w:proofErr w:type="spellEnd"/>
            <w:r w:rsidRPr="00B9656A">
              <w:rPr>
                <w:rFonts w:ascii="Arial" w:hAnsi="Arial" w:cs="Arial"/>
              </w:rPr>
              <w:t>), ČSN EN 13277-1,</w:t>
            </w:r>
          </w:p>
          <w:p w:rsidR="00B9656A" w:rsidRPr="00B9656A" w:rsidRDefault="00B9656A" w:rsidP="00B9656A">
            <w:pPr>
              <w:jc w:val="both"/>
              <w:rPr>
                <w:rFonts w:ascii="Arial" w:hAnsi="Arial" w:cs="Arial"/>
              </w:rPr>
            </w:pPr>
            <w:r w:rsidRPr="00B9656A">
              <w:rPr>
                <w:rFonts w:ascii="Arial" w:hAnsi="Arial" w:cs="Arial"/>
              </w:rPr>
              <w:t xml:space="preserve">                                    ČSN EN 13277-4</w:t>
            </w:r>
          </w:p>
          <w:p w:rsidR="00B9656A" w:rsidRPr="00B9656A" w:rsidRDefault="00B9656A" w:rsidP="00B9656A">
            <w:pPr>
              <w:pStyle w:val="Odstavecseseznamem"/>
              <w:numPr>
                <w:ilvl w:val="0"/>
                <w:numId w:val="9"/>
              </w:numPr>
              <w:ind w:left="357" w:hanging="357"/>
              <w:jc w:val="both"/>
              <w:rPr>
                <w:rFonts w:ascii="Arial" w:hAnsi="Arial" w:cs="Arial"/>
              </w:rPr>
            </w:pPr>
            <w:r w:rsidRPr="00B9656A">
              <w:rPr>
                <w:rFonts w:ascii="Arial" w:hAnsi="Arial" w:cs="Arial"/>
              </w:rPr>
              <w:t xml:space="preserve">vzorek č. 2226_S (uzavřený chránič hlavy </w:t>
            </w:r>
            <w:proofErr w:type="spellStart"/>
            <w:r w:rsidRPr="00B9656A">
              <w:rPr>
                <w:rFonts w:ascii="Arial" w:hAnsi="Arial" w:cs="Arial"/>
              </w:rPr>
              <w:t>Bad</w:t>
            </w:r>
            <w:proofErr w:type="spellEnd"/>
            <w:r w:rsidRPr="00B9656A">
              <w:rPr>
                <w:rFonts w:ascii="Arial" w:hAnsi="Arial" w:cs="Arial"/>
              </w:rPr>
              <w:t xml:space="preserve"> Boy), ČSN EN 13277-1, ČSN EN 13277-4</w:t>
            </w:r>
          </w:p>
          <w:p w:rsidR="00B9656A" w:rsidRPr="00B9656A" w:rsidRDefault="00B9656A" w:rsidP="00B9656A">
            <w:pPr>
              <w:pStyle w:val="Odstavecseseznamem"/>
              <w:numPr>
                <w:ilvl w:val="0"/>
                <w:numId w:val="9"/>
              </w:numPr>
              <w:ind w:left="357" w:hanging="357"/>
              <w:jc w:val="both"/>
              <w:rPr>
                <w:rFonts w:ascii="Arial" w:hAnsi="Arial" w:cs="Arial"/>
              </w:rPr>
            </w:pPr>
            <w:r w:rsidRPr="00B9656A">
              <w:rPr>
                <w:rFonts w:ascii="Arial" w:hAnsi="Arial" w:cs="Arial"/>
              </w:rPr>
              <w:t xml:space="preserve">vzorek č. 2230_S (Přilba </w:t>
            </w:r>
            <w:proofErr w:type="spellStart"/>
            <w:r w:rsidRPr="00B9656A">
              <w:rPr>
                <w:rFonts w:ascii="Arial" w:hAnsi="Arial" w:cs="Arial"/>
              </w:rPr>
              <w:t>Adidas</w:t>
            </w:r>
            <w:proofErr w:type="spellEnd"/>
            <w:r w:rsidRPr="00B9656A">
              <w:rPr>
                <w:rFonts w:ascii="Arial" w:hAnsi="Arial" w:cs="Arial"/>
              </w:rPr>
              <w:t xml:space="preserve"> TKD II - XL), ČSN EN 13277-1, ČSN EN 13277-4</w:t>
            </w:r>
          </w:p>
          <w:p w:rsidR="00B9656A" w:rsidRPr="00B9656A" w:rsidRDefault="00B9656A" w:rsidP="00B9656A">
            <w:pPr>
              <w:pStyle w:val="Odstavecseseznamem"/>
              <w:numPr>
                <w:ilvl w:val="0"/>
                <w:numId w:val="9"/>
              </w:numPr>
              <w:ind w:left="357" w:hanging="357"/>
              <w:jc w:val="both"/>
              <w:rPr>
                <w:rFonts w:ascii="Arial" w:hAnsi="Arial" w:cs="Arial"/>
              </w:rPr>
            </w:pPr>
            <w:r w:rsidRPr="00B9656A">
              <w:rPr>
                <w:rFonts w:ascii="Arial" w:hAnsi="Arial" w:cs="Arial"/>
              </w:rPr>
              <w:t>vzorek č. 2231_S (bílý pánský suspenzor LIGHT), ČSN EN 13277-1, ČSN EN 13277-5</w:t>
            </w:r>
          </w:p>
          <w:p w:rsidR="00B9656A" w:rsidRPr="00B9656A" w:rsidRDefault="00B9656A" w:rsidP="00B9656A">
            <w:pPr>
              <w:pStyle w:val="Odstavecseseznamem"/>
              <w:numPr>
                <w:ilvl w:val="0"/>
                <w:numId w:val="9"/>
              </w:numPr>
              <w:ind w:left="357" w:hanging="357"/>
              <w:jc w:val="both"/>
              <w:rPr>
                <w:rFonts w:ascii="Arial" w:hAnsi="Arial" w:cs="Arial"/>
              </w:rPr>
            </w:pPr>
            <w:r w:rsidRPr="00B9656A">
              <w:rPr>
                <w:rFonts w:ascii="Arial" w:hAnsi="Arial" w:cs="Arial"/>
              </w:rPr>
              <w:t xml:space="preserve">vzorek č. 2234_S (TEAM X chránič suspenzor muži BASIC), ČSN EN 13277-1, </w:t>
            </w:r>
          </w:p>
          <w:p w:rsidR="00B9656A" w:rsidRPr="00B9656A" w:rsidRDefault="00B9656A" w:rsidP="00B9656A">
            <w:pPr>
              <w:pStyle w:val="Odstavecseseznamem"/>
              <w:ind w:left="357"/>
              <w:jc w:val="both"/>
              <w:rPr>
                <w:rFonts w:ascii="Arial" w:hAnsi="Arial" w:cs="Arial"/>
              </w:rPr>
            </w:pPr>
            <w:r w:rsidRPr="00B9656A">
              <w:rPr>
                <w:rFonts w:ascii="Arial" w:hAnsi="Arial" w:cs="Arial"/>
              </w:rPr>
              <w:t xml:space="preserve">                             ČSN EN 13277-5 </w:t>
            </w:r>
          </w:p>
          <w:p w:rsidR="00B9656A" w:rsidRPr="00B9656A" w:rsidRDefault="00B9656A" w:rsidP="00B9656A">
            <w:pPr>
              <w:pStyle w:val="Odstavecseseznamem"/>
              <w:numPr>
                <w:ilvl w:val="0"/>
                <w:numId w:val="9"/>
              </w:numPr>
              <w:ind w:left="357" w:hanging="357"/>
              <w:jc w:val="both"/>
              <w:rPr>
                <w:rFonts w:ascii="Arial" w:hAnsi="Arial" w:cs="Arial"/>
              </w:rPr>
            </w:pPr>
            <w:r w:rsidRPr="00B9656A">
              <w:rPr>
                <w:rFonts w:ascii="Arial" w:hAnsi="Arial" w:cs="Arial"/>
              </w:rPr>
              <w:t xml:space="preserve">vzorek č. 2240_S (Suspenzor </w:t>
            </w:r>
            <w:proofErr w:type="gramStart"/>
            <w:r w:rsidRPr="00B9656A">
              <w:rPr>
                <w:rFonts w:ascii="Arial" w:hAnsi="Arial" w:cs="Arial"/>
              </w:rPr>
              <w:t>No.1 Fighter</w:t>
            </w:r>
            <w:proofErr w:type="gramEnd"/>
            <w:r w:rsidRPr="00B9656A">
              <w:rPr>
                <w:rFonts w:ascii="Arial" w:hAnsi="Arial" w:cs="Arial"/>
              </w:rPr>
              <w:t xml:space="preserve"> Krav </w:t>
            </w:r>
            <w:proofErr w:type="spellStart"/>
            <w:r w:rsidRPr="00B9656A">
              <w:rPr>
                <w:rFonts w:ascii="Arial" w:hAnsi="Arial" w:cs="Arial"/>
              </w:rPr>
              <w:t>Maga</w:t>
            </w:r>
            <w:proofErr w:type="spellEnd"/>
            <w:r w:rsidRPr="00B9656A">
              <w:rPr>
                <w:rFonts w:ascii="Arial" w:hAnsi="Arial" w:cs="Arial"/>
              </w:rPr>
              <w:t xml:space="preserve"> - pánský), ČSN EN 13277-1, </w:t>
            </w:r>
          </w:p>
          <w:p w:rsidR="00B9656A" w:rsidRPr="00B9656A" w:rsidRDefault="00B9656A" w:rsidP="00B9656A">
            <w:pPr>
              <w:pStyle w:val="Bezmezer"/>
              <w:jc w:val="both"/>
              <w:rPr>
                <w:rFonts w:ascii="Arial" w:hAnsi="Arial" w:cs="Arial"/>
                <w:sz w:val="22"/>
                <w:szCs w:val="22"/>
              </w:rPr>
            </w:pPr>
            <w:r w:rsidRPr="00B9656A">
              <w:rPr>
                <w:rFonts w:ascii="Arial" w:hAnsi="Arial" w:cs="Arial"/>
                <w:sz w:val="22"/>
                <w:szCs w:val="22"/>
              </w:rPr>
              <w:t xml:space="preserve">                             </w:t>
            </w:r>
            <w:r w:rsidR="000402A7">
              <w:rPr>
                <w:rFonts w:ascii="Arial" w:hAnsi="Arial" w:cs="Arial"/>
                <w:sz w:val="22"/>
                <w:szCs w:val="22"/>
              </w:rPr>
              <w:t xml:space="preserve">      </w:t>
            </w:r>
            <w:r w:rsidRPr="00B9656A">
              <w:rPr>
                <w:rFonts w:ascii="Arial" w:hAnsi="Arial" w:cs="Arial"/>
                <w:sz w:val="22"/>
                <w:szCs w:val="22"/>
              </w:rPr>
              <w:t>ČSN EN 13277-5</w:t>
            </w:r>
          </w:p>
          <w:p w:rsidR="00814B5A" w:rsidRDefault="00814B5A">
            <w:pPr>
              <w:pStyle w:val="Bezmezer"/>
              <w:jc w:val="both"/>
              <w:rPr>
                <w:rFonts w:ascii="Arial" w:hAnsi="Arial" w:cs="Arial"/>
                <w:sz w:val="22"/>
                <w:szCs w:val="20"/>
              </w:rPr>
            </w:pPr>
            <w:r>
              <w:rPr>
                <w:rFonts w:ascii="Arial" w:hAnsi="Arial" w:cs="Arial"/>
                <w:sz w:val="22"/>
                <w:szCs w:val="20"/>
              </w:rPr>
              <w:t>v rozsahu:</w:t>
            </w:r>
          </w:p>
          <w:p w:rsidR="00B9656A" w:rsidRPr="00B9656A" w:rsidRDefault="00B9656A" w:rsidP="00B9656A">
            <w:pPr>
              <w:jc w:val="both"/>
              <w:rPr>
                <w:rFonts w:ascii="Arial" w:eastAsia="Times New Roman" w:hAnsi="Arial" w:cs="Arial"/>
                <w:lang w:eastAsia="cs-CZ"/>
              </w:rPr>
            </w:pPr>
            <w:r w:rsidRPr="00B9656A">
              <w:rPr>
                <w:rFonts w:ascii="Arial" w:eastAsia="Times New Roman" w:hAnsi="Arial" w:cs="Arial"/>
                <w:lang w:eastAsia="cs-CZ"/>
              </w:rPr>
              <w:t>Ochranné prostředky pro bojové sporty podle norem:</w:t>
            </w:r>
          </w:p>
          <w:p w:rsidR="00B9656A" w:rsidRPr="00B9656A" w:rsidRDefault="00B9656A" w:rsidP="00B9656A">
            <w:pPr>
              <w:jc w:val="both"/>
              <w:rPr>
                <w:rFonts w:ascii="Arial" w:eastAsia="Times New Roman" w:hAnsi="Arial" w:cs="Arial"/>
                <w:lang w:eastAsia="cs-CZ"/>
              </w:rPr>
            </w:pPr>
            <w:r w:rsidRPr="00B9656A">
              <w:rPr>
                <w:rFonts w:ascii="Arial" w:eastAsia="Times New Roman" w:hAnsi="Arial" w:cs="Arial"/>
                <w:b/>
                <w:lang w:eastAsia="cs-CZ"/>
              </w:rPr>
              <w:t xml:space="preserve">      ČSN EN 13277-1</w:t>
            </w:r>
            <w:r w:rsidRPr="00B9656A">
              <w:rPr>
                <w:rFonts w:ascii="Arial" w:eastAsia="Times New Roman" w:hAnsi="Arial" w:cs="Arial"/>
                <w:lang w:eastAsia="cs-CZ"/>
              </w:rPr>
              <w:t>, články (vzorky č. 2217_S, 2226_S, 2230_S, 2231_S, 2234_S, 2240_S):</w:t>
            </w:r>
          </w:p>
          <w:p w:rsidR="00B9656A" w:rsidRPr="00B9656A" w:rsidRDefault="00B9656A" w:rsidP="00B9656A">
            <w:pPr>
              <w:numPr>
                <w:ilvl w:val="0"/>
                <w:numId w:val="10"/>
              </w:numPr>
              <w:contextualSpacing/>
              <w:jc w:val="both"/>
              <w:rPr>
                <w:rFonts w:ascii="Arial" w:eastAsia="Times New Roman" w:hAnsi="Arial" w:cs="Arial"/>
                <w:lang w:eastAsia="cs-CZ"/>
              </w:rPr>
            </w:pPr>
            <w:r w:rsidRPr="00B9656A">
              <w:rPr>
                <w:rFonts w:ascii="Arial" w:eastAsia="Times New Roman" w:hAnsi="Arial" w:cs="Arial"/>
                <w:lang w:eastAsia="cs-CZ"/>
              </w:rPr>
              <w:t>čl. 4.2 – Nezávadnost (pro max. 3 různé plochou převažující barvy a/nebo materiály pro jeden vzorek)</w:t>
            </w:r>
          </w:p>
          <w:p w:rsidR="00B9656A" w:rsidRPr="00B9656A" w:rsidRDefault="00B9656A" w:rsidP="00B9656A">
            <w:pPr>
              <w:ind w:left="360"/>
              <w:jc w:val="both"/>
              <w:rPr>
                <w:rFonts w:ascii="Arial" w:eastAsia="Times New Roman" w:hAnsi="Arial" w:cs="Arial"/>
                <w:lang w:eastAsia="cs-CZ"/>
              </w:rPr>
            </w:pPr>
            <w:r w:rsidRPr="00B9656A">
              <w:rPr>
                <w:rFonts w:ascii="Arial" w:eastAsia="Times New Roman" w:hAnsi="Arial" w:cs="Arial"/>
                <w:b/>
                <w:lang w:eastAsia="cs-CZ"/>
              </w:rPr>
              <w:t>ČSN EN 13277-4,</w:t>
            </w:r>
            <w:r w:rsidRPr="00B9656A">
              <w:rPr>
                <w:rFonts w:ascii="Arial" w:eastAsia="Times New Roman" w:hAnsi="Arial" w:cs="Arial"/>
                <w:lang w:eastAsia="cs-CZ"/>
              </w:rPr>
              <w:t xml:space="preserve"> články (vzorky č. 2217_S, 2226_S, 2230_S):</w:t>
            </w:r>
          </w:p>
          <w:p w:rsidR="00B9656A" w:rsidRPr="00B9656A" w:rsidRDefault="00B9656A" w:rsidP="00B9656A">
            <w:pPr>
              <w:numPr>
                <w:ilvl w:val="0"/>
                <w:numId w:val="11"/>
              </w:numPr>
              <w:contextualSpacing/>
              <w:jc w:val="both"/>
              <w:rPr>
                <w:rFonts w:ascii="Arial" w:eastAsia="Times New Roman" w:hAnsi="Arial" w:cs="Arial"/>
                <w:lang w:eastAsia="cs-CZ"/>
              </w:rPr>
            </w:pPr>
            <w:r w:rsidRPr="00B9656A">
              <w:rPr>
                <w:rFonts w:ascii="Arial" w:eastAsia="Times New Roman" w:hAnsi="Arial" w:cs="Arial"/>
                <w:lang w:eastAsia="cs-CZ"/>
              </w:rPr>
              <w:t>čl. 4.3 – Hmotnost,</w:t>
            </w:r>
          </w:p>
          <w:p w:rsidR="00B9656A" w:rsidRPr="00B9656A" w:rsidRDefault="00B9656A" w:rsidP="00B9656A">
            <w:pPr>
              <w:numPr>
                <w:ilvl w:val="0"/>
                <w:numId w:val="11"/>
              </w:numPr>
              <w:contextualSpacing/>
              <w:jc w:val="both"/>
              <w:rPr>
                <w:rFonts w:ascii="Arial" w:eastAsia="Times New Roman" w:hAnsi="Arial" w:cs="Arial"/>
                <w:lang w:eastAsia="cs-CZ"/>
              </w:rPr>
            </w:pPr>
            <w:r w:rsidRPr="00B9656A">
              <w:rPr>
                <w:rFonts w:ascii="Arial" w:eastAsia="Times New Roman" w:hAnsi="Arial" w:cs="Arial"/>
                <w:lang w:eastAsia="cs-CZ"/>
              </w:rPr>
              <w:t>čl. 4.5 – Zorné pole,</w:t>
            </w:r>
          </w:p>
          <w:p w:rsidR="00B9656A" w:rsidRPr="00B9656A" w:rsidRDefault="00B9656A" w:rsidP="00B9656A">
            <w:pPr>
              <w:numPr>
                <w:ilvl w:val="0"/>
                <w:numId w:val="11"/>
              </w:numPr>
              <w:contextualSpacing/>
              <w:jc w:val="both"/>
              <w:rPr>
                <w:rFonts w:ascii="Arial" w:eastAsia="Times New Roman" w:hAnsi="Arial" w:cs="Arial"/>
                <w:lang w:eastAsia="cs-CZ"/>
              </w:rPr>
            </w:pPr>
            <w:r w:rsidRPr="00B9656A">
              <w:rPr>
                <w:rFonts w:ascii="Arial" w:eastAsia="Times New Roman" w:hAnsi="Arial" w:cs="Arial"/>
                <w:lang w:eastAsia="cs-CZ"/>
              </w:rPr>
              <w:t>čl. 4.6 – Upínací zařízení,</w:t>
            </w:r>
          </w:p>
          <w:p w:rsidR="00B9656A" w:rsidRPr="00B9656A" w:rsidRDefault="00B9656A" w:rsidP="00B9656A">
            <w:pPr>
              <w:numPr>
                <w:ilvl w:val="0"/>
                <w:numId w:val="11"/>
              </w:numPr>
              <w:contextualSpacing/>
              <w:jc w:val="both"/>
              <w:rPr>
                <w:rFonts w:ascii="Arial" w:eastAsia="Times New Roman" w:hAnsi="Arial" w:cs="Arial"/>
                <w:lang w:eastAsia="cs-CZ"/>
              </w:rPr>
            </w:pPr>
            <w:r w:rsidRPr="00B9656A">
              <w:rPr>
                <w:rFonts w:ascii="Arial" w:eastAsia="Times New Roman" w:hAnsi="Arial" w:cs="Arial"/>
                <w:lang w:eastAsia="cs-CZ"/>
              </w:rPr>
              <w:t>čl. 4.7 – Chráněná oblast,</w:t>
            </w:r>
          </w:p>
          <w:p w:rsidR="00B9656A" w:rsidRPr="00B9656A" w:rsidRDefault="00B9656A" w:rsidP="00B9656A">
            <w:pPr>
              <w:numPr>
                <w:ilvl w:val="0"/>
                <w:numId w:val="11"/>
              </w:numPr>
              <w:contextualSpacing/>
              <w:jc w:val="both"/>
              <w:rPr>
                <w:rFonts w:ascii="Arial" w:eastAsia="Times New Roman" w:hAnsi="Arial" w:cs="Arial"/>
                <w:lang w:eastAsia="cs-CZ"/>
              </w:rPr>
            </w:pPr>
            <w:r w:rsidRPr="00B9656A">
              <w:rPr>
                <w:rFonts w:ascii="Arial" w:eastAsia="Times New Roman" w:hAnsi="Arial" w:cs="Arial"/>
                <w:lang w:eastAsia="cs-CZ"/>
              </w:rPr>
              <w:t>čl. 4.8 – Odolnost proti nárazům (schopnost tlumení nárazů)</w:t>
            </w:r>
          </w:p>
          <w:p w:rsidR="00B9656A" w:rsidRPr="00B9656A" w:rsidRDefault="00B9656A" w:rsidP="00B9656A">
            <w:pPr>
              <w:ind w:left="360"/>
              <w:jc w:val="both"/>
              <w:rPr>
                <w:rFonts w:ascii="Arial" w:eastAsia="Times New Roman" w:hAnsi="Arial" w:cs="Arial"/>
                <w:lang w:eastAsia="cs-CZ"/>
              </w:rPr>
            </w:pPr>
            <w:r w:rsidRPr="00B9656A">
              <w:rPr>
                <w:rFonts w:ascii="Arial" w:eastAsia="Times New Roman" w:hAnsi="Arial" w:cs="Arial"/>
                <w:b/>
                <w:lang w:eastAsia="cs-CZ"/>
              </w:rPr>
              <w:t>ČSN EN 13277-5</w:t>
            </w:r>
            <w:r w:rsidRPr="00B9656A">
              <w:rPr>
                <w:rFonts w:ascii="Arial" w:eastAsia="Times New Roman" w:hAnsi="Arial" w:cs="Arial"/>
                <w:lang w:eastAsia="cs-CZ"/>
              </w:rPr>
              <w:t>, články (vzorky č. 2231_S, 2234_S, 2240_S):</w:t>
            </w:r>
          </w:p>
          <w:p w:rsidR="00B9656A" w:rsidRPr="00B9656A" w:rsidRDefault="00B9656A" w:rsidP="00B9656A">
            <w:pPr>
              <w:numPr>
                <w:ilvl w:val="0"/>
                <w:numId w:val="12"/>
              </w:numPr>
              <w:contextualSpacing/>
              <w:jc w:val="both"/>
              <w:rPr>
                <w:rFonts w:ascii="Arial" w:eastAsia="Times New Roman" w:hAnsi="Arial" w:cs="Arial"/>
                <w:lang w:eastAsia="cs-CZ"/>
              </w:rPr>
            </w:pPr>
            <w:r w:rsidRPr="00B9656A">
              <w:rPr>
                <w:rFonts w:ascii="Arial" w:eastAsia="Times New Roman" w:hAnsi="Arial" w:cs="Arial"/>
                <w:lang w:eastAsia="cs-CZ"/>
              </w:rPr>
              <w:t>čl. 4.3.1.2 – Chrániče genitálií pro muže</w:t>
            </w:r>
          </w:p>
          <w:p w:rsidR="00B9656A" w:rsidRPr="00B9656A" w:rsidRDefault="00B9656A" w:rsidP="00B9656A">
            <w:pPr>
              <w:numPr>
                <w:ilvl w:val="0"/>
                <w:numId w:val="12"/>
              </w:numPr>
              <w:contextualSpacing/>
              <w:jc w:val="both"/>
              <w:rPr>
                <w:rFonts w:ascii="Arial" w:eastAsia="Times New Roman" w:hAnsi="Arial" w:cs="Arial"/>
                <w:lang w:eastAsia="cs-CZ"/>
              </w:rPr>
            </w:pPr>
            <w:r w:rsidRPr="00B9656A">
              <w:rPr>
                <w:rFonts w:ascii="Arial" w:eastAsia="Times New Roman" w:hAnsi="Arial" w:cs="Arial"/>
                <w:lang w:eastAsia="cs-CZ"/>
              </w:rPr>
              <w:t>čl. 4.5 -  Upínání,</w:t>
            </w:r>
          </w:p>
          <w:p w:rsidR="00B9656A" w:rsidRPr="00B9656A" w:rsidRDefault="00B9656A" w:rsidP="00B9656A">
            <w:pPr>
              <w:numPr>
                <w:ilvl w:val="0"/>
                <w:numId w:val="12"/>
              </w:numPr>
              <w:contextualSpacing/>
              <w:jc w:val="both"/>
              <w:rPr>
                <w:rFonts w:ascii="Arial" w:eastAsia="Times New Roman" w:hAnsi="Arial" w:cs="Arial"/>
                <w:lang w:eastAsia="cs-CZ"/>
              </w:rPr>
            </w:pPr>
            <w:r w:rsidRPr="00B9656A">
              <w:rPr>
                <w:rFonts w:ascii="Arial" w:eastAsia="Times New Roman" w:hAnsi="Arial" w:cs="Arial"/>
                <w:lang w:eastAsia="cs-CZ"/>
              </w:rPr>
              <w:t>čl. 4.6 – Odolnost proti nárazům (schopnost tlumení nárazů)</w:t>
            </w:r>
          </w:p>
          <w:p w:rsidR="00814B5A" w:rsidRDefault="00814B5A" w:rsidP="00B9656A">
            <w:pPr>
              <w:jc w:val="both"/>
              <w:rPr>
                <w:rFonts w:ascii="Arial" w:hAnsi="Arial" w:cs="Arial"/>
                <w:szCs w:val="20"/>
              </w:rPr>
            </w:pPr>
            <w:r>
              <w:rPr>
                <w:rFonts w:ascii="Arial" w:hAnsi="Arial" w:cs="Arial"/>
                <w:szCs w:val="20"/>
              </w:rPr>
              <w:t xml:space="preserve">Dodavatel zrealizuje požadované akreditované zkoušky </w:t>
            </w:r>
            <w:r w:rsidR="00BD60F6">
              <w:rPr>
                <w:rFonts w:ascii="Arial" w:hAnsi="Arial" w:cs="Arial"/>
                <w:szCs w:val="20"/>
              </w:rPr>
              <w:t xml:space="preserve">ve výše uvedeném rozsahu a vyhotoví </w:t>
            </w:r>
            <w:r>
              <w:rPr>
                <w:rFonts w:ascii="Arial" w:hAnsi="Arial" w:cs="Arial"/>
                <w:szCs w:val="20"/>
              </w:rPr>
              <w:t>protokol</w:t>
            </w:r>
            <w:r w:rsidR="00B97BD3">
              <w:rPr>
                <w:rFonts w:ascii="Arial" w:hAnsi="Arial" w:cs="Arial"/>
                <w:szCs w:val="20"/>
              </w:rPr>
              <w:t>y</w:t>
            </w:r>
            <w:r>
              <w:rPr>
                <w:rFonts w:ascii="Arial" w:hAnsi="Arial" w:cs="Arial"/>
                <w:szCs w:val="20"/>
              </w:rPr>
              <w:t xml:space="preserve"> o vykonaných zkouškách v listinné podobě v českém ja</w:t>
            </w:r>
            <w:r w:rsidR="00B9656A">
              <w:rPr>
                <w:rFonts w:ascii="Arial" w:hAnsi="Arial" w:cs="Arial"/>
                <w:szCs w:val="20"/>
              </w:rPr>
              <w:t xml:space="preserve">zyce s barevnou fotodokumentací </w:t>
            </w:r>
            <w:r w:rsidR="00B9656A" w:rsidRPr="00263688">
              <w:rPr>
                <w:rFonts w:ascii="Arial" w:eastAsia="Times New Roman" w:hAnsi="Arial" w:cs="Arial"/>
                <w:b/>
                <w:lang w:eastAsia="cs-CZ"/>
              </w:rPr>
              <w:t>pro každý vzorek zvlášť.</w:t>
            </w:r>
          </w:p>
        </w:tc>
      </w:tr>
    </w:tbl>
    <w:p w:rsidR="00814B5A" w:rsidRDefault="00814B5A" w:rsidP="00814B5A">
      <w:pPr>
        <w:rPr>
          <w:rFonts w:ascii="Arial" w:hAnsi="Arial" w:cs="Arial"/>
          <w:sz w:val="16"/>
          <w:szCs w:val="16"/>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814B5A" w:rsidTr="00814B5A">
        <w:trPr>
          <w:trHeight w:val="1012"/>
        </w:trPr>
        <w:tc>
          <w:tcPr>
            <w:tcW w:w="0" w:type="auto"/>
            <w:vAlign w:val="center"/>
            <w:hideMark/>
          </w:tcPr>
          <w:p w:rsidR="00814B5A" w:rsidRDefault="00814B5A">
            <w:pPr>
              <w:jc w:val="both"/>
              <w:rPr>
                <w:rFonts w:ascii="Arial" w:hAnsi="Arial" w:cs="Arial"/>
                <w:b/>
                <w:sz w:val="24"/>
                <w:szCs w:val="24"/>
              </w:rPr>
            </w:pPr>
            <w:r>
              <w:rPr>
                <w:rFonts w:ascii="Arial" w:hAnsi="Arial" w:cs="Arial"/>
                <w:b/>
              </w:rPr>
              <w:lastRenderedPageBreak/>
              <w:t>Cenové, dodací a obchodní podmínky:</w:t>
            </w:r>
          </w:p>
          <w:p w:rsidR="00814B5A" w:rsidRDefault="00814B5A" w:rsidP="0008255D">
            <w:pPr>
              <w:jc w:val="both"/>
              <w:rPr>
                <w:rFonts w:ascii="Arial" w:hAnsi="Arial" w:cs="Arial"/>
                <w:b/>
              </w:rPr>
            </w:pPr>
            <w:r>
              <w:rPr>
                <w:rFonts w:ascii="Arial" w:hAnsi="Arial" w:cs="Arial"/>
              </w:rPr>
              <w:t>C</w:t>
            </w:r>
            <w:r>
              <w:rPr>
                <w:rStyle w:val="detail"/>
                <w:rFonts w:ascii="Arial" w:hAnsi="Arial" w:cs="Arial"/>
              </w:rPr>
              <w:t>elková cena za požadované akreditované zkoušky</w:t>
            </w:r>
            <w:r w:rsidR="00B97BD3">
              <w:rPr>
                <w:rStyle w:val="detail"/>
                <w:rFonts w:ascii="Arial" w:hAnsi="Arial" w:cs="Arial"/>
              </w:rPr>
              <w:t xml:space="preserve"> a vyhotovení protokolů</w:t>
            </w:r>
            <w:r w:rsidR="00BD60F6">
              <w:rPr>
                <w:rStyle w:val="detail"/>
                <w:rFonts w:ascii="Arial" w:hAnsi="Arial" w:cs="Arial"/>
              </w:rPr>
              <w:t xml:space="preserve"> o zkoušce</w:t>
            </w:r>
            <w:r>
              <w:rPr>
                <w:rStyle w:val="detail"/>
                <w:rFonts w:ascii="Arial" w:hAnsi="Arial" w:cs="Arial"/>
              </w:rPr>
              <w:t xml:space="preserve"> činí </w:t>
            </w:r>
            <w:r w:rsidR="00991C5C">
              <w:rPr>
                <w:rStyle w:val="detail"/>
                <w:rFonts w:ascii="Arial" w:hAnsi="Arial" w:cs="Arial"/>
                <w:b/>
              </w:rPr>
              <w:t>59</w:t>
            </w:r>
            <w:r w:rsidR="0065137A">
              <w:rPr>
                <w:rStyle w:val="detail"/>
                <w:rFonts w:ascii="Arial" w:hAnsi="Arial" w:cs="Arial"/>
                <w:b/>
              </w:rPr>
              <w:t>.</w:t>
            </w:r>
            <w:r w:rsidR="00991C5C">
              <w:rPr>
                <w:rStyle w:val="detail"/>
                <w:rFonts w:ascii="Arial" w:hAnsi="Arial" w:cs="Arial"/>
                <w:b/>
              </w:rPr>
              <w:t>700</w:t>
            </w:r>
            <w:r w:rsidR="00A80813" w:rsidRPr="00A80813">
              <w:rPr>
                <w:rStyle w:val="detail"/>
                <w:rFonts w:ascii="Arial" w:hAnsi="Arial" w:cs="Arial"/>
                <w:b/>
              </w:rPr>
              <w:t>,00 Kč</w:t>
            </w:r>
            <w:r w:rsidR="00A80813">
              <w:rPr>
                <w:rStyle w:val="detail"/>
                <w:rFonts w:ascii="Arial" w:hAnsi="Arial" w:cs="Arial"/>
              </w:rPr>
              <w:t xml:space="preserve"> </w:t>
            </w:r>
            <w:r>
              <w:rPr>
                <w:rStyle w:val="detail"/>
                <w:rFonts w:ascii="Arial" w:hAnsi="Arial" w:cs="Arial"/>
              </w:rPr>
              <w:t xml:space="preserve">bez 21 % DPH, resp. </w:t>
            </w:r>
            <w:r w:rsidR="0065137A">
              <w:rPr>
                <w:rStyle w:val="detail"/>
                <w:rFonts w:ascii="Arial" w:hAnsi="Arial" w:cs="Arial"/>
                <w:b/>
              </w:rPr>
              <w:t>72.237,00</w:t>
            </w:r>
            <w:r>
              <w:rPr>
                <w:rStyle w:val="detail"/>
                <w:rFonts w:ascii="Arial" w:hAnsi="Arial" w:cs="Arial"/>
                <w:b/>
              </w:rPr>
              <w:t xml:space="preserve"> Kč</w:t>
            </w:r>
            <w:r>
              <w:rPr>
                <w:rStyle w:val="detail"/>
                <w:rFonts w:ascii="Arial" w:hAnsi="Arial" w:cs="Arial"/>
              </w:rPr>
              <w:t xml:space="preserve"> včetně 21 % DPH. </w:t>
            </w:r>
            <w:r w:rsidR="0008255D" w:rsidRPr="0008255D">
              <w:rPr>
                <w:rFonts w:ascii="Arial" w:hAnsi="Arial" w:cs="Arial"/>
                <w:spacing w:val="-4"/>
              </w:rPr>
              <w:t xml:space="preserve">V případě zkoušek prováděných podle čl. 4.2 normy ČSN EN 13277-1 bude proplacen skutečný počet provedených zkoušek (budou-li u některého z výrobků zkoušeny jen 2 barvy a/nebo materiály, proplatí se 2 zkoušky – tudíž budou naúčtovány 2/3 ceny za tuto zkoušku. Bude-li u některého z výrobků zkoušena jen 1 barva a materiál, proplatí se 1 zkouška – tudíž bude naúčtována 1/3 ceny za tuto zkoušku. </w:t>
            </w:r>
            <w:r w:rsidR="0008255D">
              <w:rPr>
                <w:rFonts w:ascii="Arial" w:hAnsi="Arial" w:cs="Arial"/>
                <w:spacing w:val="-4"/>
                <w:u w:val="single"/>
              </w:rPr>
              <w:t>Konečná cena uvedená v nabídce dodavatele bude</w:t>
            </w:r>
            <w:r w:rsidR="0008255D" w:rsidRPr="0008255D">
              <w:rPr>
                <w:rFonts w:ascii="Arial" w:hAnsi="Arial" w:cs="Arial"/>
                <w:spacing w:val="-4"/>
                <w:u w:val="single"/>
              </w:rPr>
              <w:t xml:space="preserve"> cenou konečnou a nepřekročitelnou</w:t>
            </w:r>
            <w:r w:rsidR="0008255D" w:rsidRPr="0008255D">
              <w:rPr>
                <w:rFonts w:ascii="Arial" w:hAnsi="Arial" w:cs="Arial"/>
                <w:spacing w:val="-4"/>
              </w:rPr>
              <w:t>.</w:t>
            </w:r>
          </w:p>
        </w:tc>
      </w:tr>
    </w:tbl>
    <w:p w:rsidR="00814B5A" w:rsidRDefault="00814B5A" w:rsidP="00814B5A">
      <w:pPr>
        <w:rPr>
          <w:rFonts w:ascii="Arial" w:hAnsi="Arial" w:cs="Arial"/>
          <w:sz w:val="16"/>
          <w:szCs w:val="16"/>
        </w:r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814B5A" w:rsidTr="00814B5A">
        <w:trPr>
          <w:trHeight w:val="759"/>
        </w:trPr>
        <w:tc>
          <w:tcPr>
            <w:tcW w:w="5000" w:type="pct"/>
            <w:vAlign w:val="center"/>
            <w:hideMark/>
          </w:tcPr>
          <w:p w:rsidR="00814B5A" w:rsidRDefault="00814B5A" w:rsidP="00D24162">
            <w:pPr>
              <w:jc w:val="both"/>
              <w:rPr>
                <w:rFonts w:ascii="Arial" w:hAnsi="Arial" w:cs="Arial"/>
                <w:b/>
                <w:sz w:val="24"/>
                <w:szCs w:val="24"/>
              </w:rPr>
            </w:pPr>
            <w:r>
              <w:rPr>
                <w:rFonts w:ascii="Arial" w:hAnsi="Arial" w:cs="Arial"/>
                <w:b/>
              </w:rPr>
              <w:t xml:space="preserve">Termín předání vzorku: </w:t>
            </w:r>
          </w:p>
          <w:p w:rsidR="00814B5A" w:rsidRDefault="00A80813" w:rsidP="00D24162">
            <w:pPr>
              <w:jc w:val="both"/>
              <w:rPr>
                <w:rFonts w:ascii="Arial" w:hAnsi="Arial" w:cs="Arial"/>
                <w:b/>
              </w:rPr>
            </w:pPr>
            <w:r>
              <w:rPr>
                <w:rStyle w:val="detail"/>
                <w:rFonts w:ascii="Arial" w:hAnsi="Arial" w:cs="Arial"/>
              </w:rPr>
              <w:t>Vzo</w:t>
            </w:r>
            <w:r w:rsidR="0065137A">
              <w:rPr>
                <w:rStyle w:val="detail"/>
                <w:rFonts w:ascii="Arial" w:hAnsi="Arial" w:cs="Arial"/>
              </w:rPr>
              <w:t>rky</w:t>
            </w:r>
            <w:r w:rsidR="00AC7E00">
              <w:rPr>
                <w:rStyle w:val="detail"/>
                <w:rFonts w:ascii="Arial" w:hAnsi="Arial" w:cs="Arial"/>
              </w:rPr>
              <w:t xml:space="preserve"> </w:t>
            </w:r>
            <w:r w:rsidR="0065137A">
              <w:rPr>
                <w:rStyle w:val="detail"/>
                <w:rFonts w:ascii="Arial" w:hAnsi="Arial" w:cs="Arial"/>
              </w:rPr>
              <w:t>(po 2 ks</w:t>
            </w:r>
            <w:r w:rsidR="00A51ACF">
              <w:rPr>
                <w:rStyle w:val="detail"/>
                <w:rFonts w:ascii="Arial" w:hAnsi="Arial" w:cs="Arial"/>
              </w:rPr>
              <w:t xml:space="preserve"> od každého vzorku</w:t>
            </w:r>
            <w:r>
              <w:rPr>
                <w:rStyle w:val="detail"/>
                <w:rFonts w:ascii="Arial" w:hAnsi="Arial" w:cs="Arial"/>
              </w:rPr>
              <w:t xml:space="preserve">) k laboratorním zkouškám </w:t>
            </w:r>
            <w:r w:rsidR="0065137A">
              <w:rPr>
                <w:rStyle w:val="detail"/>
                <w:rFonts w:ascii="Arial" w:hAnsi="Arial" w:cs="Arial"/>
              </w:rPr>
              <w:t>budou</w:t>
            </w:r>
            <w:r w:rsidR="00AC7E00">
              <w:rPr>
                <w:rStyle w:val="detail"/>
                <w:rFonts w:ascii="Arial" w:hAnsi="Arial" w:cs="Arial"/>
              </w:rPr>
              <w:t xml:space="preserve"> </w:t>
            </w:r>
            <w:r w:rsidR="0065137A">
              <w:rPr>
                <w:rStyle w:val="detail"/>
                <w:rFonts w:ascii="Arial" w:hAnsi="Arial" w:cs="Arial"/>
              </w:rPr>
              <w:t>zaslány poštou na adresu</w:t>
            </w:r>
            <w:r w:rsidR="00A51ACF">
              <w:rPr>
                <w:rStyle w:val="detail"/>
                <w:rFonts w:ascii="Arial" w:hAnsi="Arial" w:cs="Arial"/>
              </w:rPr>
              <w:t xml:space="preserve"> </w:t>
            </w:r>
            <w:r w:rsidR="0065137A">
              <w:rPr>
                <w:rStyle w:val="detail"/>
                <w:rFonts w:ascii="Arial" w:hAnsi="Arial" w:cs="Arial"/>
              </w:rPr>
              <w:t>dodavatele</w:t>
            </w:r>
            <w:r>
              <w:rPr>
                <w:rStyle w:val="detail"/>
                <w:rFonts w:ascii="Arial" w:hAnsi="Arial" w:cs="Arial"/>
              </w:rPr>
              <w:t xml:space="preserve"> </w:t>
            </w:r>
            <w:r w:rsidR="0065137A">
              <w:rPr>
                <w:rFonts w:ascii="Arial" w:hAnsi="Arial" w:cs="Arial"/>
              </w:rPr>
              <w:t xml:space="preserve">Institut pro testování a certifikaci, a. s., </w:t>
            </w:r>
            <w:r w:rsidR="00A51ACF" w:rsidRPr="00A51ACF">
              <w:rPr>
                <w:rFonts w:ascii="Arial" w:hAnsi="Arial" w:cs="Arial"/>
              </w:rPr>
              <w:t>zkušebna obuvi a osobních ochranných prostředků</w:t>
            </w:r>
            <w:r w:rsidR="00A51ACF">
              <w:rPr>
                <w:rFonts w:ascii="Arial" w:hAnsi="Arial" w:cs="Arial"/>
              </w:rPr>
              <w:t>,</w:t>
            </w:r>
            <w:r w:rsidR="00A51ACF" w:rsidRPr="00A51ACF">
              <w:rPr>
                <w:rFonts w:ascii="Arial" w:hAnsi="Arial" w:cs="Arial"/>
              </w:rPr>
              <w:t> Areál Svit 34. budova, Vavrečkova 5657, 762 17 Zlín, Česká republika</w:t>
            </w:r>
            <w:r w:rsidR="00A51ACF">
              <w:rPr>
                <w:rFonts w:ascii="Arial" w:hAnsi="Arial" w:cs="Arial"/>
              </w:rPr>
              <w:t>.</w:t>
            </w:r>
          </w:p>
        </w:tc>
      </w:tr>
    </w:tbl>
    <w:p w:rsidR="00814B5A" w:rsidRDefault="00814B5A" w:rsidP="00D24162">
      <w:pPr>
        <w:spacing w:line="240" w:lineRule="auto"/>
        <w:rPr>
          <w:rFonts w:ascii="Arial" w:hAnsi="Arial" w:cs="Arial"/>
          <w:sz w:val="16"/>
          <w:szCs w:val="16"/>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814B5A" w:rsidTr="00814B5A">
        <w:trPr>
          <w:trHeight w:val="759"/>
        </w:trPr>
        <w:tc>
          <w:tcPr>
            <w:tcW w:w="0" w:type="auto"/>
            <w:vAlign w:val="center"/>
            <w:hideMark/>
          </w:tcPr>
          <w:p w:rsidR="00814B5A" w:rsidRDefault="00814B5A">
            <w:pPr>
              <w:jc w:val="both"/>
              <w:rPr>
                <w:rFonts w:ascii="Arial" w:hAnsi="Arial" w:cs="Arial"/>
                <w:b/>
                <w:sz w:val="24"/>
                <w:szCs w:val="24"/>
              </w:rPr>
            </w:pPr>
            <w:r>
              <w:rPr>
                <w:rFonts w:ascii="Arial" w:hAnsi="Arial" w:cs="Arial"/>
                <w:b/>
              </w:rPr>
              <w:t xml:space="preserve">Termín předání díla: </w:t>
            </w:r>
          </w:p>
          <w:p w:rsidR="00D24162" w:rsidRPr="00D24162" w:rsidRDefault="00814B5A" w:rsidP="00D24162">
            <w:pPr>
              <w:jc w:val="both"/>
              <w:rPr>
                <w:rFonts w:ascii="Arial" w:hAnsi="Arial" w:cs="Arial"/>
                <w:spacing w:val="-4"/>
                <w:u w:val="single"/>
              </w:rPr>
            </w:pPr>
            <w:r>
              <w:rPr>
                <w:rFonts w:ascii="Arial" w:hAnsi="Arial" w:cs="Arial"/>
              </w:rPr>
              <w:t>Z</w:t>
            </w:r>
            <w:r>
              <w:rPr>
                <w:rStyle w:val="detail"/>
                <w:rFonts w:ascii="Arial" w:hAnsi="Arial" w:cs="Arial"/>
              </w:rPr>
              <w:t>hotovitel se zavazuje vykonat zkoušky a předat protokoly o vykonaných zkoušká</w:t>
            </w:r>
            <w:r w:rsidR="00B95150">
              <w:rPr>
                <w:rStyle w:val="detail"/>
                <w:rFonts w:ascii="Arial" w:hAnsi="Arial" w:cs="Arial"/>
              </w:rPr>
              <w:t xml:space="preserve">ch odběrateli (zadavateli) </w:t>
            </w:r>
            <w:r w:rsidR="00A80813">
              <w:rPr>
                <w:rStyle w:val="detail"/>
                <w:rFonts w:ascii="Arial" w:hAnsi="Arial" w:cs="Arial"/>
              </w:rPr>
              <w:t xml:space="preserve">nejpozději </w:t>
            </w:r>
            <w:r w:rsidR="00B95150">
              <w:rPr>
                <w:rStyle w:val="detail"/>
                <w:rFonts w:ascii="Arial" w:hAnsi="Arial" w:cs="Arial"/>
              </w:rPr>
              <w:t xml:space="preserve">do </w:t>
            </w:r>
            <w:r w:rsidR="00263688">
              <w:rPr>
                <w:rStyle w:val="detail"/>
                <w:rFonts w:ascii="Arial" w:hAnsi="Arial" w:cs="Arial"/>
              </w:rPr>
              <w:t xml:space="preserve">20 pracovních </w:t>
            </w:r>
            <w:r w:rsidR="000402A7">
              <w:rPr>
                <w:rStyle w:val="detail"/>
                <w:rFonts w:ascii="Arial" w:hAnsi="Arial" w:cs="Arial"/>
              </w:rPr>
              <w:t>dnů ode dne doručení vzorků</w:t>
            </w:r>
            <w:r>
              <w:rPr>
                <w:rStyle w:val="detail"/>
                <w:rFonts w:ascii="Arial" w:hAnsi="Arial" w:cs="Arial"/>
              </w:rPr>
              <w:t xml:space="preserve"> laboratoři</w:t>
            </w:r>
            <w:r w:rsidRPr="00D24162">
              <w:rPr>
                <w:rStyle w:val="detail"/>
                <w:rFonts w:ascii="Arial" w:hAnsi="Arial" w:cs="Arial"/>
              </w:rPr>
              <w:t>.</w:t>
            </w:r>
            <w:r w:rsidR="00D24162" w:rsidRPr="00D24162">
              <w:rPr>
                <w:rStyle w:val="detail"/>
                <w:rFonts w:ascii="Arial" w:hAnsi="Arial" w:cs="Arial"/>
              </w:rPr>
              <w:t xml:space="preserve"> </w:t>
            </w:r>
            <w:r w:rsidR="00D24162" w:rsidRPr="00D24162">
              <w:rPr>
                <w:rFonts w:ascii="Arial" w:hAnsi="Arial" w:cs="Arial"/>
                <w:spacing w:val="-4"/>
              </w:rPr>
              <w:t>Zadavatel požaduje navrácení posuzovaných vzorků společně s plněním této veřejné zakázky. V případě úplného zničení vzorků požaduje potvrzení o této skutečnosti.</w:t>
            </w:r>
          </w:p>
          <w:p w:rsidR="00814B5A" w:rsidRDefault="00814B5A" w:rsidP="00263688">
            <w:pPr>
              <w:jc w:val="both"/>
              <w:rPr>
                <w:rFonts w:ascii="Arial" w:hAnsi="Arial" w:cs="Arial"/>
                <w:b/>
              </w:rPr>
            </w:pPr>
          </w:p>
        </w:tc>
      </w:tr>
      <w:tr w:rsidR="00814B5A" w:rsidTr="00814B5A">
        <w:tc>
          <w:tcPr>
            <w:tcW w:w="0" w:type="auto"/>
            <w:vAlign w:val="center"/>
            <w:hideMark/>
          </w:tcPr>
          <w:p w:rsidR="00A51ACF" w:rsidRDefault="00A51ACF">
            <w:pPr>
              <w:jc w:val="both"/>
              <w:rPr>
                <w:rStyle w:val="detail"/>
                <w:rFonts w:ascii="Arial" w:hAnsi="Arial" w:cs="Arial"/>
                <w:b/>
              </w:rPr>
            </w:pPr>
          </w:p>
          <w:p w:rsidR="00A51ACF" w:rsidRDefault="00A51ACF">
            <w:pPr>
              <w:jc w:val="both"/>
              <w:rPr>
                <w:rStyle w:val="detail"/>
                <w:rFonts w:ascii="Arial" w:hAnsi="Arial" w:cs="Arial"/>
                <w:b/>
              </w:rPr>
            </w:pPr>
          </w:p>
          <w:p w:rsidR="00814B5A" w:rsidRDefault="00814B5A">
            <w:pPr>
              <w:jc w:val="both"/>
              <w:rPr>
                <w:rStyle w:val="detail"/>
              </w:rPr>
            </w:pPr>
            <w:r>
              <w:rPr>
                <w:rStyle w:val="detail"/>
                <w:rFonts w:ascii="Arial" w:hAnsi="Arial" w:cs="Arial"/>
                <w:b/>
              </w:rPr>
              <w:t>Místo předání plnění:</w:t>
            </w:r>
            <w:r>
              <w:rPr>
                <w:rStyle w:val="detail"/>
                <w:rFonts w:ascii="Arial" w:hAnsi="Arial" w:cs="Arial"/>
              </w:rPr>
              <w:t xml:space="preserve"> </w:t>
            </w:r>
          </w:p>
          <w:p w:rsidR="00814B5A" w:rsidRDefault="009E58B2" w:rsidP="009E58B2">
            <w:pPr>
              <w:jc w:val="both"/>
              <w:rPr>
                <w:rStyle w:val="detail"/>
                <w:rFonts w:ascii="Arial" w:hAnsi="Arial" w:cs="Arial"/>
              </w:rPr>
            </w:pPr>
            <w:r>
              <w:rPr>
                <w:rStyle w:val="detail"/>
                <w:rFonts w:ascii="Arial" w:hAnsi="Arial" w:cs="Arial"/>
              </w:rPr>
              <w:t>Místem předání plnění je sídlo odběratele – Česká obchodní inspekce, Ústřední inspektorát, Štěpánská 15 120 00 Praha 2</w:t>
            </w:r>
          </w:p>
        </w:tc>
      </w:tr>
    </w:tbl>
    <w:p w:rsidR="00814B5A" w:rsidRDefault="00814B5A" w:rsidP="00814B5A">
      <w:pPr>
        <w:rPr>
          <w:rFonts w:ascii="Arial" w:hAnsi="Arial" w:cs="Arial"/>
          <w:sz w:val="16"/>
          <w:szCs w:val="16"/>
        </w:r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814B5A" w:rsidTr="00814B5A">
        <w:trPr>
          <w:trHeight w:val="759"/>
        </w:trPr>
        <w:tc>
          <w:tcPr>
            <w:tcW w:w="5000" w:type="pct"/>
            <w:vAlign w:val="center"/>
            <w:hideMark/>
          </w:tcPr>
          <w:p w:rsidR="00814B5A" w:rsidRDefault="00814B5A">
            <w:pPr>
              <w:jc w:val="both"/>
              <w:rPr>
                <w:rFonts w:ascii="Arial" w:hAnsi="Arial" w:cs="Arial"/>
                <w:sz w:val="24"/>
                <w:szCs w:val="24"/>
              </w:rPr>
            </w:pPr>
            <w:r>
              <w:rPr>
                <w:rFonts w:ascii="Arial" w:hAnsi="Arial" w:cs="Arial"/>
                <w:b/>
              </w:rPr>
              <w:t>Kontaktní osoba:</w:t>
            </w:r>
            <w:r>
              <w:rPr>
                <w:rFonts w:ascii="Arial" w:hAnsi="Arial" w:cs="Arial"/>
              </w:rPr>
              <w:t xml:space="preserve"> </w:t>
            </w:r>
          </w:p>
          <w:p w:rsidR="00814B5A" w:rsidRDefault="00A80813" w:rsidP="00A80813">
            <w:pPr>
              <w:jc w:val="both"/>
              <w:rPr>
                <w:rFonts w:ascii="Arial" w:hAnsi="Arial" w:cs="Arial"/>
              </w:rPr>
            </w:pPr>
            <w:r>
              <w:rPr>
                <w:rStyle w:val="detail"/>
                <w:rFonts w:ascii="Arial" w:hAnsi="Arial" w:cs="Arial"/>
              </w:rPr>
              <w:t>Ing. Michal Kříž</w:t>
            </w:r>
            <w:r w:rsidR="00814B5A">
              <w:rPr>
                <w:rStyle w:val="detail"/>
                <w:rFonts w:ascii="Arial" w:hAnsi="Arial" w:cs="Arial"/>
              </w:rPr>
              <w:t>, vedoucí oddělení techniky OMPK, Česká obchodní inspekce – ústřední inspekto</w:t>
            </w:r>
            <w:r>
              <w:rPr>
                <w:rStyle w:val="detail"/>
                <w:rFonts w:ascii="Arial" w:hAnsi="Arial" w:cs="Arial"/>
              </w:rPr>
              <w:t>rát; telefon: (+420) 296 366 116 / email: mkriz</w:t>
            </w:r>
            <w:r w:rsidR="00814B5A">
              <w:rPr>
                <w:rStyle w:val="detail"/>
                <w:rFonts w:ascii="Arial" w:hAnsi="Arial" w:cs="Arial"/>
              </w:rPr>
              <w:t>@coi.cz</w:t>
            </w:r>
          </w:p>
        </w:tc>
      </w:tr>
    </w:tbl>
    <w:p w:rsidR="00814B5A" w:rsidRDefault="00814B5A" w:rsidP="00814B5A">
      <w:pPr>
        <w:rPr>
          <w:rFonts w:ascii="Arial" w:hAnsi="Arial" w:cs="Arial"/>
          <w:sz w:val="16"/>
          <w:szCs w:val="16"/>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814B5A" w:rsidTr="00814B5A">
        <w:trPr>
          <w:trHeight w:val="1265"/>
        </w:trPr>
        <w:tc>
          <w:tcPr>
            <w:tcW w:w="0" w:type="auto"/>
            <w:vAlign w:val="center"/>
            <w:hideMark/>
          </w:tcPr>
          <w:p w:rsidR="00814B5A" w:rsidRDefault="00814B5A">
            <w:pPr>
              <w:jc w:val="both"/>
              <w:rPr>
                <w:rFonts w:ascii="Arial" w:hAnsi="Arial" w:cs="Arial"/>
                <w:sz w:val="24"/>
                <w:szCs w:val="24"/>
              </w:rPr>
            </w:pPr>
            <w:r>
              <w:rPr>
                <w:rFonts w:ascii="Arial" w:hAnsi="Arial" w:cs="Arial"/>
                <w:b/>
              </w:rPr>
              <w:t>Podmínky plnění:</w:t>
            </w:r>
          </w:p>
          <w:p w:rsidR="00814B5A" w:rsidRDefault="00814B5A" w:rsidP="000455FA">
            <w:pPr>
              <w:jc w:val="both"/>
              <w:rPr>
                <w:rFonts w:ascii="Arial" w:hAnsi="Arial" w:cs="Arial"/>
                <w:b/>
              </w:rPr>
            </w:pPr>
            <w:r>
              <w:rPr>
                <w:rStyle w:val="detail"/>
                <w:rFonts w:ascii="Arial" w:hAnsi="Arial" w:cs="Arial"/>
              </w:rPr>
              <w:t>Dodavatel odpovídá za rozsah a správnost provedených zkoušek sp</w:t>
            </w:r>
            <w:r w:rsidR="00B97BD3">
              <w:rPr>
                <w:rStyle w:val="detail"/>
                <w:rFonts w:ascii="Arial" w:hAnsi="Arial" w:cs="Arial"/>
              </w:rPr>
              <w:t>ecifikovaných v této objednávce</w:t>
            </w:r>
            <w:r>
              <w:rPr>
                <w:rStyle w:val="detail"/>
                <w:rFonts w:ascii="Arial" w:hAnsi="Arial" w:cs="Arial"/>
              </w:rPr>
              <w:t xml:space="preserve"> s vynaložením svých nejlepších odborných znalostí a schopností, s důrazem na ochranu zájmů smluvních stran. Veškeré náhrady, včetně případné náhrady škody</w:t>
            </w:r>
            <w:r w:rsidR="000455FA">
              <w:rPr>
                <w:rStyle w:val="detail"/>
                <w:rFonts w:ascii="Arial" w:hAnsi="Arial" w:cs="Arial"/>
              </w:rPr>
              <w:t xml:space="preserve"> a/nebo smluvní pokuty</w:t>
            </w:r>
            <w:r w:rsidR="006D6AEB">
              <w:rPr>
                <w:rStyle w:val="detail"/>
                <w:rFonts w:ascii="Arial" w:hAnsi="Arial" w:cs="Arial"/>
              </w:rPr>
              <w:t>,</w:t>
            </w:r>
            <w:r>
              <w:rPr>
                <w:rStyle w:val="detail"/>
                <w:rFonts w:ascii="Arial" w:hAnsi="Arial" w:cs="Arial"/>
              </w:rPr>
              <w:t xml:space="preserve"> budou uhrazeny nejpozději do 21 dnů ode dne vystavení faktury odběratelem.</w:t>
            </w:r>
          </w:p>
        </w:tc>
      </w:tr>
    </w:tbl>
    <w:p w:rsidR="00814B5A" w:rsidRDefault="00814B5A" w:rsidP="00814B5A">
      <w:pPr>
        <w:spacing w:after="160"/>
        <w:rPr>
          <w:rFonts w:ascii="Arial" w:hAnsi="Arial" w:cs="Arial"/>
          <w:sz w:val="16"/>
          <w:szCs w:val="16"/>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814B5A" w:rsidTr="00814B5A">
        <w:trPr>
          <w:trHeight w:val="2530"/>
        </w:trPr>
        <w:tc>
          <w:tcPr>
            <w:tcW w:w="0" w:type="auto"/>
            <w:vAlign w:val="center"/>
            <w:hideMark/>
          </w:tcPr>
          <w:p w:rsidR="00814B5A" w:rsidRDefault="00814B5A">
            <w:pPr>
              <w:jc w:val="both"/>
              <w:rPr>
                <w:rFonts w:ascii="Arial" w:hAnsi="Arial" w:cs="Arial"/>
                <w:b/>
                <w:sz w:val="24"/>
                <w:szCs w:val="24"/>
              </w:rPr>
            </w:pPr>
            <w:r>
              <w:rPr>
                <w:rFonts w:ascii="Arial" w:hAnsi="Arial" w:cs="Arial"/>
                <w:b/>
              </w:rPr>
              <w:t>Obchodní podmínky:</w:t>
            </w:r>
          </w:p>
          <w:p w:rsidR="00814B5A" w:rsidRDefault="00814B5A" w:rsidP="000402A7">
            <w:pPr>
              <w:jc w:val="both"/>
              <w:rPr>
                <w:rFonts w:ascii="Arial" w:hAnsi="Arial" w:cs="Arial"/>
                <w:b/>
              </w:rPr>
            </w:pPr>
            <w:r>
              <w:rPr>
                <w:rStyle w:val="detail"/>
                <w:rFonts w:ascii="Arial" w:hAnsi="Arial" w:cs="Arial"/>
              </w:rPr>
              <w:t>Odběratel neposkytuje žádné zálohy. Splatnost faktury je bezh</w:t>
            </w:r>
            <w:r w:rsidR="00B97BD3">
              <w:rPr>
                <w:rStyle w:val="detail"/>
                <w:rFonts w:ascii="Arial" w:hAnsi="Arial" w:cs="Arial"/>
              </w:rPr>
              <w:t>otovostně 21</w:t>
            </w:r>
            <w:r>
              <w:rPr>
                <w:rStyle w:val="detail"/>
                <w:rFonts w:ascii="Arial" w:hAnsi="Arial" w:cs="Arial"/>
              </w:rPr>
              <w:t xml:space="preserve"> dnů ode dne dodání, resp. převzetí </w:t>
            </w:r>
            <w:r w:rsidR="000402A7">
              <w:rPr>
                <w:rStyle w:val="detail"/>
                <w:rFonts w:ascii="Arial" w:hAnsi="Arial" w:cs="Arial"/>
              </w:rPr>
              <w:t>plnění</w:t>
            </w:r>
            <w:bookmarkStart w:id="0" w:name="_GoBack"/>
            <w:bookmarkEnd w:id="0"/>
            <w:r>
              <w:rPr>
                <w:rStyle w:val="detail"/>
                <w:rFonts w:ascii="Arial" w:hAnsi="Arial" w:cs="Arial"/>
              </w:rPr>
              <w:t xml:space="preserve"> bez výhrad. V případě nedodržení termínu pro dodání, překročení lhůty pro vyřízení reklamace či opožděné platby smluvní pokuty se dodavatel zavazuje uhradit smluvní pokutu ve výši 0,5 % z celkové ceny objednávky za každý i započatý den prodlení. Případné reklamace uplatněné odběratelem musí být předem vyřízeny, nejpozději do 30 kalendářních dnů ode dne jejich uplatnění. Reklamace, včetně posouzení vady, nesmí být žádným způsobem zpoplatněna. Veškeré náklady na uplatnění, včetně vyřízení, budou na vrub nákladů dodavatele.</w:t>
            </w:r>
          </w:p>
        </w:tc>
      </w:tr>
      <w:tr w:rsidR="00814B5A" w:rsidRPr="005475C7" w:rsidTr="005475C7">
        <w:trPr>
          <w:trHeight w:val="2783"/>
        </w:trPr>
        <w:tc>
          <w:tcPr>
            <w:tcW w:w="0" w:type="auto"/>
            <w:vAlign w:val="center"/>
          </w:tcPr>
          <w:p w:rsidR="005475C7" w:rsidRPr="005475C7" w:rsidRDefault="005475C7" w:rsidP="005475C7">
            <w:pPr>
              <w:jc w:val="both"/>
              <w:rPr>
                <w:rFonts w:ascii="Arial" w:hAnsi="Arial" w:cs="Arial"/>
              </w:rPr>
            </w:pPr>
            <w:r w:rsidRPr="005475C7">
              <w:rPr>
                <w:rFonts w:ascii="Arial" w:hAnsi="Arial" w:cs="Arial"/>
                <w:b/>
              </w:rPr>
              <w:lastRenderedPageBreak/>
              <w:t>Objednávku prosím potvrďte a vraťte objednateli. Objednávku lze potvrdit e-mailovou zprávou Ing. Josefovi Hrubému na e-mail: johruby@coi.cz nebo potvrzení zaslat datovou schránkou popř. v listinné podobě na adresu: Česká obchodní inspekce, ústřední inspektorát, Štěpánská 567/15, 120 00 Praha 2 k rukám Ing. Josefa Hrubého</w:t>
            </w:r>
            <w:r w:rsidRPr="005475C7">
              <w:rPr>
                <w:rFonts w:ascii="Arial" w:hAnsi="Arial" w:cs="Arial"/>
              </w:rPr>
              <w:t>. V případě, že dodavatel nedoručí potvrzení objednávky do 5 pracovních dnů od jejího doručení, je objednatel oprávněn vzít objednávku zpět, a to bez nároku dodavatele na náhradu škody.</w:t>
            </w:r>
          </w:p>
          <w:p w:rsidR="005475C7" w:rsidRPr="005475C7" w:rsidRDefault="005475C7" w:rsidP="005475C7">
            <w:pPr>
              <w:jc w:val="both"/>
              <w:rPr>
                <w:rFonts w:ascii="Arial" w:hAnsi="Arial" w:cs="Arial"/>
              </w:rPr>
            </w:pPr>
            <w:r w:rsidRPr="005475C7">
              <w:rPr>
                <w:rFonts w:ascii="Arial" w:hAnsi="Arial" w:cs="Arial"/>
              </w:rPr>
              <w:t xml:space="preserve">Dodavatel uděluje souhlas se zveřejněním této objednávky včetně souvisejících příloh a údajů v registru smluv ve smyslu zák. č. 340/2015 </w:t>
            </w:r>
            <w:proofErr w:type="gramStart"/>
            <w:r w:rsidRPr="005475C7">
              <w:rPr>
                <w:rFonts w:ascii="Arial" w:hAnsi="Arial" w:cs="Arial"/>
              </w:rPr>
              <w:t>Sb..</w:t>
            </w:r>
            <w:proofErr w:type="gramEnd"/>
          </w:p>
          <w:p w:rsidR="005475C7" w:rsidRPr="005475C7" w:rsidRDefault="005475C7" w:rsidP="005475C7">
            <w:pPr>
              <w:jc w:val="both"/>
              <w:rPr>
                <w:rFonts w:ascii="Arial" w:hAnsi="Arial" w:cs="Arial"/>
              </w:rPr>
            </w:pPr>
            <w:r w:rsidRPr="005475C7">
              <w:rPr>
                <w:rFonts w:ascii="Arial" w:hAnsi="Arial" w:cs="Arial"/>
              </w:rPr>
              <w:t>Objednatel vylučuje přijetí objednávky s dodatkem nebo odchylkou, a to i v případě, že podstatně nemění podmínky objednávky. Projev vůle, který obsahuje dodatky, výhrady, omezení nebo jiné změny, bude proto objednatelem považován za odmítnutí objednávky.</w:t>
            </w:r>
          </w:p>
          <w:p w:rsidR="005475C7" w:rsidRPr="005475C7" w:rsidRDefault="005475C7" w:rsidP="005475C7">
            <w:pPr>
              <w:jc w:val="both"/>
              <w:rPr>
                <w:rFonts w:ascii="Arial" w:hAnsi="Arial" w:cs="Arial"/>
              </w:rPr>
            </w:pPr>
          </w:p>
          <w:p w:rsidR="005475C7" w:rsidRPr="005475C7" w:rsidRDefault="005475C7" w:rsidP="005475C7">
            <w:pPr>
              <w:jc w:val="both"/>
              <w:rPr>
                <w:rFonts w:ascii="Arial" w:hAnsi="Arial" w:cs="Arial"/>
              </w:rPr>
            </w:pPr>
            <w:r w:rsidRPr="005475C7">
              <w:rPr>
                <w:rFonts w:ascii="Arial" w:hAnsi="Arial" w:cs="Arial"/>
              </w:rPr>
              <w:t>Objednatel bere na</w:t>
            </w:r>
            <w:r w:rsidR="000455FA">
              <w:rPr>
                <w:rFonts w:ascii="Arial" w:hAnsi="Arial" w:cs="Arial"/>
              </w:rPr>
              <w:t xml:space="preserve"> vědomí, že tato objednávka nabu</w:t>
            </w:r>
            <w:r w:rsidRPr="005475C7">
              <w:rPr>
                <w:rFonts w:ascii="Arial" w:hAnsi="Arial" w:cs="Arial"/>
              </w:rPr>
              <w:t xml:space="preserve">de účinnosti až okamžikem jejího zveřejnění v registru smluv ve smyslu </w:t>
            </w:r>
            <w:proofErr w:type="spellStart"/>
            <w:r w:rsidRPr="005475C7">
              <w:rPr>
                <w:rFonts w:ascii="Arial" w:hAnsi="Arial" w:cs="Arial"/>
              </w:rPr>
              <w:t>ust</w:t>
            </w:r>
            <w:proofErr w:type="spellEnd"/>
            <w:r w:rsidRPr="005475C7">
              <w:rPr>
                <w:rFonts w:ascii="Arial" w:hAnsi="Arial" w:cs="Arial"/>
              </w:rPr>
              <w:t xml:space="preserve">. </w:t>
            </w:r>
            <w:proofErr w:type="gramStart"/>
            <w:r w:rsidRPr="005475C7">
              <w:rPr>
                <w:rFonts w:ascii="Arial" w:hAnsi="Arial" w:cs="Arial"/>
              </w:rPr>
              <w:t>zák.</w:t>
            </w:r>
            <w:proofErr w:type="gramEnd"/>
            <w:r w:rsidRPr="005475C7">
              <w:rPr>
                <w:rFonts w:ascii="Arial" w:hAnsi="Arial" w:cs="Arial"/>
              </w:rPr>
              <w:t xml:space="preserve"> č. 340/2015 Sb.</w:t>
            </w:r>
          </w:p>
          <w:p w:rsidR="00814B5A" w:rsidRPr="005475C7" w:rsidRDefault="00814B5A" w:rsidP="009E58B2">
            <w:pPr>
              <w:jc w:val="both"/>
              <w:rPr>
                <w:rStyle w:val="detail"/>
                <w:rFonts w:ascii="Arial" w:hAnsi="Arial" w:cs="Arial"/>
                <w:u w:val="single"/>
              </w:rPr>
            </w:pPr>
          </w:p>
        </w:tc>
      </w:tr>
    </w:tbl>
    <w:p w:rsidR="00814B5A" w:rsidRPr="005475C7" w:rsidRDefault="00814B5A" w:rsidP="00814B5A">
      <w:pPr>
        <w:spacing w:after="160"/>
        <w:rPr>
          <w:rFonts w:ascii="Arial" w:hAnsi="Arial" w:cs="Arial"/>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4"/>
      </w:tblGrid>
      <w:tr w:rsidR="00814B5A" w:rsidRPr="005475C7" w:rsidTr="00814B5A">
        <w:tc>
          <w:tcPr>
            <w:tcW w:w="0" w:type="auto"/>
            <w:vAlign w:val="center"/>
            <w:hideMark/>
          </w:tcPr>
          <w:p w:rsidR="00423C87" w:rsidRPr="005475C7" w:rsidRDefault="00423C87">
            <w:pPr>
              <w:jc w:val="both"/>
              <w:rPr>
                <w:rFonts w:ascii="Arial" w:hAnsi="Arial" w:cs="Arial"/>
                <w:b/>
              </w:rPr>
            </w:pPr>
          </w:p>
          <w:p w:rsidR="00814B5A" w:rsidRPr="005475C7" w:rsidRDefault="00814B5A">
            <w:pPr>
              <w:jc w:val="both"/>
              <w:rPr>
                <w:rFonts w:ascii="Arial" w:hAnsi="Arial" w:cs="Arial"/>
                <w:b/>
              </w:rPr>
            </w:pPr>
            <w:r w:rsidRPr="005475C7">
              <w:rPr>
                <w:rFonts w:ascii="Arial" w:hAnsi="Arial" w:cs="Arial"/>
                <w:b/>
              </w:rPr>
              <w:t>Mgr. Michael Maxa</w:t>
            </w:r>
          </w:p>
        </w:tc>
      </w:tr>
      <w:tr w:rsidR="00814B5A" w:rsidRPr="005475C7" w:rsidTr="00814B5A">
        <w:tc>
          <w:tcPr>
            <w:tcW w:w="0" w:type="auto"/>
            <w:vAlign w:val="center"/>
            <w:hideMark/>
          </w:tcPr>
          <w:p w:rsidR="00814B5A" w:rsidRPr="005475C7" w:rsidRDefault="00814B5A">
            <w:pPr>
              <w:jc w:val="both"/>
              <w:rPr>
                <w:rStyle w:val="detail"/>
                <w:rFonts w:ascii="Arial" w:hAnsi="Arial" w:cs="Arial"/>
              </w:rPr>
            </w:pPr>
            <w:r w:rsidRPr="005475C7">
              <w:rPr>
                <w:rStyle w:val="detail"/>
                <w:rFonts w:ascii="Arial" w:hAnsi="Arial" w:cs="Arial"/>
              </w:rPr>
              <w:t xml:space="preserve">ředitel </w:t>
            </w:r>
          </w:p>
          <w:p w:rsidR="00814B5A" w:rsidRPr="005475C7" w:rsidRDefault="00814B5A">
            <w:pPr>
              <w:jc w:val="both"/>
              <w:rPr>
                <w:rStyle w:val="detail"/>
                <w:rFonts w:ascii="Arial" w:hAnsi="Arial" w:cs="Arial"/>
              </w:rPr>
            </w:pPr>
            <w:r w:rsidRPr="005475C7">
              <w:rPr>
                <w:rStyle w:val="detail"/>
                <w:rFonts w:ascii="Arial" w:hAnsi="Arial" w:cs="Arial"/>
              </w:rPr>
              <w:t>odboru metodiky a podpory kontroly</w:t>
            </w:r>
          </w:p>
        </w:tc>
      </w:tr>
    </w:tbl>
    <w:p w:rsidR="00814B5A" w:rsidRDefault="00814B5A" w:rsidP="00814B5A">
      <w:pPr>
        <w:spacing w:after="160"/>
        <w:rPr>
          <w:rFonts w:ascii="Arial" w:hAnsi="Arial" w:cs="Arial"/>
          <w:sz w:val="16"/>
          <w:szCs w:val="16"/>
        </w:rPr>
      </w:pPr>
    </w:p>
    <w:p w:rsidR="00814B5A" w:rsidRDefault="00814B5A" w:rsidP="00814B5A">
      <w:pPr>
        <w:rPr>
          <w:rFonts w:ascii="Times New Roman" w:hAnsi="Times New Roman" w:cs="Times New Roman"/>
          <w:sz w:val="24"/>
          <w:szCs w:val="24"/>
        </w:rPr>
      </w:pPr>
    </w:p>
    <w:p w:rsidR="00DC42AD" w:rsidRPr="00814B5A" w:rsidRDefault="00DC42AD" w:rsidP="00814B5A"/>
    <w:sectPr w:rsidR="00DC42AD" w:rsidRPr="00814B5A" w:rsidSect="00A145B7">
      <w:headerReference w:type="default" r:id="rId8"/>
      <w:footerReference w:type="default" r:id="rId9"/>
      <w:headerReference w:type="first" r:id="rId10"/>
      <w:footerReference w:type="first" r:id="rId11"/>
      <w:pgSz w:w="11906" w:h="16838"/>
      <w:pgMar w:top="1077" w:right="1134" w:bottom="119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08E7" w:rsidRDefault="006C08E7" w:rsidP="005144C8">
      <w:pPr>
        <w:spacing w:after="0" w:line="240" w:lineRule="auto"/>
      </w:pPr>
      <w:r>
        <w:separator/>
      </w:r>
    </w:p>
  </w:endnote>
  <w:endnote w:type="continuationSeparator" w:id="0">
    <w:p w:rsidR="006C08E7" w:rsidRDefault="006C08E7" w:rsidP="00514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Black">
    <w:panose1 w:val="020B0A04020102020204"/>
    <w:charset w:val="EE"/>
    <w:family w:val="swiss"/>
    <w:pitch w:val="variable"/>
    <w:sig w:usb0="00000287" w:usb1="00000000" w:usb2="00000000" w:usb3="00000000" w:csb0="0000009F" w:csb1="00000000"/>
  </w:font>
  <w:font w:name="CKGinis">
    <w:panose1 w:val="020B0603050302020204"/>
    <w:charset w:val="EE"/>
    <w:family w:val="swiss"/>
    <w:pitch w:val="variable"/>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BA7" w:rsidRDefault="00143BA7" w:rsidP="00143BA7">
    <w:pPr>
      <w:pStyle w:val="Zpat"/>
      <w:jc w:val="center"/>
      <w:rPr>
        <w:rFonts w:ascii="Arial" w:hAnsi="Arial" w:cs="Arial"/>
        <w:sz w:val="18"/>
        <w:szCs w:val="18"/>
      </w:rPr>
    </w:pPr>
    <w:r w:rsidRPr="00CE04EC">
      <w:rPr>
        <w:rFonts w:ascii="Arial" w:hAnsi="Arial" w:cs="Arial"/>
        <w:sz w:val="18"/>
        <w:szCs w:val="18"/>
      </w:rPr>
      <w:t>Telefon</w:t>
    </w:r>
    <w:r>
      <w:rPr>
        <w:rFonts w:ascii="Arial" w:hAnsi="Arial" w:cs="Arial"/>
        <w:sz w:val="18"/>
        <w:szCs w:val="18"/>
      </w:rPr>
      <w:t xml:space="preserve"> </w:t>
    </w:r>
    <w:r w:rsidRPr="00CE04EC">
      <w:rPr>
        <w:rFonts w:ascii="Arial" w:hAnsi="Arial" w:cs="Arial"/>
        <w:sz w:val="18"/>
        <w:szCs w:val="18"/>
      </w:rPr>
      <w:t>(+420) 296 366</w:t>
    </w:r>
    <w:r>
      <w:rPr>
        <w:rFonts w:ascii="Arial" w:hAnsi="Arial" w:cs="Arial"/>
        <w:sz w:val="18"/>
        <w:szCs w:val="18"/>
      </w:rPr>
      <w:t xml:space="preserve"> 102 / </w:t>
    </w:r>
    <w:r w:rsidRPr="00CE04EC">
      <w:rPr>
        <w:rFonts w:ascii="Arial" w:hAnsi="Arial" w:cs="Arial"/>
        <w:sz w:val="18"/>
        <w:szCs w:val="18"/>
      </w:rPr>
      <w:t>Fax (+420) 296 366</w:t>
    </w:r>
    <w:r>
      <w:rPr>
        <w:rFonts w:ascii="Arial" w:hAnsi="Arial" w:cs="Arial"/>
        <w:sz w:val="18"/>
        <w:szCs w:val="18"/>
      </w:rPr>
      <w:t xml:space="preserve"> 236 / </w:t>
    </w:r>
    <w:r w:rsidRPr="00CE04EC">
      <w:rPr>
        <w:rFonts w:ascii="Arial" w:hAnsi="Arial" w:cs="Arial"/>
        <w:sz w:val="18"/>
        <w:szCs w:val="18"/>
      </w:rPr>
      <w:t>E-</w:t>
    </w:r>
    <w:r w:rsidRPr="00426095">
      <w:rPr>
        <w:rFonts w:ascii="Arial" w:hAnsi="Arial" w:cs="Arial"/>
        <w:sz w:val="18"/>
        <w:szCs w:val="18"/>
      </w:rPr>
      <w:t xml:space="preserve">mail  </w:t>
    </w:r>
    <w:hyperlink r:id="rId1" w:history="1">
      <w:r w:rsidRPr="00426095">
        <w:rPr>
          <w:rStyle w:val="Hypertextovodkaz"/>
          <w:rFonts w:ascii="Arial" w:hAnsi="Arial" w:cs="Arial"/>
          <w:color w:val="auto"/>
          <w:sz w:val="18"/>
          <w:szCs w:val="18"/>
          <w:u w:val="none"/>
        </w:rPr>
        <w:t>www.coi.cz/cs/epodatelna</w:t>
      </w:r>
    </w:hyperlink>
  </w:p>
  <w:p w:rsidR="00143BA7" w:rsidRPr="00143BA7" w:rsidRDefault="00143BA7" w:rsidP="00143BA7">
    <w:pPr>
      <w:pStyle w:val="Zpat"/>
      <w:jc w:val="center"/>
      <w:rPr>
        <w:rFonts w:ascii="Arial" w:hAnsi="Arial" w:cs="Arial"/>
        <w:sz w:val="18"/>
        <w:szCs w:val="18"/>
      </w:rPr>
    </w:pPr>
    <w:r w:rsidRPr="00CE04EC">
      <w:rPr>
        <w:rFonts w:ascii="Arial" w:hAnsi="Arial" w:cs="Arial"/>
        <w:sz w:val="18"/>
        <w:szCs w:val="18"/>
      </w:rPr>
      <w:t xml:space="preserve">ID datové schránky  </w:t>
    </w:r>
    <w:r>
      <w:rPr>
        <w:rFonts w:ascii="Arial" w:hAnsi="Arial" w:cs="Arial"/>
        <w:sz w:val="18"/>
        <w:szCs w:val="18"/>
      </w:rPr>
      <w:t>x7cab34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150" w:rsidRDefault="00B95150" w:rsidP="00B95150">
    <w:pPr>
      <w:pStyle w:val="Zpat"/>
      <w:jc w:val="center"/>
      <w:rPr>
        <w:rFonts w:ascii="Arial" w:hAnsi="Arial" w:cs="Arial"/>
        <w:sz w:val="18"/>
        <w:szCs w:val="18"/>
      </w:rPr>
    </w:pPr>
    <w:r w:rsidRPr="00CE04EC">
      <w:rPr>
        <w:rFonts w:ascii="Arial" w:hAnsi="Arial" w:cs="Arial"/>
        <w:sz w:val="18"/>
        <w:szCs w:val="18"/>
      </w:rPr>
      <w:t>Telefon</w:t>
    </w:r>
    <w:r>
      <w:rPr>
        <w:rFonts w:ascii="Arial" w:hAnsi="Arial" w:cs="Arial"/>
        <w:sz w:val="18"/>
        <w:szCs w:val="18"/>
      </w:rPr>
      <w:t xml:space="preserve"> </w:t>
    </w:r>
    <w:r w:rsidRPr="00CE04EC">
      <w:rPr>
        <w:rFonts w:ascii="Arial" w:hAnsi="Arial" w:cs="Arial"/>
        <w:sz w:val="18"/>
        <w:szCs w:val="18"/>
      </w:rPr>
      <w:t>(+420) 296 366</w:t>
    </w:r>
    <w:r>
      <w:rPr>
        <w:rFonts w:ascii="Arial" w:hAnsi="Arial" w:cs="Arial"/>
        <w:sz w:val="18"/>
        <w:szCs w:val="18"/>
      </w:rPr>
      <w:t xml:space="preserve"> 102 / </w:t>
    </w:r>
    <w:r w:rsidRPr="00CE04EC">
      <w:rPr>
        <w:rFonts w:ascii="Arial" w:hAnsi="Arial" w:cs="Arial"/>
        <w:sz w:val="18"/>
        <w:szCs w:val="18"/>
      </w:rPr>
      <w:t>Fax (+420) 296 366</w:t>
    </w:r>
    <w:r>
      <w:rPr>
        <w:rFonts w:ascii="Arial" w:hAnsi="Arial" w:cs="Arial"/>
        <w:sz w:val="18"/>
        <w:szCs w:val="18"/>
      </w:rPr>
      <w:t xml:space="preserve"> 236 / </w:t>
    </w:r>
    <w:r w:rsidRPr="00CE04EC">
      <w:rPr>
        <w:rFonts w:ascii="Arial" w:hAnsi="Arial" w:cs="Arial"/>
        <w:sz w:val="18"/>
        <w:szCs w:val="18"/>
      </w:rPr>
      <w:t>E-</w:t>
    </w:r>
    <w:r w:rsidRPr="00426095">
      <w:rPr>
        <w:rFonts w:ascii="Arial" w:hAnsi="Arial" w:cs="Arial"/>
        <w:sz w:val="18"/>
        <w:szCs w:val="18"/>
      </w:rPr>
      <w:t xml:space="preserve">mail  </w:t>
    </w:r>
    <w:hyperlink r:id="rId1" w:history="1">
      <w:r w:rsidRPr="00426095">
        <w:rPr>
          <w:rStyle w:val="Hypertextovodkaz"/>
          <w:rFonts w:ascii="Arial" w:hAnsi="Arial" w:cs="Arial"/>
          <w:color w:val="auto"/>
          <w:sz w:val="18"/>
          <w:szCs w:val="18"/>
          <w:u w:val="none"/>
        </w:rPr>
        <w:t>www.coi.cz/cs/epodatelna</w:t>
      </w:r>
    </w:hyperlink>
  </w:p>
  <w:p w:rsidR="00B95150" w:rsidRPr="00143BA7" w:rsidRDefault="00B95150" w:rsidP="00B95150">
    <w:pPr>
      <w:pStyle w:val="Zpat"/>
      <w:jc w:val="center"/>
      <w:rPr>
        <w:rFonts w:ascii="Arial" w:hAnsi="Arial" w:cs="Arial"/>
        <w:sz w:val="18"/>
        <w:szCs w:val="18"/>
      </w:rPr>
    </w:pPr>
    <w:r w:rsidRPr="00CE04EC">
      <w:rPr>
        <w:rFonts w:ascii="Arial" w:hAnsi="Arial" w:cs="Arial"/>
        <w:sz w:val="18"/>
        <w:szCs w:val="18"/>
      </w:rPr>
      <w:t xml:space="preserve">ID datové schránky  </w:t>
    </w:r>
    <w:r>
      <w:rPr>
        <w:rFonts w:ascii="Arial" w:hAnsi="Arial" w:cs="Arial"/>
        <w:sz w:val="18"/>
        <w:szCs w:val="18"/>
      </w:rPr>
      <w:t>x7cab34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08E7" w:rsidRDefault="006C08E7" w:rsidP="005144C8">
      <w:pPr>
        <w:spacing w:after="0" w:line="240" w:lineRule="auto"/>
      </w:pPr>
      <w:r>
        <w:separator/>
      </w:r>
    </w:p>
  </w:footnote>
  <w:footnote w:type="continuationSeparator" w:id="0">
    <w:p w:rsidR="006C08E7" w:rsidRDefault="006C08E7" w:rsidP="005144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78D" w:rsidRPr="00F5378D" w:rsidRDefault="00F5378D" w:rsidP="00A145B7">
    <w:pPr>
      <w:pStyle w:val="Zhlav"/>
      <w:jc w:val="center"/>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253D" w:rsidRPr="009E47AC" w:rsidRDefault="00C8253D" w:rsidP="00C8253D">
    <w:pPr>
      <w:pStyle w:val="Zhlav"/>
      <w:jc w:val="right"/>
      <w:rPr>
        <w:rFonts w:ascii="CKGinis" w:hAnsi="CKGinis"/>
        <w:sz w:val="56"/>
        <w:szCs w:val="56"/>
      </w:rPr>
    </w:pPr>
    <w:r w:rsidRPr="009E47AC">
      <w:rPr>
        <w:rFonts w:ascii="CKGinis" w:hAnsi="CKGinis"/>
        <w:sz w:val="56"/>
        <w:szCs w:val="56"/>
      </w:rPr>
      <w:fldChar w:fldCharType="begin"/>
    </w:r>
    <w:r w:rsidRPr="009E47AC">
      <w:rPr>
        <w:rFonts w:ascii="CKGinis" w:hAnsi="CKGinis"/>
        <w:sz w:val="56"/>
        <w:szCs w:val="56"/>
      </w:rPr>
      <w:instrText>MACROBUTTON MSWField(pisemnost.id_pisemnosti_car) *COI0X00WLJ7K*</w:instrText>
    </w:r>
    <w:r w:rsidRPr="009E47AC">
      <w:rPr>
        <w:rFonts w:ascii="CKGinis" w:hAnsi="CKGinis"/>
        <w:sz w:val="56"/>
        <w:szCs w:val="56"/>
      </w:rPr>
      <w:fldChar w:fldCharType="separate"/>
    </w:r>
    <w:r>
      <w:t>*COI0X00WLJ7K*</w:t>
    </w:r>
    <w:r w:rsidRPr="009E47AC">
      <w:rPr>
        <w:rFonts w:ascii="CKGinis" w:hAnsi="CKGinis"/>
        <w:sz w:val="56"/>
        <w:szCs w:val="56"/>
      </w:rPr>
      <w:fldChar w:fldCharType="end"/>
    </w:r>
  </w:p>
  <w:p w:rsidR="001D1053" w:rsidRDefault="00C8253D" w:rsidP="00C8253D">
    <w:pPr>
      <w:pStyle w:val="Zhlav"/>
      <w:jc w:val="right"/>
      <w:rPr>
        <w:rFonts w:ascii="Times New Roman" w:hAnsi="Times New Roman"/>
        <w:sz w:val="16"/>
        <w:szCs w:val="16"/>
      </w:rPr>
    </w:pPr>
    <w:r w:rsidRPr="0063240E">
      <w:rPr>
        <w:sz w:val="16"/>
        <w:szCs w:val="16"/>
      </w:rPr>
      <w:fldChar w:fldCharType="begin"/>
    </w:r>
    <w:r w:rsidRPr="0063240E">
      <w:rPr>
        <w:sz w:val="16"/>
        <w:szCs w:val="16"/>
      </w:rPr>
      <w:instrText>MACROBUTTON MSWField(pisemnost.id_pisemnosti) COI0X00WLJ7K</w:instrText>
    </w:r>
    <w:r w:rsidRPr="0063240E">
      <w:rPr>
        <w:sz w:val="16"/>
        <w:szCs w:val="16"/>
      </w:rPr>
      <w:fldChar w:fldCharType="separate"/>
    </w:r>
    <w:r>
      <w:t>COI0X00WLJ7K</w:t>
    </w:r>
    <w:r w:rsidRPr="0063240E">
      <w:rPr>
        <w:sz w:val="16"/>
        <w:szCs w:val="16"/>
      </w:rPr>
      <w:fldChar w:fldCharType="end"/>
    </w:r>
  </w:p>
  <w:p w:rsidR="00A145B7" w:rsidRPr="00A145B7" w:rsidRDefault="00A145B7" w:rsidP="00A145B7">
    <w:pPr>
      <w:pStyle w:val="Zhlav"/>
      <w:jc w:val="right"/>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9A0A3E"/>
    <w:multiLevelType w:val="hybridMultilevel"/>
    <w:tmpl w:val="6CB6F50C"/>
    <w:lvl w:ilvl="0" w:tplc="A48895F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D0B67B2"/>
    <w:multiLevelType w:val="hybridMultilevel"/>
    <w:tmpl w:val="DB3AF5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40D46A1"/>
    <w:multiLevelType w:val="hybridMultilevel"/>
    <w:tmpl w:val="A448F5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9FF5C5B"/>
    <w:multiLevelType w:val="hybridMultilevel"/>
    <w:tmpl w:val="DF0C8F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5355EAF"/>
    <w:multiLevelType w:val="hybridMultilevel"/>
    <w:tmpl w:val="69F0BB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80C6FC5"/>
    <w:multiLevelType w:val="hybridMultilevel"/>
    <w:tmpl w:val="71FAED4C"/>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6" w15:restartNumberingAfterBreak="0">
    <w:nsid w:val="40430C50"/>
    <w:multiLevelType w:val="hybridMultilevel"/>
    <w:tmpl w:val="350A48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E35082E"/>
    <w:multiLevelType w:val="hybridMultilevel"/>
    <w:tmpl w:val="2102B2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DBF32CC"/>
    <w:multiLevelType w:val="hybridMultilevel"/>
    <w:tmpl w:val="DAD24B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1B352BD"/>
    <w:multiLevelType w:val="hybridMultilevel"/>
    <w:tmpl w:val="E7A2BE7E"/>
    <w:lvl w:ilvl="0" w:tplc="A48895F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5C63996"/>
    <w:multiLevelType w:val="hybridMultilevel"/>
    <w:tmpl w:val="D71E3C4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B487216"/>
    <w:multiLevelType w:val="hybridMultilevel"/>
    <w:tmpl w:val="1CD475A6"/>
    <w:lvl w:ilvl="0" w:tplc="1562D3FC">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5"/>
  </w:num>
  <w:num w:numId="5">
    <w:abstractNumId w:val="2"/>
  </w:num>
  <w:num w:numId="6">
    <w:abstractNumId w:val="8"/>
  </w:num>
  <w:num w:numId="7">
    <w:abstractNumId w:val="7"/>
  </w:num>
  <w:num w:numId="8">
    <w:abstractNumId w:val="4"/>
  </w:num>
  <w:num w:numId="9">
    <w:abstractNumId w:val="10"/>
  </w:num>
  <w:num w:numId="10">
    <w:abstractNumId w:val="11"/>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B8"/>
    <w:rsid w:val="000003A6"/>
    <w:rsid w:val="0001587D"/>
    <w:rsid w:val="00016D59"/>
    <w:rsid w:val="000335A4"/>
    <w:rsid w:val="000402A7"/>
    <w:rsid w:val="0004273C"/>
    <w:rsid w:val="00043B44"/>
    <w:rsid w:val="000455FA"/>
    <w:rsid w:val="000550A3"/>
    <w:rsid w:val="00055229"/>
    <w:rsid w:val="00061DF1"/>
    <w:rsid w:val="00062637"/>
    <w:rsid w:val="00062E18"/>
    <w:rsid w:val="00064544"/>
    <w:rsid w:val="000653FA"/>
    <w:rsid w:val="0006551F"/>
    <w:rsid w:val="00070673"/>
    <w:rsid w:val="000723DE"/>
    <w:rsid w:val="00074B88"/>
    <w:rsid w:val="0008255D"/>
    <w:rsid w:val="000866B0"/>
    <w:rsid w:val="00090BD1"/>
    <w:rsid w:val="000A53E4"/>
    <w:rsid w:val="000C321B"/>
    <w:rsid w:val="000C52CC"/>
    <w:rsid w:val="000D4793"/>
    <w:rsid w:val="000D4FBC"/>
    <w:rsid w:val="00106BD7"/>
    <w:rsid w:val="0011247F"/>
    <w:rsid w:val="00115079"/>
    <w:rsid w:val="0013577E"/>
    <w:rsid w:val="00143BA7"/>
    <w:rsid w:val="00152745"/>
    <w:rsid w:val="001561AC"/>
    <w:rsid w:val="00156B60"/>
    <w:rsid w:val="001717E3"/>
    <w:rsid w:val="00172871"/>
    <w:rsid w:val="00172F76"/>
    <w:rsid w:val="00177819"/>
    <w:rsid w:val="00184334"/>
    <w:rsid w:val="00184D58"/>
    <w:rsid w:val="001A0C04"/>
    <w:rsid w:val="001A62A7"/>
    <w:rsid w:val="001B1EA8"/>
    <w:rsid w:val="001B4183"/>
    <w:rsid w:val="001B79E3"/>
    <w:rsid w:val="001D1053"/>
    <w:rsid w:val="001D592B"/>
    <w:rsid w:val="001E7C62"/>
    <w:rsid w:val="001F4745"/>
    <w:rsid w:val="001F7634"/>
    <w:rsid w:val="00235501"/>
    <w:rsid w:val="00240DC6"/>
    <w:rsid w:val="002564D8"/>
    <w:rsid w:val="00263688"/>
    <w:rsid w:val="002720F7"/>
    <w:rsid w:val="00276914"/>
    <w:rsid w:val="0027796F"/>
    <w:rsid w:val="00283221"/>
    <w:rsid w:val="00285A6A"/>
    <w:rsid w:val="00294A7A"/>
    <w:rsid w:val="002A4050"/>
    <w:rsid w:val="002B4EFB"/>
    <w:rsid w:val="002C5F21"/>
    <w:rsid w:val="002D0082"/>
    <w:rsid w:val="002F4E3E"/>
    <w:rsid w:val="0030029C"/>
    <w:rsid w:val="0030573B"/>
    <w:rsid w:val="00310977"/>
    <w:rsid w:val="003202CA"/>
    <w:rsid w:val="00321E71"/>
    <w:rsid w:val="00335F47"/>
    <w:rsid w:val="003433BD"/>
    <w:rsid w:val="00346A7E"/>
    <w:rsid w:val="0035664E"/>
    <w:rsid w:val="00360FEF"/>
    <w:rsid w:val="00362091"/>
    <w:rsid w:val="00366487"/>
    <w:rsid w:val="00367E2A"/>
    <w:rsid w:val="003858C4"/>
    <w:rsid w:val="00387C01"/>
    <w:rsid w:val="003A1115"/>
    <w:rsid w:val="003A3CEB"/>
    <w:rsid w:val="003B332C"/>
    <w:rsid w:val="003B39F1"/>
    <w:rsid w:val="003E5558"/>
    <w:rsid w:val="003E68D4"/>
    <w:rsid w:val="003E790F"/>
    <w:rsid w:val="003F19D4"/>
    <w:rsid w:val="003F38DC"/>
    <w:rsid w:val="00423C87"/>
    <w:rsid w:val="00425C6C"/>
    <w:rsid w:val="004330DF"/>
    <w:rsid w:val="0043499E"/>
    <w:rsid w:val="00451367"/>
    <w:rsid w:val="00460F16"/>
    <w:rsid w:val="00474B9C"/>
    <w:rsid w:val="00474BCB"/>
    <w:rsid w:val="00477844"/>
    <w:rsid w:val="004820C2"/>
    <w:rsid w:val="00485491"/>
    <w:rsid w:val="004C23A4"/>
    <w:rsid w:val="004E37B6"/>
    <w:rsid w:val="0051086F"/>
    <w:rsid w:val="005144C8"/>
    <w:rsid w:val="005151FE"/>
    <w:rsid w:val="00543FF2"/>
    <w:rsid w:val="00544A8A"/>
    <w:rsid w:val="005456E1"/>
    <w:rsid w:val="005475C7"/>
    <w:rsid w:val="00563C1B"/>
    <w:rsid w:val="0056798A"/>
    <w:rsid w:val="005730DB"/>
    <w:rsid w:val="00577C3F"/>
    <w:rsid w:val="0058436B"/>
    <w:rsid w:val="00592C28"/>
    <w:rsid w:val="005C0000"/>
    <w:rsid w:val="005C0641"/>
    <w:rsid w:val="005C069A"/>
    <w:rsid w:val="005C0B0B"/>
    <w:rsid w:val="005C329D"/>
    <w:rsid w:val="005D39EB"/>
    <w:rsid w:val="00601490"/>
    <w:rsid w:val="00602DC9"/>
    <w:rsid w:val="006134D7"/>
    <w:rsid w:val="00615DD6"/>
    <w:rsid w:val="00647308"/>
    <w:rsid w:val="00650935"/>
    <w:rsid w:val="0065137A"/>
    <w:rsid w:val="00662302"/>
    <w:rsid w:val="006627E5"/>
    <w:rsid w:val="00665F52"/>
    <w:rsid w:val="00674A32"/>
    <w:rsid w:val="00693F07"/>
    <w:rsid w:val="006B0111"/>
    <w:rsid w:val="006B1920"/>
    <w:rsid w:val="006C08E7"/>
    <w:rsid w:val="006C31C3"/>
    <w:rsid w:val="006D27B8"/>
    <w:rsid w:val="006D6AEB"/>
    <w:rsid w:val="006F2102"/>
    <w:rsid w:val="006F288C"/>
    <w:rsid w:val="00711A61"/>
    <w:rsid w:val="007360E4"/>
    <w:rsid w:val="00741226"/>
    <w:rsid w:val="007414ED"/>
    <w:rsid w:val="00753F63"/>
    <w:rsid w:val="00756A0E"/>
    <w:rsid w:val="007610FD"/>
    <w:rsid w:val="00761862"/>
    <w:rsid w:val="00772489"/>
    <w:rsid w:val="00775A25"/>
    <w:rsid w:val="00775E70"/>
    <w:rsid w:val="007822FD"/>
    <w:rsid w:val="007824A4"/>
    <w:rsid w:val="00782C9A"/>
    <w:rsid w:val="0078407C"/>
    <w:rsid w:val="0078443E"/>
    <w:rsid w:val="007951E0"/>
    <w:rsid w:val="007A2D9D"/>
    <w:rsid w:val="007C4502"/>
    <w:rsid w:val="007D7EDB"/>
    <w:rsid w:val="007E26A5"/>
    <w:rsid w:val="007E69AC"/>
    <w:rsid w:val="007E716A"/>
    <w:rsid w:val="007F0D41"/>
    <w:rsid w:val="00805444"/>
    <w:rsid w:val="008060E5"/>
    <w:rsid w:val="0080615B"/>
    <w:rsid w:val="00814B5A"/>
    <w:rsid w:val="00834FB1"/>
    <w:rsid w:val="00846849"/>
    <w:rsid w:val="00850F6E"/>
    <w:rsid w:val="00871AB8"/>
    <w:rsid w:val="0087255B"/>
    <w:rsid w:val="0089184F"/>
    <w:rsid w:val="0089360D"/>
    <w:rsid w:val="00896534"/>
    <w:rsid w:val="008B534A"/>
    <w:rsid w:val="008F241A"/>
    <w:rsid w:val="008F3A85"/>
    <w:rsid w:val="008F701B"/>
    <w:rsid w:val="00900744"/>
    <w:rsid w:val="00903A56"/>
    <w:rsid w:val="00922834"/>
    <w:rsid w:val="0092501C"/>
    <w:rsid w:val="00930EE2"/>
    <w:rsid w:val="00936D85"/>
    <w:rsid w:val="00944FB8"/>
    <w:rsid w:val="00963CB3"/>
    <w:rsid w:val="00972A6F"/>
    <w:rsid w:val="00991C5C"/>
    <w:rsid w:val="00993952"/>
    <w:rsid w:val="00995886"/>
    <w:rsid w:val="009A0F75"/>
    <w:rsid w:val="009B2AF9"/>
    <w:rsid w:val="009B5584"/>
    <w:rsid w:val="009C183C"/>
    <w:rsid w:val="009E58B2"/>
    <w:rsid w:val="009F18B3"/>
    <w:rsid w:val="009F3ED5"/>
    <w:rsid w:val="00A145B7"/>
    <w:rsid w:val="00A3286A"/>
    <w:rsid w:val="00A34ADB"/>
    <w:rsid w:val="00A42FF9"/>
    <w:rsid w:val="00A51ACF"/>
    <w:rsid w:val="00A60646"/>
    <w:rsid w:val="00A60889"/>
    <w:rsid w:val="00A71E15"/>
    <w:rsid w:val="00A77A76"/>
    <w:rsid w:val="00A80813"/>
    <w:rsid w:val="00A92B7A"/>
    <w:rsid w:val="00AA1F65"/>
    <w:rsid w:val="00AA7694"/>
    <w:rsid w:val="00AC0387"/>
    <w:rsid w:val="00AC0B20"/>
    <w:rsid w:val="00AC4F71"/>
    <w:rsid w:val="00AC7E00"/>
    <w:rsid w:val="00AE3286"/>
    <w:rsid w:val="00AE33B2"/>
    <w:rsid w:val="00AE5698"/>
    <w:rsid w:val="00AE570C"/>
    <w:rsid w:val="00B10CCE"/>
    <w:rsid w:val="00B35775"/>
    <w:rsid w:val="00B36186"/>
    <w:rsid w:val="00B40B6D"/>
    <w:rsid w:val="00B44001"/>
    <w:rsid w:val="00B7523F"/>
    <w:rsid w:val="00B81BD3"/>
    <w:rsid w:val="00B91B8D"/>
    <w:rsid w:val="00B94CD5"/>
    <w:rsid w:val="00B95150"/>
    <w:rsid w:val="00B95E57"/>
    <w:rsid w:val="00B9656A"/>
    <w:rsid w:val="00B97BD3"/>
    <w:rsid w:val="00B97BED"/>
    <w:rsid w:val="00BA5DA6"/>
    <w:rsid w:val="00BC00CA"/>
    <w:rsid w:val="00BD3FAA"/>
    <w:rsid w:val="00BD60F6"/>
    <w:rsid w:val="00BE097B"/>
    <w:rsid w:val="00BE3748"/>
    <w:rsid w:val="00BE6F4B"/>
    <w:rsid w:val="00BF436A"/>
    <w:rsid w:val="00C03538"/>
    <w:rsid w:val="00C26607"/>
    <w:rsid w:val="00C3345C"/>
    <w:rsid w:val="00C35295"/>
    <w:rsid w:val="00C36074"/>
    <w:rsid w:val="00C403CE"/>
    <w:rsid w:val="00C40545"/>
    <w:rsid w:val="00C43AF1"/>
    <w:rsid w:val="00C4599F"/>
    <w:rsid w:val="00C661E0"/>
    <w:rsid w:val="00C6759C"/>
    <w:rsid w:val="00C71B99"/>
    <w:rsid w:val="00C8253D"/>
    <w:rsid w:val="00C95AA6"/>
    <w:rsid w:val="00CB079E"/>
    <w:rsid w:val="00CB4BE2"/>
    <w:rsid w:val="00CC4869"/>
    <w:rsid w:val="00CE2710"/>
    <w:rsid w:val="00CE3D1F"/>
    <w:rsid w:val="00CE58C5"/>
    <w:rsid w:val="00CE758B"/>
    <w:rsid w:val="00CF34EE"/>
    <w:rsid w:val="00CF605A"/>
    <w:rsid w:val="00D14ED0"/>
    <w:rsid w:val="00D20E76"/>
    <w:rsid w:val="00D24162"/>
    <w:rsid w:val="00D2454C"/>
    <w:rsid w:val="00D24A5B"/>
    <w:rsid w:val="00D260A6"/>
    <w:rsid w:val="00D50F71"/>
    <w:rsid w:val="00D51E24"/>
    <w:rsid w:val="00D53BE7"/>
    <w:rsid w:val="00D54E69"/>
    <w:rsid w:val="00D65E23"/>
    <w:rsid w:val="00D72687"/>
    <w:rsid w:val="00D86509"/>
    <w:rsid w:val="00D96CFE"/>
    <w:rsid w:val="00DB1E8F"/>
    <w:rsid w:val="00DB6FF1"/>
    <w:rsid w:val="00DC0A1C"/>
    <w:rsid w:val="00DC1B70"/>
    <w:rsid w:val="00DC42AD"/>
    <w:rsid w:val="00DC4A5C"/>
    <w:rsid w:val="00DF4350"/>
    <w:rsid w:val="00E033F9"/>
    <w:rsid w:val="00E11737"/>
    <w:rsid w:val="00E241F3"/>
    <w:rsid w:val="00E25324"/>
    <w:rsid w:val="00E30B6E"/>
    <w:rsid w:val="00E45D9B"/>
    <w:rsid w:val="00E45E09"/>
    <w:rsid w:val="00E50A70"/>
    <w:rsid w:val="00E51F08"/>
    <w:rsid w:val="00E52017"/>
    <w:rsid w:val="00E620EE"/>
    <w:rsid w:val="00E81609"/>
    <w:rsid w:val="00E87739"/>
    <w:rsid w:val="00E87C68"/>
    <w:rsid w:val="00EB7509"/>
    <w:rsid w:val="00EC3E5C"/>
    <w:rsid w:val="00ED0881"/>
    <w:rsid w:val="00ED79E5"/>
    <w:rsid w:val="00EE01E6"/>
    <w:rsid w:val="00EE1BA1"/>
    <w:rsid w:val="00EE2D5D"/>
    <w:rsid w:val="00EE3473"/>
    <w:rsid w:val="00EF534A"/>
    <w:rsid w:val="00EF587B"/>
    <w:rsid w:val="00F26523"/>
    <w:rsid w:val="00F34AD3"/>
    <w:rsid w:val="00F44C4E"/>
    <w:rsid w:val="00F45CC6"/>
    <w:rsid w:val="00F46D98"/>
    <w:rsid w:val="00F5378D"/>
    <w:rsid w:val="00F56F10"/>
    <w:rsid w:val="00F60FC2"/>
    <w:rsid w:val="00F63754"/>
    <w:rsid w:val="00F65484"/>
    <w:rsid w:val="00F712F6"/>
    <w:rsid w:val="00F717B9"/>
    <w:rsid w:val="00F9168B"/>
    <w:rsid w:val="00FA5082"/>
    <w:rsid w:val="00FB7041"/>
    <w:rsid w:val="00FB7A48"/>
    <w:rsid w:val="00FC0B8F"/>
    <w:rsid w:val="00FC1224"/>
    <w:rsid w:val="00FE2C7A"/>
    <w:rsid w:val="00FF382B"/>
    <w:rsid w:val="00FF424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6913FF-B319-41F3-9E37-DF84A16B3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2">
    <w:name w:val="heading 2"/>
    <w:basedOn w:val="Normln"/>
    <w:link w:val="Nadpis2Char"/>
    <w:uiPriority w:val="9"/>
    <w:qFormat/>
    <w:rsid w:val="007951E0"/>
    <w:pPr>
      <w:spacing w:before="100" w:beforeAutospacing="1" w:after="100" w:afterAutospacing="1" w:line="240" w:lineRule="auto"/>
      <w:outlineLvl w:val="1"/>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5843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2B4EFB"/>
    <w:pPr>
      <w:ind w:left="720"/>
      <w:contextualSpacing/>
    </w:pPr>
  </w:style>
  <w:style w:type="character" w:customStyle="1" w:styleId="nowrap">
    <w:name w:val="nowrap"/>
    <w:basedOn w:val="Standardnpsmoodstavce"/>
    <w:rsid w:val="003858C4"/>
  </w:style>
  <w:style w:type="character" w:customStyle="1" w:styleId="Nadpis2Char">
    <w:name w:val="Nadpis 2 Char"/>
    <w:basedOn w:val="Standardnpsmoodstavce"/>
    <w:link w:val="Nadpis2"/>
    <w:uiPriority w:val="9"/>
    <w:rsid w:val="007951E0"/>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5144C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144C8"/>
  </w:style>
  <w:style w:type="paragraph" w:styleId="Zpat">
    <w:name w:val="footer"/>
    <w:basedOn w:val="Normln"/>
    <w:link w:val="ZpatChar"/>
    <w:uiPriority w:val="99"/>
    <w:unhideWhenUsed/>
    <w:rsid w:val="005144C8"/>
    <w:pPr>
      <w:tabs>
        <w:tab w:val="center" w:pos="4536"/>
        <w:tab w:val="right" w:pos="9072"/>
      </w:tabs>
      <w:spacing w:after="0" w:line="240" w:lineRule="auto"/>
    </w:pPr>
  </w:style>
  <w:style w:type="character" w:customStyle="1" w:styleId="ZpatChar">
    <w:name w:val="Zápatí Char"/>
    <w:basedOn w:val="Standardnpsmoodstavce"/>
    <w:link w:val="Zpat"/>
    <w:uiPriority w:val="99"/>
    <w:rsid w:val="005144C8"/>
  </w:style>
  <w:style w:type="table" w:styleId="Tabulkaseznamu3">
    <w:name w:val="List Table 3"/>
    <w:basedOn w:val="Normlntabulka"/>
    <w:uiPriority w:val="48"/>
    <w:rsid w:val="00C3607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styleId="Hypertextovodkaz">
    <w:name w:val="Hyperlink"/>
    <w:uiPriority w:val="99"/>
    <w:rsid w:val="00143BA7"/>
    <w:rPr>
      <w:rFonts w:cs="Times New Roman"/>
      <w:color w:val="0000FF"/>
      <w:u w:val="single"/>
    </w:rPr>
  </w:style>
  <w:style w:type="character" w:customStyle="1" w:styleId="detail">
    <w:name w:val="detail"/>
    <w:basedOn w:val="Standardnpsmoodstavce"/>
    <w:rsid w:val="00E25324"/>
  </w:style>
  <w:style w:type="paragraph" w:styleId="Textbubliny">
    <w:name w:val="Balloon Text"/>
    <w:basedOn w:val="Normln"/>
    <w:link w:val="TextbublinyChar"/>
    <w:uiPriority w:val="99"/>
    <w:semiHidden/>
    <w:unhideWhenUsed/>
    <w:rsid w:val="00D260A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260A6"/>
    <w:rPr>
      <w:rFonts w:ascii="Segoe UI" w:hAnsi="Segoe UI" w:cs="Segoe UI"/>
      <w:sz w:val="18"/>
      <w:szCs w:val="18"/>
    </w:rPr>
  </w:style>
  <w:style w:type="character" w:customStyle="1" w:styleId="rf-trn-lbl">
    <w:name w:val="rf-trn-lbl"/>
    <w:basedOn w:val="Standardnpsmoodstavce"/>
    <w:rsid w:val="00936D85"/>
  </w:style>
  <w:style w:type="paragraph" w:styleId="Bezmezer">
    <w:name w:val="No Spacing"/>
    <w:uiPriority w:val="1"/>
    <w:qFormat/>
    <w:rsid w:val="002F4E3E"/>
    <w:pPr>
      <w:spacing w:after="0" w:line="240" w:lineRule="auto"/>
    </w:pPr>
    <w:rPr>
      <w:rFonts w:ascii="Times New Roman" w:eastAsia="Times New Roman" w:hAnsi="Times New Roman" w:cs="Times New Roman"/>
      <w:sz w:val="24"/>
      <w:szCs w:val="24"/>
      <w:lang w:eastAsia="cs-CZ"/>
    </w:rPr>
  </w:style>
  <w:style w:type="paragraph" w:styleId="Zkladntext2">
    <w:name w:val="Body Text 2"/>
    <w:basedOn w:val="Normln"/>
    <w:link w:val="Zkladntext2Char"/>
    <w:rsid w:val="00B9656A"/>
    <w:pPr>
      <w:spacing w:after="0" w:line="240" w:lineRule="auto"/>
    </w:pPr>
    <w:rPr>
      <w:rFonts w:ascii="Arial" w:eastAsia="Times New Roman" w:hAnsi="Arial" w:cs="Times New Roman"/>
      <w:szCs w:val="20"/>
      <w:lang w:eastAsia="cs-CZ"/>
    </w:rPr>
  </w:style>
  <w:style w:type="character" w:customStyle="1" w:styleId="Zkladntext2Char">
    <w:name w:val="Základní text 2 Char"/>
    <w:basedOn w:val="Standardnpsmoodstavce"/>
    <w:link w:val="Zkladntext2"/>
    <w:rsid w:val="00B9656A"/>
    <w:rPr>
      <w:rFonts w:ascii="Arial" w:eastAsia="Times New Roman" w:hAnsi="Arial"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59274">
      <w:bodyDiv w:val="1"/>
      <w:marLeft w:val="0"/>
      <w:marRight w:val="0"/>
      <w:marTop w:val="0"/>
      <w:marBottom w:val="0"/>
      <w:divBdr>
        <w:top w:val="none" w:sz="0" w:space="0" w:color="auto"/>
        <w:left w:val="none" w:sz="0" w:space="0" w:color="auto"/>
        <w:bottom w:val="none" w:sz="0" w:space="0" w:color="auto"/>
        <w:right w:val="none" w:sz="0" w:space="0" w:color="auto"/>
      </w:divBdr>
    </w:div>
    <w:div w:id="824053254">
      <w:bodyDiv w:val="1"/>
      <w:marLeft w:val="0"/>
      <w:marRight w:val="0"/>
      <w:marTop w:val="0"/>
      <w:marBottom w:val="0"/>
      <w:divBdr>
        <w:top w:val="none" w:sz="0" w:space="0" w:color="auto"/>
        <w:left w:val="none" w:sz="0" w:space="0" w:color="auto"/>
        <w:bottom w:val="none" w:sz="0" w:space="0" w:color="auto"/>
        <w:right w:val="none" w:sz="0" w:space="0" w:color="auto"/>
      </w:divBdr>
    </w:div>
    <w:div w:id="1035496062">
      <w:bodyDiv w:val="1"/>
      <w:marLeft w:val="0"/>
      <w:marRight w:val="0"/>
      <w:marTop w:val="0"/>
      <w:marBottom w:val="0"/>
      <w:divBdr>
        <w:top w:val="none" w:sz="0" w:space="0" w:color="auto"/>
        <w:left w:val="none" w:sz="0" w:space="0" w:color="auto"/>
        <w:bottom w:val="none" w:sz="0" w:space="0" w:color="auto"/>
        <w:right w:val="none" w:sz="0" w:space="0" w:color="auto"/>
      </w:divBdr>
    </w:div>
    <w:div w:id="1911695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i.cz/cs/epodateln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oi.cz/cs/epodatelna"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76C1F0-DC15-4DC1-9C3C-A801DC7C9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3</Pages>
  <Words>882</Words>
  <Characters>5208</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jpeskova</dc:creator>
  <cp:lastModifiedBy>Thompson Blanka, Ing.</cp:lastModifiedBy>
  <cp:revision>14</cp:revision>
  <cp:lastPrinted>2017-05-10T12:25:00Z</cp:lastPrinted>
  <dcterms:created xsi:type="dcterms:W3CDTF">2017-05-09T08:48:00Z</dcterms:created>
  <dcterms:modified xsi:type="dcterms:W3CDTF">2017-05-11T06:54:00Z</dcterms:modified>
</cp:coreProperties>
</file>