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A355" w14:textId="60D51F66" w:rsidR="00CC11A9" w:rsidRPr="00470593" w:rsidRDefault="001266B5" w:rsidP="001266B5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61530E">
        <w:rPr>
          <w:rFonts w:eastAsia="Times New Roman"/>
          <w:sz w:val="21"/>
          <w:szCs w:val="21"/>
          <w:lang w:eastAsia="cs-CZ"/>
        </w:rPr>
        <w:t xml:space="preserve">                                                                              </w:t>
      </w:r>
      <w:r w:rsidR="00E1020F">
        <w:rPr>
          <w:rFonts w:eastAsia="Times New Roman"/>
          <w:sz w:val="21"/>
          <w:szCs w:val="21"/>
          <w:lang w:eastAsia="cs-CZ"/>
        </w:rPr>
        <w:t xml:space="preserve">        </w:t>
      </w:r>
      <w:r w:rsidRPr="0061530E">
        <w:rPr>
          <w:rFonts w:eastAsia="Times New Roman"/>
          <w:sz w:val="21"/>
          <w:szCs w:val="21"/>
          <w:lang w:eastAsia="cs-CZ"/>
        </w:rPr>
        <w:t xml:space="preserve">     </w:t>
      </w:r>
      <w:r w:rsidR="00CC11A9" w:rsidRPr="00470593">
        <w:rPr>
          <w:rFonts w:eastAsia="Times New Roman"/>
          <w:lang w:eastAsia="cs-CZ"/>
        </w:rPr>
        <w:t xml:space="preserve">Evidenční číslo smlouvy: </w:t>
      </w:r>
      <w:r w:rsidR="00040867" w:rsidRPr="00470593">
        <w:rPr>
          <w:rFonts w:eastAsia="Times New Roman"/>
          <w:b/>
          <w:lang w:eastAsia="cs-CZ"/>
        </w:rPr>
        <w:t>KK</w:t>
      </w:r>
      <w:r w:rsidR="00C52AB1" w:rsidRPr="00470593">
        <w:rPr>
          <w:rFonts w:eastAsia="Times New Roman"/>
          <w:b/>
          <w:lang w:eastAsia="cs-CZ"/>
        </w:rPr>
        <w:t xml:space="preserve"> </w:t>
      </w:r>
      <w:r w:rsidR="00470593" w:rsidRPr="00470593">
        <w:rPr>
          <w:rFonts w:eastAsia="Times New Roman"/>
          <w:b/>
          <w:lang w:eastAsia="cs-CZ"/>
        </w:rPr>
        <w:t>03504</w:t>
      </w:r>
      <w:r w:rsidR="00E1020F" w:rsidRPr="00470593">
        <w:rPr>
          <w:rFonts w:eastAsia="Times New Roman"/>
          <w:b/>
          <w:lang w:eastAsia="cs-CZ"/>
        </w:rPr>
        <w:t>/</w:t>
      </w:r>
      <w:r w:rsidRPr="00470593">
        <w:rPr>
          <w:rFonts w:eastAsia="Times New Roman"/>
          <w:b/>
          <w:lang w:eastAsia="cs-CZ"/>
        </w:rPr>
        <w:t>202</w:t>
      </w:r>
      <w:r w:rsidR="00000D06" w:rsidRPr="00470593">
        <w:rPr>
          <w:rFonts w:eastAsia="Times New Roman"/>
          <w:b/>
          <w:lang w:eastAsia="cs-CZ"/>
        </w:rPr>
        <w:t>2</w:t>
      </w:r>
    </w:p>
    <w:p w14:paraId="113EBAFD" w14:textId="77777777" w:rsidR="00CC11A9" w:rsidRPr="0061530E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7"/>
          <w:szCs w:val="27"/>
          <w:lang w:eastAsia="cs-CZ"/>
        </w:rPr>
      </w:pPr>
    </w:p>
    <w:p w14:paraId="2E983DD9" w14:textId="77777777" w:rsidR="00CC11A9" w:rsidRPr="0061530E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7"/>
          <w:szCs w:val="27"/>
          <w:lang w:eastAsia="cs-CZ"/>
        </w:rPr>
      </w:pPr>
      <w:r w:rsidRPr="0061530E">
        <w:rPr>
          <w:rFonts w:eastAsia="Times New Roman"/>
          <w:b/>
          <w:bCs/>
          <w:caps/>
          <w:spacing w:val="60"/>
          <w:sz w:val="27"/>
          <w:szCs w:val="27"/>
          <w:lang w:eastAsia="cs-CZ"/>
        </w:rPr>
        <w:t>Veřejnoprávní smlouva</w:t>
      </w:r>
    </w:p>
    <w:p w14:paraId="218981AE" w14:textId="77777777" w:rsidR="00CC11A9" w:rsidRPr="0061530E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7"/>
          <w:szCs w:val="27"/>
          <w:lang w:eastAsia="cs-CZ"/>
        </w:rPr>
      </w:pPr>
      <w:r w:rsidRPr="0061530E">
        <w:rPr>
          <w:rFonts w:eastAsia="Times New Roman"/>
          <w:caps/>
          <w:sz w:val="27"/>
          <w:szCs w:val="27"/>
          <w:lang w:eastAsia="cs-CZ"/>
        </w:rPr>
        <w:tab/>
        <w:t>o poskytnutí dotace z rozpočtu Karlovarského kraje</w:t>
      </w:r>
    </w:p>
    <w:p w14:paraId="3340AD81" w14:textId="77777777" w:rsidR="00CC11A9" w:rsidRPr="0061530E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sz w:val="21"/>
          <w:szCs w:val="21"/>
          <w:lang w:eastAsia="cs-CZ"/>
        </w:rPr>
      </w:pPr>
      <w:r w:rsidRPr="0061530E">
        <w:rPr>
          <w:rFonts w:eastAsia="Times New Roman"/>
          <w:sz w:val="21"/>
          <w:szCs w:val="21"/>
          <w:lang w:eastAsia="cs-CZ"/>
        </w:rPr>
        <w:tab/>
        <w:t>(dále jen „</w:t>
      </w:r>
      <w:r w:rsidRPr="00321555">
        <w:rPr>
          <w:rFonts w:eastAsia="Times New Roman"/>
          <w:i/>
          <w:sz w:val="21"/>
          <w:szCs w:val="21"/>
          <w:lang w:eastAsia="cs-CZ"/>
        </w:rPr>
        <w:t>smlouva</w:t>
      </w:r>
      <w:r w:rsidRPr="0061530E">
        <w:rPr>
          <w:rFonts w:eastAsia="Times New Roman"/>
          <w:sz w:val="21"/>
          <w:szCs w:val="21"/>
          <w:lang w:eastAsia="cs-CZ"/>
        </w:rPr>
        <w:t>“)</w:t>
      </w:r>
    </w:p>
    <w:p w14:paraId="534CF7AB" w14:textId="77777777" w:rsidR="00CC11A9" w:rsidRPr="0061530E" w:rsidRDefault="00CC11A9" w:rsidP="00CC11A9">
      <w:pPr>
        <w:spacing w:after="0" w:line="240" w:lineRule="auto"/>
        <w:jc w:val="center"/>
        <w:rPr>
          <w:rFonts w:eastAsia="Times New Roman"/>
          <w:sz w:val="21"/>
          <w:szCs w:val="21"/>
          <w:lang w:eastAsia="cs-CZ"/>
        </w:rPr>
      </w:pPr>
    </w:p>
    <w:p w14:paraId="4AC631BD" w14:textId="77777777" w:rsidR="00CC11A9" w:rsidRPr="0061530E" w:rsidRDefault="00CC11A9" w:rsidP="00CC11A9">
      <w:pPr>
        <w:spacing w:after="0" w:line="240" w:lineRule="auto"/>
        <w:jc w:val="center"/>
        <w:rPr>
          <w:rFonts w:eastAsia="Times New Roman"/>
          <w:sz w:val="21"/>
          <w:szCs w:val="21"/>
          <w:lang w:eastAsia="cs-CZ"/>
        </w:rPr>
      </w:pPr>
    </w:p>
    <w:p w14:paraId="306EF89A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Smluvní strany:</w:t>
      </w:r>
    </w:p>
    <w:p w14:paraId="2C43F6BA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65CFBB0" w14:textId="77777777" w:rsidR="00CC11A9" w:rsidRPr="004650F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4650F8">
        <w:rPr>
          <w:rFonts w:eastAsia="Times New Roman"/>
          <w:b/>
          <w:lang w:eastAsia="cs-CZ"/>
        </w:rPr>
        <w:t>Karlovarský kraj</w:t>
      </w:r>
    </w:p>
    <w:p w14:paraId="783058AA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Adresa sídla:</w:t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  <w:t>Závodní 353/88, 360 06 Karlovy Vary – Dvory</w:t>
      </w:r>
    </w:p>
    <w:p w14:paraId="71C667C4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Identifikační číslo:</w:t>
      </w:r>
      <w:r w:rsidRPr="004650F8">
        <w:rPr>
          <w:rFonts w:eastAsia="Times New Roman"/>
          <w:lang w:eastAsia="cs-CZ"/>
        </w:rPr>
        <w:tab/>
        <w:t>70891168</w:t>
      </w:r>
    </w:p>
    <w:p w14:paraId="6387CDB3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DIČ:</w:t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  <w:t>CZ70891168</w:t>
      </w:r>
    </w:p>
    <w:p w14:paraId="6BEB43D6" w14:textId="77777777" w:rsidR="001266B5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Zastoupený:</w:t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</w:r>
      <w:r w:rsidR="001266B5" w:rsidRPr="004650F8">
        <w:rPr>
          <w:rFonts w:eastAsia="Times New Roman"/>
          <w:lang w:eastAsia="cs-CZ"/>
        </w:rPr>
        <w:t xml:space="preserve">Mgr. Jindřich Čermák, radní pro oblast vzdělávání, </w:t>
      </w:r>
    </w:p>
    <w:p w14:paraId="3B965397" w14:textId="77777777" w:rsidR="00CC11A9" w:rsidRPr="004650F8" w:rsidRDefault="001266B5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 xml:space="preserve">                                       </w:t>
      </w:r>
      <w:r w:rsidR="0034403B" w:rsidRPr="004650F8">
        <w:rPr>
          <w:rFonts w:eastAsia="Times New Roman"/>
          <w:lang w:eastAsia="cs-CZ"/>
        </w:rPr>
        <w:t xml:space="preserve"> </w:t>
      </w:r>
      <w:r w:rsidRPr="004650F8">
        <w:rPr>
          <w:rFonts w:eastAsia="Times New Roman"/>
          <w:lang w:eastAsia="cs-CZ"/>
        </w:rPr>
        <w:t>školství a mládeže, tělovýchovy a sportu</w:t>
      </w:r>
    </w:p>
    <w:p w14:paraId="1111A299" w14:textId="2C376348" w:rsidR="00CC11A9" w:rsidRPr="004650F8" w:rsidRDefault="00CC11A9" w:rsidP="001266B5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Bankovní spojení:</w:t>
      </w:r>
      <w:r w:rsidRPr="004650F8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 xml:space="preserve">XXXX      </w:t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</w:r>
      <w:r w:rsidRPr="004650F8">
        <w:rPr>
          <w:rFonts w:eastAsia="Times New Roman"/>
          <w:lang w:eastAsia="cs-CZ"/>
        </w:rPr>
        <w:tab/>
        <w:t>číslo účtu</w:t>
      </w:r>
      <w:r w:rsidRPr="004650F8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>XXXX</w:t>
      </w:r>
    </w:p>
    <w:p w14:paraId="097AEB91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Datová schránka:</w:t>
      </w:r>
      <w:r w:rsidRPr="004650F8">
        <w:rPr>
          <w:rFonts w:eastAsia="Times New Roman"/>
          <w:lang w:eastAsia="cs-CZ"/>
        </w:rPr>
        <w:tab/>
        <w:t>siqbxt2</w:t>
      </w:r>
    </w:p>
    <w:p w14:paraId="4BABC4AF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Administrující odbor:</w:t>
      </w:r>
      <w:r w:rsidRPr="004650F8">
        <w:rPr>
          <w:rFonts w:eastAsia="Times New Roman"/>
          <w:lang w:eastAsia="cs-CZ"/>
        </w:rPr>
        <w:tab/>
        <w:t>odbor</w:t>
      </w:r>
    </w:p>
    <w:p w14:paraId="17A55175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C32ADDA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(dále jen „</w:t>
      </w:r>
      <w:r w:rsidRPr="004650F8">
        <w:rPr>
          <w:rFonts w:eastAsia="Times New Roman"/>
          <w:i/>
          <w:lang w:eastAsia="cs-CZ"/>
        </w:rPr>
        <w:t>poskytovatel</w:t>
      </w:r>
      <w:r w:rsidRPr="004650F8">
        <w:rPr>
          <w:rFonts w:eastAsia="Times New Roman"/>
          <w:lang w:eastAsia="cs-CZ"/>
        </w:rPr>
        <w:t>“)</w:t>
      </w:r>
    </w:p>
    <w:p w14:paraId="7F444E72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A826BD7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a</w:t>
      </w:r>
    </w:p>
    <w:p w14:paraId="786FFDD4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B69AF6A" w14:textId="77777777" w:rsidR="00C63423" w:rsidRPr="004650F8" w:rsidRDefault="00484FBF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KRI o.p.s.</w:t>
      </w:r>
    </w:p>
    <w:p w14:paraId="207B6A06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Adresa sídla:</w:t>
      </w:r>
      <w:r w:rsidRPr="004650F8">
        <w:rPr>
          <w:rFonts w:eastAsia="Times New Roman"/>
          <w:bCs/>
          <w:lang w:eastAsia="cs-CZ"/>
        </w:rPr>
        <w:tab/>
      </w:r>
      <w:r w:rsidR="00484FBF" w:rsidRPr="004650F8">
        <w:rPr>
          <w:rFonts w:eastAsia="Times New Roman"/>
          <w:bCs/>
          <w:lang w:eastAsia="cs-CZ"/>
        </w:rPr>
        <w:t xml:space="preserve">Pohraniční stráže 350, 353 01 Velká </w:t>
      </w:r>
      <w:proofErr w:type="spellStart"/>
      <w:r w:rsidR="00484FBF" w:rsidRPr="004650F8">
        <w:rPr>
          <w:rFonts w:eastAsia="Times New Roman"/>
          <w:bCs/>
          <w:lang w:eastAsia="cs-CZ"/>
        </w:rPr>
        <w:t>Hleďsebe</w:t>
      </w:r>
      <w:proofErr w:type="spellEnd"/>
    </w:p>
    <w:p w14:paraId="399F2D0A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Identifikační číslo:</w:t>
      </w:r>
      <w:r w:rsidRPr="004650F8">
        <w:rPr>
          <w:rFonts w:eastAsia="Times New Roman"/>
          <w:bCs/>
          <w:lang w:eastAsia="cs-CZ"/>
        </w:rPr>
        <w:tab/>
      </w:r>
      <w:r w:rsidR="00484FBF" w:rsidRPr="004650F8">
        <w:rPr>
          <w:rFonts w:eastAsia="Times New Roman"/>
          <w:bCs/>
          <w:lang w:eastAsia="cs-CZ"/>
        </w:rPr>
        <w:t>27961311</w:t>
      </w:r>
    </w:p>
    <w:p w14:paraId="2A8FAFB3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DIČ:</w:t>
      </w:r>
      <w:r w:rsidRPr="004650F8">
        <w:rPr>
          <w:rFonts w:eastAsia="Times New Roman"/>
          <w:bCs/>
          <w:lang w:eastAsia="cs-CZ"/>
        </w:rPr>
        <w:tab/>
        <w:t>CZ</w:t>
      </w:r>
      <w:r w:rsidR="00484FBF" w:rsidRPr="004650F8">
        <w:rPr>
          <w:rFonts w:eastAsia="Times New Roman"/>
          <w:bCs/>
          <w:lang w:eastAsia="cs-CZ"/>
        </w:rPr>
        <w:t>27961311</w:t>
      </w:r>
    </w:p>
    <w:p w14:paraId="65544269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Právní forma:</w:t>
      </w:r>
      <w:r w:rsidRPr="004650F8">
        <w:rPr>
          <w:rFonts w:eastAsia="Times New Roman"/>
          <w:bCs/>
          <w:lang w:eastAsia="cs-CZ"/>
        </w:rPr>
        <w:tab/>
      </w:r>
      <w:r w:rsidR="00484FBF" w:rsidRPr="004650F8">
        <w:rPr>
          <w:rFonts w:eastAsia="Times New Roman"/>
          <w:bCs/>
          <w:lang w:eastAsia="cs-CZ"/>
        </w:rPr>
        <w:t>obecně prospěšná společnost</w:t>
      </w:r>
    </w:p>
    <w:p w14:paraId="6C84B4EC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4650F8">
        <w:rPr>
          <w:rFonts w:eastAsia="Times New Roman"/>
          <w:lang w:eastAsia="cs-CZ"/>
        </w:rPr>
        <w:t>Zastoupený:</w:t>
      </w:r>
      <w:r w:rsidRPr="004650F8">
        <w:rPr>
          <w:rFonts w:eastAsia="Times New Roman"/>
          <w:lang w:eastAsia="cs-CZ"/>
        </w:rPr>
        <w:tab/>
        <w:t xml:space="preserve">RNDr. </w:t>
      </w:r>
      <w:r w:rsidR="00484FBF" w:rsidRPr="004650F8">
        <w:rPr>
          <w:rFonts w:eastAsia="Times New Roman"/>
          <w:lang w:eastAsia="cs-CZ"/>
        </w:rPr>
        <w:t>Jiří Bytel</w:t>
      </w:r>
      <w:r w:rsidR="005C5746" w:rsidRPr="004650F8">
        <w:rPr>
          <w:rFonts w:eastAsia="Times New Roman"/>
          <w:lang w:eastAsia="cs-CZ"/>
        </w:rPr>
        <w:t>, člen statutárního orgánu</w:t>
      </w:r>
    </w:p>
    <w:p w14:paraId="3A1DA876" w14:textId="77777777" w:rsidR="005C5746" w:rsidRPr="004650F8" w:rsidRDefault="00C63423" w:rsidP="005C5746">
      <w:pPr>
        <w:spacing w:after="0" w:line="240" w:lineRule="auto"/>
        <w:ind w:left="3119" w:right="-57" w:hanging="3119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Reg</w:t>
      </w:r>
      <w:r w:rsidR="00484FBF" w:rsidRPr="004650F8">
        <w:rPr>
          <w:rFonts w:eastAsia="Arial Unicode MS"/>
          <w:lang w:eastAsia="cs-CZ"/>
        </w:rPr>
        <w:t xml:space="preserve">istrace ve veřejném rejstříku: </w:t>
      </w:r>
      <w:r w:rsidR="005C5746" w:rsidRPr="004650F8">
        <w:rPr>
          <w:rFonts w:eastAsia="Arial Unicode MS"/>
          <w:lang w:eastAsia="cs-CZ"/>
        </w:rPr>
        <w:t>rejstřík obecně prospěšných společností vedený Krajským soudem v Plzni, oddíl O, vložka 101</w:t>
      </w:r>
    </w:p>
    <w:p w14:paraId="1ED491E8" w14:textId="6CD0FD98" w:rsidR="00C63423" w:rsidRPr="004650F8" w:rsidRDefault="00C63423" w:rsidP="00C6342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Bankovní spojení:</w:t>
      </w:r>
      <w:r w:rsidRPr="004650F8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>XXXX</w:t>
      </w:r>
      <w:r w:rsidR="00484FBF" w:rsidRPr="004650F8">
        <w:rPr>
          <w:rFonts w:eastAsia="Times New Roman"/>
          <w:lang w:eastAsia="cs-CZ"/>
        </w:rPr>
        <w:t xml:space="preserve">.  </w:t>
      </w:r>
      <w:r w:rsidRPr="004650F8">
        <w:rPr>
          <w:rFonts w:eastAsia="Times New Roman"/>
          <w:lang w:eastAsia="cs-CZ"/>
        </w:rPr>
        <w:t xml:space="preserve">  </w:t>
      </w:r>
      <w:r w:rsidR="00484FBF" w:rsidRPr="004650F8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 xml:space="preserve">  </w:t>
      </w:r>
      <w:r w:rsidR="00674125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ab/>
      </w:r>
      <w:r w:rsidR="00484FBF" w:rsidRPr="004650F8">
        <w:rPr>
          <w:rFonts w:eastAsia="Times New Roman"/>
          <w:lang w:eastAsia="cs-CZ"/>
        </w:rPr>
        <w:t xml:space="preserve">číslo účtu: </w:t>
      </w:r>
      <w:r w:rsidR="00674125">
        <w:rPr>
          <w:rFonts w:eastAsia="Times New Roman"/>
          <w:lang w:eastAsia="cs-CZ"/>
        </w:rPr>
        <w:t>XXXX</w:t>
      </w:r>
    </w:p>
    <w:p w14:paraId="5BEE3F5B" w14:textId="30C9DB42" w:rsidR="00C63423" w:rsidRPr="004650F8" w:rsidRDefault="00484FBF" w:rsidP="00C63423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Datová schránka</w:t>
      </w:r>
      <w:r w:rsidR="00C63423" w:rsidRPr="004650F8">
        <w:rPr>
          <w:rFonts w:eastAsia="Times New Roman"/>
          <w:lang w:eastAsia="cs-CZ"/>
        </w:rPr>
        <w:t>:</w:t>
      </w:r>
      <w:r w:rsidR="00C63423" w:rsidRPr="004650F8">
        <w:rPr>
          <w:rFonts w:eastAsia="Times New Roman"/>
          <w:lang w:eastAsia="cs-CZ"/>
        </w:rPr>
        <w:tab/>
      </w:r>
      <w:r w:rsidR="00674125">
        <w:rPr>
          <w:rFonts w:eastAsia="Times New Roman"/>
          <w:lang w:eastAsia="cs-CZ"/>
        </w:rPr>
        <w:t>XXXX</w:t>
      </w:r>
    </w:p>
    <w:p w14:paraId="5E016A3C" w14:textId="77777777" w:rsidR="00C63423" w:rsidRPr="004650F8" w:rsidRDefault="00C63423" w:rsidP="00C63423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Plátce DPH</w:t>
      </w:r>
    </w:p>
    <w:p w14:paraId="77557A60" w14:textId="77777777" w:rsidR="00C63423" w:rsidRPr="004650F8" w:rsidRDefault="00C63423" w:rsidP="00C6342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544BB60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(dále jen „</w:t>
      </w:r>
      <w:r w:rsidRPr="004650F8">
        <w:rPr>
          <w:rFonts w:eastAsia="Times New Roman"/>
          <w:i/>
          <w:lang w:eastAsia="cs-CZ"/>
        </w:rPr>
        <w:t>příjemce</w:t>
      </w:r>
      <w:r w:rsidRPr="004650F8">
        <w:rPr>
          <w:rFonts w:eastAsia="Times New Roman"/>
          <w:lang w:eastAsia="cs-CZ"/>
        </w:rPr>
        <w:t>“)</w:t>
      </w:r>
    </w:p>
    <w:p w14:paraId="58D50726" w14:textId="77777777" w:rsidR="00CC11A9" w:rsidRPr="004650F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F801C43" w14:textId="77777777" w:rsidR="00B766F2" w:rsidRPr="004650F8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0C91FE9" w14:textId="77777777" w:rsidR="00CC11A9" w:rsidRPr="004650F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I.</w:t>
      </w:r>
    </w:p>
    <w:p w14:paraId="6EDA2B4C" w14:textId="77777777" w:rsidR="00CC11A9" w:rsidRPr="004650F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Obecné ustanovení</w:t>
      </w:r>
    </w:p>
    <w:p w14:paraId="42BBF3FA" w14:textId="77777777" w:rsidR="00CC11A9" w:rsidRPr="004650F8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4650F8">
        <w:rPr>
          <w:rFonts w:eastAsia="Arial Unicode MS"/>
          <w:i/>
          <w:lang w:eastAsia="cs-CZ"/>
        </w:rPr>
        <w:t>RPÚR</w:t>
      </w:r>
      <w:r w:rsidRPr="004650F8">
        <w:rPr>
          <w:rFonts w:eastAsia="Arial Unicode MS"/>
          <w:lang w:eastAsia="cs-CZ"/>
        </w:rPr>
        <w:t>“) poskytovatel poskytuje příjemci dotaci na účel</w:t>
      </w:r>
      <w:r w:rsidR="005D7BD5" w:rsidRPr="004650F8">
        <w:rPr>
          <w:rFonts w:eastAsia="Arial Unicode MS"/>
          <w:lang w:eastAsia="cs-CZ"/>
        </w:rPr>
        <w:t xml:space="preserve"> uvedený v článku II. smlouvy a </w:t>
      </w:r>
      <w:r w:rsidRPr="004650F8">
        <w:rPr>
          <w:rFonts w:eastAsia="Arial Unicode MS"/>
          <w:lang w:eastAsia="cs-CZ"/>
        </w:rPr>
        <w:t>příjemce tuto dotaci přijímá.</w:t>
      </w:r>
    </w:p>
    <w:p w14:paraId="3F8B90EB" w14:textId="77777777" w:rsidR="00CC11A9" w:rsidRPr="004650F8" w:rsidRDefault="00B766F2" w:rsidP="00C51CA7">
      <w:pPr>
        <w:spacing w:after="0" w:line="259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lang w:eastAsia="cs-CZ"/>
        </w:rPr>
        <w:br w:type="page"/>
      </w:r>
      <w:r w:rsidR="00CC11A9" w:rsidRPr="004650F8">
        <w:rPr>
          <w:rFonts w:eastAsia="Times New Roman"/>
          <w:b/>
          <w:bCs/>
          <w:lang w:eastAsia="cs-CZ"/>
        </w:rPr>
        <w:lastRenderedPageBreak/>
        <w:t>Článek II.</w:t>
      </w:r>
    </w:p>
    <w:p w14:paraId="68434BB4" w14:textId="77777777" w:rsidR="00CC11A9" w:rsidRPr="004650F8" w:rsidRDefault="00CC11A9" w:rsidP="00C51CA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Výše dotace, její účel a údaje o dotaci</w:t>
      </w:r>
    </w:p>
    <w:p w14:paraId="65DA07A6" w14:textId="47932F93" w:rsidR="00CC11A9" w:rsidRPr="004650F8" w:rsidRDefault="00CC11A9" w:rsidP="00DC099B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Poskytovatel poskytuje příjemci dotaci z rozpočtu poskytovatele v kalendářním roce, ve výši a </w:t>
      </w:r>
      <w:r w:rsidRPr="004650F8">
        <w:rPr>
          <w:iCs/>
          <w:snapToGrid w:val="0"/>
          <w:sz w:val="22"/>
          <w:szCs w:val="22"/>
        </w:rPr>
        <w:t xml:space="preserve">na účel </w:t>
      </w:r>
      <w:r w:rsidRPr="004650F8">
        <w:rPr>
          <w:sz w:val="22"/>
          <w:szCs w:val="22"/>
        </w:rPr>
        <w:t xml:space="preserve">podle údajů uvedených v odstavci 2. tohoto článku. </w:t>
      </w:r>
    </w:p>
    <w:p w14:paraId="7494EF12" w14:textId="77777777" w:rsidR="004650F8" w:rsidRPr="004650F8" w:rsidRDefault="004650F8" w:rsidP="004650F8">
      <w:pPr>
        <w:pStyle w:val="Normlnweb"/>
        <w:ind w:left="426"/>
        <w:rPr>
          <w:b/>
          <w:bCs/>
          <w:sz w:val="22"/>
          <w:szCs w:val="22"/>
        </w:rPr>
      </w:pPr>
    </w:p>
    <w:p w14:paraId="7864679C" w14:textId="77777777" w:rsidR="00CC11A9" w:rsidRPr="004650F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Údaje o dotaci:</w:t>
      </w:r>
    </w:p>
    <w:p w14:paraId="3EE7B2A0" w14:textId="77777777" w:rsidR="00CC11A9" w:rsidRPr="004650F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Dotace se poskytuje v kalendářním roce:</w:t>
      </w:r>
      <w:r w:rsidRPr="004650F8">
        <w:rPr>
          <w:sz w:val="22"/>
          <w:szCs w:val="22"/>
        </w:rPr>
        <w:tab/>
      </w:r>
      <w:r w:rsidR="0012634F" w:rsidRPr="004650F8">
        <w:rPr>
          <w:b/>
          <w:sz w:val="22"/>
          <w:szCs w:val="22"/>
        </w:rPr>
        <w:t>2</w:t>
      </w:r>
      <w:r w:rsidR="002B1314" w:rsidRPr="004650F8">
        <w:rPr>
          <w:b/>
          <w:sz w:val="22"/>
          <w:szCs w:val="22"/>
        </w:rPr>
        <w:t>02</w:t>
      </w:r>
      <w:r w:rsidR="00000D06" w:rsidRPr="004650F8">
        <w:rPr>
          <w:b/>
          <w:sz w:val="22"/>
          <w:szCs w:val="22"/>
        </w:rPr>
        <w:t>2</w:t>
      </w:r>
    </w:p>
    <w:p w14:paraId="59BC6DC7" w14:textId="77777777" w:rsidR="00CC11A9" w:rsidRPr="004650F8" w:rsidRDefault="00484FBF" w:rsidP="00484FBF">
      <w:pPr>
        <w:pStyle w:val="Normlnweb"/>
        <w:ind w:left="4248" w:hanging="3822"/>
        <w:jc w:val="left"/>
        <w:rPr>
          <w:sz w:val="22"/>
          <w:szCs w:val="22"/>
        </w:rPr>
      </w:pPr>
      <w:r w:rsidRPr="004650F8">
        <w:rPr>
          <w:sz w:val="22"/>
          <w:szCs w:val="22"/>
        </w:rPr>
        <w:t>Dotace se poskytuje ve výši:</w:t>
      </w:r>
      <w:r w:rsidRPr="004650F8">
        <w:rPr>
          <w:sz w:val="22"/>
          <w:szCs w:val="22"/>
        </w:rPr>
        <w:tab/>
      </w:r>
      <w:r w:rsidR="00000D06" w:rsidRPr="004650F8">
        <w:rPr>
          <w:b/>
          <w:sz w:val="22"/>
          <w:szCs w:val="22"/>
        </w:rPr>
        <w:t>1</w:t>
      </w:r>
      <w:r w:rsidR="00DB18CC" w:rsidRPr="004650F8">
        <w:rPr>
          <w:b/>
          <w:sz w:val="22"/>
          <w:szCs w:val="22"/>
        </w:rPr>
        <w:t>.</w:t>
      </w:r>
      <w:r w:rsidRPr="004650F8">
        <w:rPr>
          <w:b/>
          <w:sz w:val="22"/>
          <w:szCs w:val="22"/>
        </w:rPr>
        <w:t>449</w:t>
      </w:r>
      <w:r w:rsidR="00DB18CC" w:rsidRPr="004650F8">
        <w:rPr>
          <w:b/>
          <w:sz w:val="22"/>
          <w:szCs w:val="22"/>
        </w:rPr>
        <w:t>.000</w:t>
      </w:r>
      <w:r w:rsidR="00CC11A9" w:rsidRPr="004650F8">
        <w:rPr>
          <w:b/>
          <w:bCs/>
          <w:sz w:val="22"/>
          <w:szCs w:val="22"/>
        </w:rPr>
        <w:t xml:space="preserve"> Kč</w:t>
      </w:r>
      <w:r w:rsidR="002B1314" w:rsidRPr="004650F8">
        <w:rPr>
          <w:sz w:val="22"/>
          <w:szCs w:val="22"/>
        </w:rPr>
        <w:t xml:space="preserve"> </w:t>
      </w:r>
      <w:r w:rsidR="00CC11A9" w:rsidRPr="004650F8">
        <w:rPr>
          <w:sz w:val="22"/>
          <w:szCs w:val="22"/>
        </w:rPr>
        <w:t>(</w:t>
      </w:r>
      <w:r w:rsidR="005C4E9D" w:rsidRPr="004650F8">
        <w:rPr>
          <w:sz w:val="22"/>
          <w:szCs w:val="22"/>
        </w:rPr>
        <w:t>s</w:t>
      </w:r>
      <w:r w:rsidR="00CC11A9" w:rsidRPr="004650F8">
        <w:rPr>
          <w:sz w:val="22"/>
          <w:szCs w:val="22"/>
        </w:rPr>
        <w:t xml:space="preserve">lovy: </w:t>
      </w:r>
      <w:r w:rsidR="00A65E5B" w:rsidRPr="004650F8">
        <w:rPr>
          <w:sz w:val="22"/>
          <w:szCs w:val="22"/>
        </w:rPr>
        <w:t>jeden</w:t>
      </w:r>
      <w:r w:rsidR="008B1D3E" w:rsidRPr="004650F8">
        <w:rPr>
          <w:sz w:val="22"/>
          <w:szCs w:val="22"/>
        </w:rPr>
        <w:t xml:space="preserve"> milion </w:t>
      </w:r>
      <w:r w:rsidRPr="004650F8">
        <w:rPr>
          <w:sz w:val="22"/>
          <w:szCs w:val="22"/>
        </w:rPr>
        <w:t xml:space="preserve">čtyři sta čtyřicet devět </w:t>
      </w:r>
      <w:r w:rsidR="008B1D3E" w:rsidRPr="004650F8">
        <w:rPr>
          <w:sz w:val="22"/>
          <w:szCs w:val="22"/>
        </w:rPr>
        <w:t>k</w:t>
      </w:r>
      <w:r w:rsidR="002B1314" w:rsidRPr="004650F8">
        <w:rPr>
          <w:sz w:val="22"/>
          <w:szCs w:val="22"/>
        </w:rPr>
        <w:t>orun českých</w:t>
      </w:r>
      <w:r w:rsidR="00CC11A9" w:rsidRPr="004650F8">
        <w:rPr>
          <w:sz w:val="22"/>
          <w:szCs w:val="22"/>
        </w:rPr>
        <w:t>)</w:t>
      </w:r>
    </w:p>
    <w:p w14:paraId="2CCC5A57" w14:textId="77777777" w:rsidR="00CC11A9" w:rsidRPr="004650F8" w:rsidRDefault="00CC11A9" w:rsidP="00321555">
      <w:pPr>
        <w:pStyle w:val="Normlnweb"/>
        <w:ind w:left="4248" w:right="-284" w:hanging="3822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Dotace se poskytuje na účel:</w:t>
      </w:r>
      <w:r w:rsidRPr="004650F8">
        <w:rPr>
          <w:sz w:val="22"/>
          <w:szCs w:val="22"/>
        </w:rPr>
        <w:tab/>
      </w:r>
      <w:r w:rsidR="005C5746" w:rsidRPr="004650F8">
        <w:rPr>
          <w:b/>
          <w:sz w:val="22"/>
          <w:szCs w:val="22"/>
        </w:rPr>
        <w:t>realizace speciálního vzdělávacího programu pro ukrajinské děti ve věku 15 až 18 let</w:t>
      </w:r>
    </w:p>
    <w:p w14:paraId="36B2766D" w14:textId="77777777" w:rsidR="00321555" w:rsidRPr="004650F8" w:rsidRDefault="00321555" w:rsidP="00CC11A9">
      <w:pPr>
        <w:pStyle w:val="Normlnweb"/>
        <w:ind w:left="426"/>
        <w:rPr>
          <w:b/>
          <w:sz w:val="22"/>
          <w:szCs w:val="22"/>
        </w:rPr>
      </w:pPr>
    </w:p>
    <w:p w14:paraId="7775FDA0" w14:textId="01FF0CB1" w:rsidR="00CC11A9" w:rsidRPr="004650F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Platba dotace bude opatřena variabilním symbolem:</w:t>
      </w:r>
      <w:r w:rsidRPr="004650F8">
        <w:rPr>
          <w:sz w:val="22"/>
          <w:szCs w:val="22"/>
        </w:rPr>
        <w:tab/>
      </w:r>
      <w:r w:rsidR="00674125">
        <w:rPr>
          <w:b/>
          <w:sz w:val="22"/>
          <w:szCs w:val="22"/>
        </w:rPr>
        <w:t>XXXX</w:t>
      </w:r>
    </w:p>
    <w:p w14:paraId="048FCEA7" w14:textId="77777777" w:rsidR="00CF660D" w:rsidRPr="004650F8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BF782F5" w14:textId="77777777" w:rsidR="008045C2" w:rsidRPr="004650F8" w:rsidRDefault="008045C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67C3E1" w14:textId="77777777" w:rsidR="00D733D2" w:rsidRPr="004650F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III.</w:t>
      </w:r>
    </w:p>
    <w:p w14:paraId="04D23E2C" w14:textId="77777777" w:rsidR="00D733D2" w:rsidRPr="004650F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Způsob poskytnutí dotace</w:t>
      </w:r>
    </w:p>
    <w:p w14:paraId="10A7D0A4" w14:textId="77777777" w:rsidR="00D733D2" w:rsidRPr="004650F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Arial Unicode MS"/>
          <w:lang w:eastAsia="cs-CZ"/>
        </w:rPr>
        <w:t xml:space="preserve">Dotace bude příjemci poukázána jednorázově do </w:t>
      </w:r>
      <w:r w:rsidR="00063C82" w:rsidRPr="004650F8">
        <w:rPr>
          <w:rFonts w:eastAsia="Arial Unicode MS"/>
          <w:lang w:eastAsia="cs-CZ"/>
        </w:rPr>
        <w:t>20</w:t>
      </w:r>
      <w:r w:rsidR="00063C82" w:rsidRPr="004650F8">
        <w:rPr>
          <w:rFonts w:eastAsia="Arial Unicode MS"/>
          <w:color w:val="FF0000"/>
          <w:lang w:eastAsia="cs-CZ"/>
        </w:rPr>
        <w:t xml:space="preserve"> </w:t>
      </w:r>
      <w:r w:rsidRPr="004650F8">
        <w:rPr>
          <w:rFonts w:eastAsia="Arial Unicode MS"/>
          <w:lang w:eastAsia="cs-CZ"/>
        </w:rPr>
        <w:t xml:space="preserve">pracovních dnů od uzavření smlouvy, a to formou bezhotovostního převodu na bankovní účet příjemce uvedený </w:t>
      </w:r>
      <w:r w:rsidR="004F5509" w:rsidRPr="004650F8">
        <w:rPr>
          <w:rFonts w:eastAsia="Arial Unicode MS"/>
          <w:lang w:eastAsia="cs-CZ"/>
        </w:rPr>
        <w:t>v záhlaví smlouvy</w:t>
      </w:r>
      <w:r w:rsidRPr="004650F8">
        <w:rPr>
          <w:rFonts w:eastAsia="Arial Unicode MS"/>
          <w:lang w:eastAsia="cs-CZ"/>
        </w:rPr>
        <w:t>. Platba bude opatřena variabilním symbolem uvedeným v odstavci 2. čl. II</w:t>
      </w:r>
      <w:r w:rsidR="0012634F" w:rsidRPr="004650F8">
        <w:rPr>
          <w:rFonts w:eastAsia="Arial Unicode MS"/>
          <w:lang w:eastAsia="cs-CZ"/>
        </w:rPr>
        <w:t xml:space="preserve"> smlouvy</w:t>
      </w:r>
      <w:r w:rsidRPr="004650F8">
        <w:rPr>
          <w:rFonts w:eastAsia="Arial Unicode MS"/>
          <w:lang w:eastAsia="cs-CZ"/>
        </w:rPr>
        <w:t>.</w:t>
      </w:r>
    </w:p>
    <w:p w14:paraId="10FBDA76" w14:textId="77777777" w:rsidR="00D733D2" w:rsidRPr="004650F8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8F8A1E3" w14:textId="77777777" w:rsidR="00D733D2" w:rsidRPr="004650F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65675643" w14:textId="77777777" w:rsidR="00D733D2" w:rsidRPr="004650F8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486541B9" w14:textId="77777777" w:rsidR="00CF660D" w:rsidRPr="004650F8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F9739EF" w14:textId="77777777" w:rsidR="00D733D2" w:rsidRPr="004650F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IV.</w:t>
      </w:r>
    </w:p>
    <w:p w14:paraId="17967CF7" w14:textId="77777777" w:rsidR="00D733D2" w:rsidRPr="004650F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Základní povinnosti příjemce</w:t>
      </w:r>
    </w:p>
    <w:p w14:paraId="0344BC04" w14:textId="77777777" w:rsidR="00D733D2" w:rsidRPr="004650F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 xml:space="preserve">Příjemce je povinen vyčerpat poskytnuté finanční prostředky </w:t>
      </w:r>
      <w:r w:rsidRPr="004650F8">
        <w:rPr>
          <w:rFonts w:eastAsia="Arial Unicode MS"/>
          <w:b/>
          <w:lang w:eastAsia="cs-CZ"/>
        </w:rPr>
        <w:t>nejpozději do</w:t>
      </w:r>
      <w:r w:rsidR="00F4150B" w:rsidRPr="004650F8">
        <w:rPr>
          <w:rFonts w:eastAsia="Arial Unicode MS"/>
          <w:lang w:eastAsia="cs-CZ"/>
        </w:rPr>
        <w:t xml:space="preserve"> </w:t>
      </w:r>
      <w:r w:rsidR="00C54D28" w:rsidRPr="004650F8">
        <w:rPr>
          <w:rFonts w:eastAsia="Arial Unicode MS"/>
          <w:b/>
          <w:lang w:eastAsia="cs-CZ"/>
        </w:rPr>
        <w:t xml:space="preserve">30. 6. </w:t>
      </w:r>
      <w:r w:rsidR="00F4150B" w:rsidRPr="004650F8">
        <w:rPr>
          <w:rFonts w:eastAsia="Arial Unicode MS"/>
          <w:b/>
          <w:bCs/>
          <w:lang w:eastAsia="cs-CZ"/>
        </w:rPr>
        <w:t>202</w:t>
      </w:r>
      <w:r w:rsidR="00000D06" w:rsidRPr="004650F8">
        <w:rPr>
          <w:rFonts w:eastAsia="Arial Unicode MS"/>
          <w:b/>
          <w:bCs/>
          <w:lang w:eastAsia="cs-CZ"/>
        </w:rPr>
        <w:t>3</w:t>
      </w:r>
      <w:r w:rsidRPr="004650F8">
        <w:rPr>
          <w:rFonts w:eastAsia="Arial Unicode MS"/>
          <w:lang w:eastAsia="cs-CZ"/>
        </w:rPr>
        <w:t>.</w:t>
      </w:r>
      <w:r w:rsidR="00DF7ECE" w:rsidRPr="004650F8">
        <w:rPr>
          <w:rFonts w:eastAsia="Arial Unicode MS"/>
          <w:lang w:eastAsia="cs-CZ"/>
        </w:rPr>
        <w:t xml:space="preserve"> Vyčerpáním se rozumí datum ode</w:t>
      </w:r>
      <w:r w:rsidR="0015202A" w:rsidRPr="004650F8">
        <w:rPr>
          <w:rFonts w:eastAsia="Arial Unicode MS"/>
          <w:lang w:eastAsia="cs-CZ"/>
        </w:rPr>
        <w:t>ps</w:t>
      </w:r>
      <w:r w:rsidR="00DF7ECE" w:rsidRPr="004650F8">
        <w:rPr>
          <w:rFonts w:eastAsia="Arial Unicode MS"/>
          <w:lang w:eastAsia="cs-CZ"/>
        </w:rPr>
        <w:t>ání finančních prostředků z</w:t>
      </w:r>
      <w:r w:rsidR="0011738C" w:rsidRPr="004650F8">
        <w:rPr>
          <w:rFonts w:eastAsia="Arial Unicode MS"/>
          <w:lang w:eastAsia="cs-CZ"/>
        </w:rPr>
        <w:t xml:space="preserve"> </w:t>
      </w:r>
      <w:r w:rsidR="00DF7ECE" w:rsidRPr="004650F8">
        <w:rPr>
          <w:rFonts w:eastAsia="Arial Unicode MS"/>
          <w:lang w:eastAsia="cs-CZ"/>
        </w:rPr>
        <w:t>účtu příjemce, popř. datum zaplacení uvedené na daňovém dokladu v případě hotovostních plateb.</w:t>
      </w:r>
    </w:p>
    <w:p w14:paraId="7EEDA656" w14:textId="77777777" w:rsidR="00063C82" w:rsidRPr="004650F8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7E133CFB" w14:textId="77777777" w:rsidR="00EE507E" w:rsidRPr="004650F8" w:rsidRDefault="00D733D2" w:rsidP="00EE507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650F8">
        <w:rPr>
          <w:rFonts w:eastAsia="Arial Unicode MS"/>
          <w:lang w:eastAsia="cs-CZ"/>
        </w:rPr>
        <w:t>Příjemce je dále povinen</w:t>
      </w:r>
      <w:r w:rsidR="0011738C" w:rsidRPr="004650F8">
        <w:rPr>
          <w:rFonts w:eastAsia="Arial Unicode MS"/>
          <w:lang w:eastAsia="cs-CZ"/>
        </w:rPr>
        <w:t xml:space="preserve"> využít individuální neinvestiční dotaci ve výši </w:t>
      </w:r>
      <w:r w:rsidR="00000D06" w:rsidRPr="004650F8">
        <w:rPr>
          <w:rFonts w:eastAsia="Arial Unicode MS"/>
          <w:lang w:eastAsia="cs-CZ"/>
        </w:rPr>
        <w:t>1</w:t>
      </w:r>
      <w:r w:rsidR="00F04825" w:rsidRPr="004650F8">
        <w:rPr>
          <w:rFonts w:eastAsia="Arial Unicode MS"/>
          <w:lang w:eastAsia="cs-CZ"/>
        </w:rPr>
        <w:t>.</w:t>
      </w:r>
      <w:r w:rsidR="00C54D28" w:rsidRPr="004650F8">
        <w:rPr>
          <w:rFonts w:eastAsia="Arial Unicode MS"/>
          <w:lang w:eastAsia="cs-CZ"/>
        </w:rPr>
        <w:t>449</w:t>
      </w:r>
      <w:r w:rsidR="00F04825" w:rsidRPr="004650F8">
        <w:rPr>
          <w:rFonts w:eastAsia="Arial Unicode MS"/>
          <w:lang w:eastAsia="cs-CZ"/>
        </w:rPr>
        <w:t xml:space="preserve">.000 </w:t>
      </w:r>
      <w:r w:rsidR="0011738C" w:rsidRPr="004650F8">
        <w:rPr>
          <w:rFonts w:eastAsia="Arial Unicode MS"/>
          <w:lang w:eastAsia="cs-CZ"/>
        </w:rPr>
        <w:t xml:space="preserve">Kč výhradně na </w:t>
      </w:r>
      <w:r w:rsidR="00C54D28" w:rsidRPr="004650F8">
        <w:rPr>
          <w:rFonts w:eastAsia="Arial Unicode MS"/>
          <w:lang w:eastAsia="cs-CZ"/>
        </w:rPr>
        <w:t>realizaci speciálního vzdělávacího programu pro ukrajinské děti ve věku 15 až 18 let, zejména na zajištění prostor pro výuku (nájemné, energie, úklid, opravy, údržba), mzdové náklady, pomůcky a materiál pro výuku (dataprojektor, kancelářské potřeby aj</w:t>
      </w:r>
      <w:r w:rsidR="000A3079" w:rsidRPr="004650F8">
        <w:rPr>
          <w:rFonts w:eastAsia="Arial Unicode MS"/>
          <w:lang w:eastAsia="cs-CZ"/>
        </w:rPr>
        <w:t>.</w:t>
      </w:r>
      <w:r w:rsidR="00C54D28" w:rsidRPr="004650F8">
        <w:rPr>
          <w:rFonts w:eastAsia="Arial Unicode MS"/>
          <w:lang w:eastAsia="cs-CZ"/>
        </w:rPr>
        <w:t xml:space="preserve">) a související služby (kopírování aj.). </w:t>
      </w:r>
      <w:r w:rsidR="00EE507E" w:rsidRPr="004650F8">
        <w:t>P</w:t>
      </w:r>
      <w:r w:rsidR="00EE507E" w:rsidRPr="004650F8">
        <w:rPr>
          <w:rFonts w:eastAsia="Times New Roman"/>
          <w:bCs/>
          <w:lang w:eastAsia="cs-CZ"/>
        </w:rPr>
        <w:t>říjemce je povinen použít dotaci výhradně k účelům uvedeným v žádosti o individuální dotaci</w:t>
      </w:r>
      <w:r w:rsidR="00C54D28" w:rsidRPr="004650F8">
        <w:rPr>
          <w:rFonts w:eastAsia="Times New Roman"/>
          <w:bCs/>
          <w:lang w:eastAsia="cs-CZ"/>
        </w:rPr>
        <w:t xml:space="preserve"> ev. č. </w:t>
      </w:r>
      <w:r w:rsidR="00473F46" w:rsidRPr="004650F8">
        <w:rPr>
          <w:rFonts w:eastAsia="Times New Roman"/>
          <w:bCs/>
          <w:lang w:eastAsia="cs-CZ"/>
        </w:rPr>
        <w:t>KK-</w:t>
      </w:r>
      <w:r w:rsidR="00C54D28" w:rsidRPr="004650F8">
        <w:rPr>
          <w:rFonts w:eastAsia="Times New Roman"/>
          <w:bCs/>
          <w:lang w:eastAsia="cs-CZ"/>
        </w:rPr>
        <w:t>65656</w:t>
      </w:r>
      <w:r w:rsidR="00473F46" w:rsidRPr="004650F8">
        <w:rPr>
          <w:rFonts w:eastAsia="Times New Roman"/>
          <w:bCs/>
          <w:lang w:eastAsia="cs-CZ"/>
        </w:rPr>
        <w:t xml:space="preserve">/22 ze dne </w:t>
      </w:r>
      <w:r w:rsidR="00C54D28" w:rsidRPr="004650F8">
        <w:rPr>
          <w:rFonts w:eastAsia="Times New Roman"/>
          <w:bCs/>
          <w:lang w:eastAsia="cs-CZ"/>
        </w:rPr>
        <w:t>15. 8. 2022</w:t>
      </w:r>
      <w:r w:rsidR="00EE507E" w:rsidRPr="004650F8">
        <w:rPr>
          <w:rFonts w:eastAsia="Times New Roman"/>
          <w:bCs/>
          <w:lang w:eastAsia="cs-CZ"/>
        </w:rPr>
        <w:t>.</w:t>
      </w:r>
    </w:p>
    <w:p w14:paraId="4317772C" w14:textId="77777777" w:rsidR="008045C2" w:rsidRPr="004650F8" w:rsidRDefault="008045C2" w:rsidP="00EE507E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643B4EA" w14:textId="77777777" w:rsidR="00D3545F" w:rsidRPr="004650F8" w:rsidRDefault="00D3545F" w:rsidP="0012634F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1E805E5C" w14:textId="77777777" w:rsidR="00D733D2" w:rsidRPr="004650F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V.</w:t>
      </w:r>
    </w:p>
    <w:p w14:paraId="3DB0B1E2" w14:textId="77777777" w:rsidR="00D733D2" w:rsidRPr="004650F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O</w:t>
      </w:r>
      <w:r w:rsidR="00D733D2" w:rsidRPr="004650F8">
        <w:rPr>
          <w:rFonts w:eastAsia="Times New Roman"/>
          <w:b/>
          <w:bCs/>
          <w:lang w:eastAsia="cs-CZ"/>
        </w:rPr>
        <w:t>statní povinnosti příjemce</w:t>
      </w:r>
    </w:p>
    <w:p w14:paraId="3EA5095D" w14:textId="77777777" w:rsidR="00D963F5" w:rsidRPr="004650F8" w:rsidRDefault="000007DA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</w:t>
      </w:r>
      <w:r w:rsidR="0085513E" w:rsidRPr="004650F8">
        <w:rPr>
          <w:rFonts w:eastAsia="Arial Unicode MS"/>
          <w:lang w:eastAsia="cs-CZ"/>
        </w:rPr>
        <w:t>íjemce je povinen řídit se</w:t>
      </w:r>
      <w:r w:rsidRPr="004650F8">
        <w:rPr>
          <w:rFonts w:eastAsia="Arial Unicode MS"/>
          <w:lang w:eastAsia="cs-CZ"/>
        </w:rPr>
        <w:t xml:space="preserve"> smlouvou.</w:t>
      </w:r>
    </w:p>
    <w:p w14:paraId="5C64FB97" w14:textId="77777777" w:rsidR="00C51CA7" w:rsidRPr="004650F8" w:rsidRDefault="00C51CA7" w:rsidP="00C51CA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914C2A6" w14:textId="77777777" w:rsidR="008F0B23" w:rsidRPr="004650F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4650F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5513E" w:rsidRPr="004650F8">
        <w:rPr>
          <w:rFonts w:eastAsia="Arial Unicode MS"/>
          <w:lang w:eastAsia="cs-CZ"/>
        </w:rPr>
        <w:t>, žádosti o </w:t>
      </w:r>
      <w:r w:rsidR="00893799" w:rsidRPr="004650F8">
        <w:rPr>
          <w:rFonts w:eastAsia="Arial Unicode MS"/>
          <w:lang w:eastAsia="cs-CZ"/>
        </w:rPr>
        <w:t>dotaci</w:t>
      </w:r>
      <w:r w:rsidR="00C54D28" w:rsidRPr="004650F8">
        <w:rPr>
          <w:rFonts w:eastAsia="Arial Unicode MS"/>
          <w:lang w:eastAsia="cs-CZ"/>
        </w:rPr>
        <w:t xml:space="preserve"> a </w:t>
      </w:r>
      <w:r w:rsidR="00404DE1" w:rsidRPr="004650F8">
        <w:rPr>
          <w:rFonts w:eastAsia="Arial Unicode MS"/>
          <w:lang w:eastAsia="cs-CZ"/>
        </w:rPr>
        <w:t>dotačního programu</w:t>
      </w:r>
      <w:r w:rsidR="00244366" w:rsidRPr="004650F8">
        <w:rPr>
          <w:rFonts w:eastAsia="Arial Unicode MS"/>
          <w:lang w:eastAsia="cs-CZ"/>
        </w:rPr>
        <w:t>,</w:t>
      </w:r>
      <w:r w:rsidR="00404DE1" w:rsidRPr="004650F8">
        <w:rPr>
          <w:rFonts w:eastAsia="Arial Unicode MS"/>
          <w:lang w:eastAsia="cs-CZ"/>
        </w:rPr>
        <w:t xml:space="preserve"> nejedná se o porušení podmínek poskytnutí dotace. </w:t>
      </w:r>
      <w:r w:rsidRPr="004650F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4650F8">
        <w:rPr>
          <w:rFonts w:eastAsia="Arial Unicode MS"/>
          <w:lang w:eastAsia="cs-CZ"/>
        </w:rPr>
        <w:t> </w:t>
      </w:r>
      <w:r w:rsidRPr="004650F8">
        <w:rPr>
          <w:rFonts w:eastAsia="Arial Unicode MS"/>
          <w:lang w:eastAsia="cs-CZ"/>
        </w:rPr>
        <w:t>nejde o úhrady spojené s realizací účelu, na který byly poskytnuty). Dále příjemce tyto prostředky nesmí použít na dary, pohoštění, mzdy pracovníků nebo funkcionářů příjemce či</w:t>
      </w:r>
      <w:r w:rsidR="00CF660D" w:rsidRPr="004650F8">
        <w:rPr>
          <w:rFonts w:eastAsia="Arial Unicode MS"/>
          <w:lang w:eastAsia="cs-CZ"/>
        </w:rPr>
        <w:t> </w:t>
      </w:r>
      <w:r w:rsidRPr="004650F8">
        <w:rPr>
          <w:rFonts w:eastAsia="Arial Unicode MS"/>
          <w:lang w:eastAsia="cs-CZ"/>
        </w:rPr>
        <w:t xml:space="preserve">příjemce samotného, </w:t>
      </w:r>
      <w:r w:rsidR="00033EEB" w:rsidRPr="004650F8">
        <w:rPr>
          <w:rFonts w:eastAsia="Arial Unicode MS"/>
          <w:lang w:eastAsia="cs-CZ"/>
        </w:rPr>
        <w:t>poštovné</w:t>
      </w:r>
      <w:r w:rsidR="00C75871" w:rsidRPr="004650F8">
        <w:rPr>
          <w:rFonts w:eastAsia="Arial Unicode MS"/>
          <w:lang w:eastAsia="cs-CZ"/>
        </w:rPr>
        <w:t xml:space="preserve"> a balné</w:t>
      </w:r>
      <w:r w:rsidR="00033EEB" w:rsidRPr="004650F8">
        <w:rPr>
          <w:rFonts w:eastAsia="Arial Unicode MS"/>
          <w:lang w:eastAsia="cs-CZ"/>
        </w:rPr>
        <w:t xml:space="preserve">, </w:t>
      </w:r>
      <w:r w:rsidRPr="004650F8">
        <w:rPr>
          <w:rFonts w:eastAsia="Arial Unicode MS"/>
          <w:lang w:eastAsia="cs-CZ"/>
        </w:rPr>
        <w:t>penále, úroky z úvěrů, náhrady škod, pojistné, pokuty, úhrady dluhu apod.</w:t>
      </w:r>
    </w:p>
    <w:p w14:paraId="1C7C1846" w14:textId="77777777" w:rsidR="008F0B23" w:rsidRPr="004650F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FBBF139" w14:textId="77777777" w:rsidR="008F0B23" w:rsidRPr="004650F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4821EF99" w14:textId="77777777" w:rsidR="008F0B23" w:rsidRPr="004650F8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8F19CE4" w14:textId="77777777" w:rsidR="008F0B23" w:rsidRPr="004650F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 příjemcem.</w:t>
      </w:r>
    </w:p>
    <w:p w14:paraId="481CCEA3" w14:textId="77777777" w:rsidR="008F0B23" w:rsidRPr="004650F8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4302E11" w14:textId="77777777" w:rsidR="008F0B23" w:rsidRPr="004650F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t>Pokud příjemce vede účetnictví nebo daňovou evidenci</w:t>
      </w:r>
      <w:r w:rsidR="00244366" w:rsidRPr="004650F8">
        <w:t>,</w:t>
      </w:r>
      <w:r w:rsidRPr="004650F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650F8">
        <w:rPr>
          <w:rFonts w:eastAsia="Arial Unicode MS"/>
          <w:lang w:eastAsia="cs-CZ"/>
        </w:rPr>
        <w:t>.</w:t>
      </w:r>
    </w:p>
    <w:p w14:paraId="1763F667" w14:textId="77777777" w:rsidR="008F0B23" w:rsidRPr="004650F8" w:rsidRDefault="008F0B23" w:rsidP="008F0B2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0F0980B" w14:textId="77777777" w:rsidR="008F0B23" w:rsidRPr="004650F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="00C51CA7" w:rsidRPr="004650F8">
        <w:rPr>
          <w:rFonts w:eastAsia="Arial Unicode MS"/>
          <w:b/>
          <w:bCs/>
          <w:lang w:eastAsia="cs-CZ"/>
        </w:rPr>
        <w:t>31. prosince </w:t>
      </w:r>
      <w:r w:rsidR="009A6E34" w:rsidRPr="004650F8">
        <w:rPr>
          <w:rFonts w:eastAsia="Arial Unicode MS"/>
          <w:b/>
          <w:bCs/>
          <w:lang w:eastAsia="cs-CZ"/>
        </w:rPr>
        <w:t>202</w:t>
      </w:r>
      <w:r w:rsidR="00000D06" w:rsidRPr="004650F8">
        <w:rPr>
          <w:rFonts w:eastAsia="Arial Unicode MS"/>
          <w:b/>
          <w:bCs/>
          <w:lang w:eastAsia="cs-CZ"/>
        </w:rPr>
        <w:t>3</w:t>
      </w:r>
      <w:r w:rsidRPr="004650F8">
        <w:rPr>
          <w:rFonts w:eastAsia="Arial Unicode MS"/>
          <w:lang w:eastAsia="cs-CZ"/>
        </w:rPr>
        <w:t>, resp. do dne ukončení smlouvy v případě čl. I</w:t>
      </w:r>
      <w:r w:rsidR="000C12F2" w:rsidRPr="004650F8">
        <w:rPr>
          <w:rFonts w:eastAsia="Arial Unicode MS"/>
          <w:lang w:eastAsia="cs-CZ"/>
        </w:rPr>
        <w:t>X.</w:t>
      </w:r>
      <w:r w:rsidRPr="004650F8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Pr="004650F8">
          <w:rPr>
            <w:rStyle w:val="Hypertextovodkaz"/>
            <w:rFonts w:eastAsia="Arial Unicode MS"/>
            <w:lang w:eastAsia="cs-CZ"/>
          </w:rPr>
          <w:t>http://www.kr-karlovarsky.cz/dotace/Stranky/Prehled-dotace.aspx</w:t>
        </w:r>
      </w:hyperlink>
      <w:r w:rsidRPr="004650F8">
        <w:rPr>
          <w:rFonts w:eastAsia="Arial Unicode MS"/>
          <w:lang w:eastAsia="cs-CZ"/>
        </w:rPr>
        <w:t>.</w:t>
      </w:r>
    </w:p>
    <w:p w14:paraId="5905DAE6" w14:textId="77777777" w:rsidR="008F0B23" w:rsidRPr="004650F8" w:rsidRDefault="008F0B23" w:rsidP="008F0B23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50ABA1F7" w14:textId="77777777" w:rsidR="008F0B23" w:rsidRPr="004650F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4650F8">
        <w:rPr>
          <w:rFonts w:eastAsia="Arial Unicode MS"/>
          <w:lang w:eastAsia="cs-CZ"/>
        </w:rPr>
        <w:t> </w:t>
      </w:r>
      <w:r w:rsidRPr="004650F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4650F8">
        <w:rPr>
          <w:rFonts w:eastAsia="Arial Unicode MS"/>
          <w:lang w:eastAsia="cs-CZ"/>
        </w:rPr>
        <w:t> </w:t>
      </w:r>
      <w:r w:rsidRPr="004650F8">
        <w:rPr>
          <w:rFonts w:eastAsia="Arial Unicode MS"/>
          <w:lang w:eastAsia="cs-CZ"/>
        </w:rPr>
        <w:t>za</w:t>
      </w:r>
      <w:r w:rsidR="00063C82" w:rsidRPr="004650F8">
        <w:rPr>
          <w:rFonts w:eastAsia="Arial Unicode MS"/>
          <w:lang w:eastAsia="cs-CZ"/>
        </w:rPr>
        <w:t> </w:t>
      </w:r>
      <w:r w:rsidRPr="004650F8">
        <w:rPr>
          <w:rFonts w:eastAsia="Arial Unicode MS"/>
          <w:lang w:eastAsia="cs-CZ"/>
        </w:rPr>
        <w:t>uznatelný výdaj.</w:t>
      </w:r>
    </w:p>
    <w:p w14:paraId="63715699" w14:textId="77777777" w:rsidR="008F0B23" w:rsidRPr="004650F8" w:rsidRDefault="008F0B23" w:rsidP="008F0B23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E140B92" w14:textId="77777777" w:rsidR="004F5509" w:rsidRPr="004650F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 w:rsidRPr="004650F8">
        <w:rPr>
          <w:rFonts w:eastAsia="Arial Unicode MS"/>
          <w:lang w:eastAsia="cs-CZ"/>
        </w:rPr>
        <w:t>:</w:t>
      </w:r>
    </w:p>
    <w:p w14:paraId="320C874D" w14:textId="77777777" w:rsidR="008F0B23" w:rsidRPr="004650F8" w:rsidRDefault="008F0B23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 w:rsidRPr="004650F8">
        <w:rPr>
          <w:rFonts w:eastAsia="Arial Unicode MS"/>
          <w:lang w:eastAsia="cs-CZ"/>
        </w:rPr>
        <w:t xml:space="preserve"> (v případě individuální dotace</w:t>
      </w:r>
      <w:r w:rsidR="0086380E" w:rsidRPr="004650F8">
        <w:rPr>
          <w:rFonts w:eastAsia="Arial Unicode MS"/>
          <w:lang w:eastAsia="cs-CZ"/>
        </w:rPr>
        <w:t>;</w:t>
      </w:r>
      <w:r w:rsidR="006C53A1" w:rsidRPr="004650F8">
        <w:rPr>
          <w:rFonts w:eastAsia="Arial Unicode MS"/>
          <w:lang w:eastAsia="cs-CZ"/>
        </w:rPr>
        <w:t xml:space="preserve"> u programové dotace jen pokud je požadováno ve </w:t>
      </w:r>
      <w:r w:rsidR="006C53A1" w:rsidRPr="004650F8">
        <w:rPr>
          <w:lang w:eastAsia="cs-CZ"/>
        </w:rPr>
        <w:t>Vyhl</w:t>
      </w:r>
      <w:r w:rsidR="0085513E" w:rsidRPr="004650F8">
        <w:rPr>
          <w:lang w:eastAsia="cs-CZ"/>
        </w:rPr>
        <w:t>ášení a </w:t>
      </w:r>
      <w:r w:rsidR="006C53A1" w:rsidRPr="004650F8">
        <w:rPr>
          <w:lang w:eastAsia="cs-CZ"/>
        </w:rPr>
        <w:t>pravidlech pro příjem a hodnocení žádostí, poskytnutí a finanční vypořádání dotace z rozpočtu Karlovarského kraje příslušného programu)</w:t>
      </w:r>
      <w:r w:rsidR="004F5509" w:rsidRPr="004650F8">
        <w:rPr>
          <w:rFonts w:eastAsia="Arial Unicode MS"/>
          <w:lang w:eastAsia="cs-CZ"/>
        </w:rPr>
        <w:t>;</w:t>
      </w:r>
    </w:p>
    <w:p w14:paraId="25AF75B5" w14:textId="77777777" w:rsidR="004F5509" w:rsidRPr="004650F8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průkaznou fotodokumentaci předmětu dotace;</w:t>
      </w:r>
    </w:p>
    <w:p w14:paraId="57436756" w14:textId="77777777" w:rsidR="004F5509" w:rsidRPr="004650F8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doklad o zaúčtování majetku do účetnictví organizace;</w:t>
      </w:r>
    </w:p>
    <w:p w14:paraId="4FE02C20" w14:textId="77777777" w:rsidR="004F5509" w:rsidRPr="004650F8" w:rsidRDefault="004F5509" w:rsidP="002B67D8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přílohy stanovené ve vzoru finančního vypořádání</w:t>
      </w:r>
      <w:r w:rsidR="00B766F2" w:rsidRPr="004650F8">
        <w:rPr>
          <w:rFonts w:eastAsia="Arial Unicode MS"/>
          <w:lang w:eastAsia="cs-CZ"/>
        </w:rPr>
        <w:t>.</w:t>
      </w:r>
    </w:p>
    <w:p w14:paraId="6609B851" w14:textId="77777777" w:rsidR="00DD4AEF" w:rsidRPr="004650F8" w:rsidRDefault="00DD4AEF" w:rsidP="00DD4AEF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1DF0DC76" w14:textId="77777777" w:rsidR="00476C23" w:rsidRPr="004650F8" w:rsidRDefault="008F0B23" w:rsidP="00EE0351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Příjemce</w:t>
      </w:r>
      <w:r w:rsidR="00476C23" w:rsidRPr="004650F8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4650F8">
        <w:rPr>
          <w:rFonts w:eastAsia="Arial Unicode MS"/>
          <w:lang w:eastAsia="cs-CZ"/>
        </w:rPr>
        <w:t>6</w:t>
      </w:r>
      <w:r w:rsidR="00476C23" w:rsidRPr="004650F8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4650F8">
        <w:rPr>
          <w:rFonts w:eastAsia="Arial Unicode MS"/>
          <w:lang w:eastAsia="cs-CZ"/>
        </w:rPr>
        <w:t xml:space="preserve">aktivní </w:t>
      </w:r>
      <w:r w:rsidR="00476C23" w:rsidRPr="004650F8">
        <w:rPr>
          <w:rFonts w:eastAsia="Arial Unicode MS"/>
          <w:lang w:eastAsia="cs-CZ"/>
        </w:rPr>
        <w:t xml:space="preserve">odkaz </w:t>
      </w:r>
      <w:r w:rsidR="00063C82" w:rsidRPr="004650F8">
        <w:rPr>
          <w:rFonts w:eastAsia="Arial Unicode MS"/>
          <w:lang w:eastAsia="cs-CZ"/>
        </w:rPr>
        <w:t>na</w:t>
      </w:r>
      <w:r w:rsidR="00476C23" w:rsidRPr="004650F8">
        <w:rPr>
          <w:rFonts w:eastAsia="Arial Unicode MS"/>
          <w:lang w:eastAsia="cs-CZ"/>
        </w:rPr>
        <w:t xml:space="preserve"> </w:t>
      </w:r>
      <w:hyperlink r:id="rId9" w:history="1">
        <w:r w:rsidR="00063C82" w:rsidRPr="004650F8">
          <w:rPr>
            <w:rStyle w:val="Hypertextovodkaz"/>
            <w:rFonts w:eastAsia="Arial Unicode MS"/>
            <w:lang w:eastAsia="cs-CZ"/>
          </w:rPr>
          <w:t>www.kr-karlovarsky.cz</w:t>
        </w:r>
      </w:hyperlink>
      <w:r w:rsidR="00476C23" w:rsidRPr="004650F8">
        <w:rPr>
          <w:rFonts w:eastAsia="Arial Unicode MS"/>
          <w:lang w:eastAsia="cs-CZ"/>
        </w:rPr>
        <w:t>.</w:t>
      </w:r>
      <w:r w:rsidR="0085513E" w:rsidRPr="004650F8">
        <w:rPr>
          <w:rFonts w:eastAsia="Arial Unicode MS"/>
          <w:lang w:eastAsia="cs-CZ"/>
        </w:rPr>
        <w:t xml:space="preserve"> </w:t>
      </w:r>
      <w:r w:rsidR="00476C23" w:rsidRPr="004650F8">
        <w:rPr>
          <w:rFonts w:eastAsia="Arial Unicode MS"/>
          <w:lang w:eastAsia="cs-CZ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hyperlink r:id="rId10" w:history="1">
        <w:r w:rsidR="00B766F2" w:rsidRPr="004650F8">
          <w:rPr>
            <w:rStyle w:val="Hypertextovodkaz"/>
            <w:rFonts w:eastAsia="Arial Unicode MS"/>
            <w:lang w:eastAsia="cs-CZ"/>
          </w:rPr>
          <w:t>www.kr-karlovarsky.cz</w:t>
        </w:r>
      </w:hyperlink>
      <w:r w:rsidR="00476C23" w:rsidRPr="004650F8">
        <w:rPr>
          <w:rFonts w:eastAsia="Arial Unicode MS"/>
          <w:lang w:eastAsia="cs-CZ"/>
        </w:rPr>
        <w:t>, odkaz Karlovarský kraj – Poskytování symbolů a</w:t>
      </w:r>
      <w:r w:rsidR="00CF660D" w:rsidRPr="004650F8">
        <w:rPr>
          <w:rFonts w:eastAsia="Arial Unicode MS"/>
          <w:lang w:eastAsia="cs-CZ"/>
        </w:rPr>
        <w:t> </w:t>
      </w:r>
      <w:r w:rsidR="00476C23" w:rsidRPr="004650F8">
        <w:rPr>
          <w:rFonts w:eastAsia="Arial Unicode MS"/>
          <w:lang w:eastAsia="cs-CZ"/>
        </w:rPr>
        <w:t>záštit).</w:t>
      </w:r>
    </w:p>
    <w:p w14:paraId="3C4656F6" w14:textId="77777777" w:rsidR="00281566" w:rsidRPr="004650F8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182E8C4" w14:textId="77777777" w:rsidR="008F0B23" w:rsidRPr="004650F8" w:rsidRDefault="008F0B23" w:rsidP="00D30985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4650F8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6289965" w14:textId="77777777" w:rsidR="008F0B23" w:rsidRPr="004650F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E918AA4" w14:textId="77777777" w:rsidR="008045C2" w:rsidRPr="004650F8" w:rsidRDefault="008045C2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0806BFA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VI.</w:t>
      </w:r>
    </w:p>
    <w:p w14:paraId="69BB2AB6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Vrácení dotace, ohlašování změn</w:t>
      </w:r>
    </w:p>
    <w:p w14:paraId="4C62809A" w14:textId="77777777" w:rsidR="008F0B23" w:rsidRPr="004650F8" w:rsidRDefault="008F0B23" w:rsidP="00C51CA7">
      <w:pPr>
        <w:numPr>
          <w:ilvl w:val="0"/>
          <w:numId w:val="26"/>
        </w:numPr>
        <w:spacing w:after="0" w:line="240" w:lineRule="auto"/>
        <w:ind w:left="357" w:hanging="357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 xml:space="preserve">Nevyčerpané finanční prostředky dotace je příjemce povinen vrátit nejpozději do termínu předložení závěrečného finančního vypořádání dotace uvedeného v čl. V. odst. </w:t>
      </w:r>
      <w:r w:rsidR="000C12F2" w:rsidRPr="004650F8">
        <w:rPr>
          <w:rFonts w:eastAsia="Arial Unicode MS"/>
          <w:lang w:eastAsia="cs-CZ"/>
        </w:rPr>
        <w:t>6</w:t>
      </w:r>
      <w:r w:rsidRPr="004650F8">
        <w:rPr>
          <w:rFonts w:eastAsia="Arial Unicode MS"/>
          <w:lang w:eastAsia="cs-CZ"/>
        </w:rPr>
        <w:t xml:space="preserve">, a to formou bezhotovostního převodu na účet poskytovatele uvedený </w:t>
      </w:r>
      <w:r w:rsidR="00476C23" w:rsidRPr="004650F8">
        <w:rPr>
          <w:rFonts w:eastAsia="Arial Unicode MS"/>
          <w:lang w:eastAsia="cs-CZ"/>
        </w:rPr>
        <w:t>v záhlaví smlouvy</w:t>
      </w:r>
      <w:r w:rsidRPr="004650F8">
        <w:rPr>
          <w:rFonts w:eastAsia="Arial Unicode MS"/>
          <w:lang w:eastAsia="cs-CZ"/>
        </w:rPr>
        <w:t>. Platba bude opatřena variabilním symbolem uvedeným v čl. II</w:t>
      </w:r>
      <w:r w:rsidR="00D80E8F" w:rsidRPr="004650F8">
        <w:rPr>
          <w:rFonts w:eastAsia="Arial Unicode MS"/>
          <w:lang w:eastAsia="cs-CZ"/>
        </w:rPr>
        <w:t xml:space="preserve"> odst. 2</w:t>
      </w:r>
      <w:r w:rsidR="002763EA" w:rsidRPr="004650F8">
        <w:rPr>
          <w:rFonts w:eastAsia="Arial Unicode MS"/>
          <w:lang w:eastAsia="cs-CZ"/>
        </w:rPr>
        <w:t>.</w:t>
      </w:r>
    </w:p>
    <w:p w14:paraId="79EC70C7" w14:textId="77777777" w:rsidR="00C51CA7" w:rsidRPr="004650F8" w:rsidRDefault="00C51CA7" w:rsidP="00C51CA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EAF8484" w14:textId="77777777" w:rsidR="008F0B23" w:rsidRPr="004650F8" w:rsidRDefault="002763EA" w:rsidP="00C51CA7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</w:t>
      </w:r>
      <w:r w:rsidR="008F0B23" w:rsidRPr="004650F8">
        <w:rPr>
          <w:rFonts w:eastAsia="Arial Unicode MS"/>
          <w:lang w:eastAsia="cs-CZ"/>
        </w:rPr>
        <w:t>říjemce je rovněž povinen vrátit poskytnuté finanční prostředky na účet uvedený v </w:t>
      </w:r>
      <w:r w:rsidR="00DB55D3" w:rsidRPr="004650F8">
        <w:rPr>
          <w:rFonts w:eastAsia="Arial Unicode MS"/>
          <w:lang w:eastAsia="cs-CZ"/>
        </w:rPr>
        <w:t>záhlaví smlouvy</w:t>
      </w:r>
      <w:r w:rsidR="008F0B23" w:rsidRPr="004650F8">
        <w:rPr>
          <w:rFonts w:eastAsia="Arial Unicode MS"/>
          <w:lang w:eastAsia="cs-CZ"/>
        </w:rPr>
        <w:t>, jestliže odpadne účel, na který je dotace poskytována, a to do 10</w:t>
      </w:r>
      <w:r w:rsidR="008F0B23" w:rsidRPr="004650F8">
        <w:rPr>
          <w:rFonts w:eastAsia="Arial Unicode MS"/>
          <w:color w:val="FF0000"/>
          <w:lang w:eastAsia="cs-CZ"/>
        </w:rPr>
        <w:t xml:space="preserve"> </w:t>
      </w:r>
      <w:r w:rsidR="008F0B23" w:rsidRPr="004650F8">
        <w:rPr>
          <w:rFonts w:eastAsia="Arial Unicode MS"/>
          <w:lang w:eastAsia="cs-CZ"/>
        </w:rPr>
        <w:t>pracovních dnů ode dne, kdy se příjemce o této skutečnosti dozví. Platba bude opatřena vari</w:t>
      </w:r>
      <w:r w:rsidR="0085513E" w:rsidRPr="004650F8">
        <w:rPr>
          <w:rFonts w:eastAsia="Arial Unicode MS"/>
          <w:lang w:eastAsia="cs-CZ"/>
        </w:rPr>
        <w:t>abilním symbolem uvedeným v čl. </w:t>
      </w:r>
      <w:r w:rsidR="008F0B23" w:rsidRPr="004650F8">
        <w:rPr>
          <w:rFonts w:eastAsia="Arial Unicode MS"/>
          <w:lang w:eastAsia="cs-CZ"/>
        </w:rPr>
        <w:t>II</w:t>
      </w:r>
      <w:r w:rsidR="00D80E8F" w:rsidRPr="004650F8">
        <w:rPr>
          <w:rFonts w:eastAsia="Arial Unicode MS"/>
          <w:lang w:eastAsia="cs-CZ"/>
        </w:rPr>
        <w:t xml:space="preserve"> odst. 2</w:t>
      </w:r>
      <w:r w:rsidR="008F0B23" w:rsidRPr="004650F8">
        <w:rPr>
          <w:rFonts w:eastAsia="Arial Unicode MS"/>
          <w:lang w:eastAsia="cs-CZ"/>
        </w:rPr>
        <w:t>.</w:t>
      </w:r>
    </w:p>
    <w:p w14:paraId="2E7BB078" w14:textId="77777777" w:rsidR="00C51CA7" w:rsidRPr="004650F8" w:rsidRDefault="00C51CA7" w:rsidP="002A64F1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5A2DB074" w14:textId="77777777" w:rsidR="008F0B23" w:rsidRPr="004650F8" w:rsidRDefault="008F0B23" w:rsidP="009B2858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4650F8">
        <w:rPr>
          <w:rFonts w:eastAsia="Arial Unicode MS"/>
          <w:i/>
          <w:lang w:eastAsia="cs-CZ"/>
        </w:rPr>
        <w:t xml:space="preserve"> </w:t>
      </w:r>
      <w:r w:rsidRPr="004650F8">
        <w:rPr>
          <w:rFonts w:eastAsia="Arial Unicode MS"/>
          <w:lang w:eastAsia="cs-CZ"/>
        </w:rPr>
        <w:t>prostřednictvím avíza, které je přílohou formuláře finanční vypořádání dotace.</w:t>
      </w:r>
    </w:p>
    <w:p w14:paraId="25D72936" w14:textId="77777777" w:rsidR="00C51CA7" w:rsidRPr="004650F8" w:rsidRDefault="00C51CA7" w:rsidP="002A64F1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4A54B2A4" w14:textId="77777777" w:rsidR="008F0B23" w:rsidRPr="004650F8" w:rsidRDefault="008F0B23" w:rsidP="009B2858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2E5615FF" w14:textId="77777777" w:rsidR="00C51CA7" w:rsidRPr="004650F8" w:rsidRDefault="00C51CA7" w:rsidP="002A64F1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37969800" w14:textId="77777777" w:rsidR="008F0B23" w:rsidRPr="004650F8" w:rsidRDefault="008F0B23" w:rsidP="009B2858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Příjemce je zejména povinen oznámit poskytovateli do 10</w:t>
      </w:r>
      <w:r w:rsidRPr="004650F8">
        <w:rPr>
          <w:rFonts w:eastAsia="Arial Unicode MS"/>
          <w:color w:val="FF0000"/>
          <w:lang w:eastAsia="cs-CZ"/>
        </w:rPr>
        <w:t xml:space="preserve"> </w:t>
      </w:r>
      <w:r w:rsidRPr="004650F8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C46CC9" w:rsidRPr="004650F8">
        <w:rPr>
          <w:rFonts w:eastAsia="Arial Unicode MS"/>
          <w:lang w:eastAsia="cs-CZ"/>
        </w:rPr>
        <w:t>poskytuje</w:t>
      </w:r>
      <w:r w:rsidRPr="004650F8">
        <w:rPr>
          <w:rFonts w:eastAsia="Arial Unicode MS"/>
          <w:lang w:eastAsia="cs-CZ"/>
        </w:rPr>
        <w:t xml:space="preserve"> apod.</w:t>
      </w:r>
    </w:p>
    <w:p w14:paraId="275212F7" w14:textId="77777777" w:rsidR="00C51CA7" w:rsidRPr="004650F8" w:rsidRDefault="00C51CA7" w:rsidP="002A64F1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12AE54D7" w14:textId="77777777" w:rsidR="008F0B23" w:rsidRPr="004650F8" w:rsidRDefault="008F0B23" w:rsidP="009B2858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4650F8">
        <w:rPr>
          <w:rFonts w:eastAsia="Arial Unicode MS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článku V.</w:t>
      </w:r>
      <w:r w:rsidR="00D80E8F" w:rsidRPr="004650F8">
        <w:rPr>
          <w:rFonts w:eastAsia="Arial Unicode MS"/>
          <w:lang w:eastAsia="cs-CZ"/>
        </w:rPr>
        <w:t xml:space="preserve"> odst. 6 </w:t>
      </w:r>
      <w:r w:rsidRPr="004650F8">
        <w:rPr>
          <w:rFonts w:eastAsia="Arial Unicode MS"/>
          <w:lang w:eastAsia="cs-CZ"/>
        </w:rPr>
        <w:t>smlouvy, a to ke dni likvidace.</w:t>
      </w:r>
    </w:p>
    <w:p w14:paraId="44F97E0B" w14:textId="77777777" w:rsidR="008F0B23" w:rsidRPr="004650F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653FD8" w14:textId="77777777" w:rsidR="008F0B23" w:rsidRPr="004650F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14EFEC2" w14:textId="77777777" w:rsidR="008F0B23" w:rsidRPr="004650F8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4650F8">
        <w:rPr>
          <w:rFonts w:eastAsia="Arial Unicode MS"/>
          <w:b/>
          <w:bCs/>
          <w:lang w:eastAsia="cs-CZ"/>
        </w:rPr>
        <w:t>Článek V</w:t>
      </w:r>
      <w:r w:rsidR="002C3670" w:rsidRPr="004650F8">
        <w:rPr>
          <w:rFonts w:eastAsia="Arial Unicode MS"/>
          <w:b/>
          <w:bCs/>
          <w:lang w:eastAsia="cs-CZ"/>
        </w:rPr>
        <w:t>II</w:t>
      </w:r>
      <w:r w:rsidRPr="004650F8">
        <w:rPr>
          <w:rFonts w:eastAsia="Arial Unicode MS"/>
          <w:b/>
          <w:bCs/>
          <w:lang w:eastAsia="cs-CZ"/>
        </w:rPr>
        <w:t>.</w:t>
      </w:r>
    </w:p>
    <w:p w14:paraId="7E9048A4" w14:textId="77777777" w:rsidR="008F0B23" w:rsidRPr="004650F8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4650F8">
        <w:rPr>
          <w:rFonts w:eastAsia="Arial Unicode MS"/>
          <w:b/>
          <w:bCs/>
          <w:lang w:eastAsia="cs-CZ"/>
        </w:rPr>
        <w:t>Kontrolní ustanovení</w:t>
      </w:r>
    </w:p>
    <w:p w14:paraId="003FB8A3" w14:textId="77777777" w:rsidR="008F0B23" w:rsidRPr="004650F8" w:rsidRDefault="008F0B23" w:rsidP="008F0B2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4650F8">
        <w:rPr>
          <w:bCs/>
          <w:iCs/>
        </w:rPr>
        <w:t>v souladu se zákonem č. 255/2012 Sb., o kontrole (kontrolní řád), ve znění pozdějších předpisů a dalšími platnými právními předpisy</w:t>
      </w:r>
      <w:r w:rsidRPr="004650F8">
        <w:t xml:space="preserve"> kontrolovat dodržení podmínek, za nichž byla dotace poskytnuta, včetně podmínek vyplývajících ze smlouvy, a příjemce je povinen tuto kontrolu strpět</w:t>
      </w:r>
      <w:r w:rsidRPr="004650F8">
        <w:rPr>
          <w:rFonts w:eastAsia="Times New Roman"/>
          <w:lang w:eastAsia="cs-CZ"/>
        </w:rPr>
        <w:t>.</w:t>
      </w:r>
    </w:p>
    <w:p w14:paraId="279AFED6" w14:textId="77777777" w:rsidR="008F0B23" w:rsidRPr="004650F8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2F2560" w14:textId="77777777" w:rsidR="008F0B23" w:rsidRPr="004650F8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4650F8"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</w:t>
      </w:r>
      <w:r w:rsidR="00B766F2" w:rsidRPr="004650F8">
        <w:rPr>
          <w:bCs/>
        </w:rPr>
        <w:t> </w:t>
      </w:r>
      <w:r w:rsidRPr="004650F8">
        <w:rPr>
          <w:bCs/>
        </w:rPr>
        <w:t>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14:paraId="2BB97645" w14:textId="77777777" w:rsidR="008F0B23" w:rsidRPr="004650F8" w:rsidRDefault="008F0B23" w:rsidP="008F0B23">
      <w:pPr>
        <w:pStyle w:val="Odstavecseseznamem"/>
        <w:spacing w:after="0" w:line="240" w:lineRule="auto"/>
        <w:ind w:left="426"/>
        <w:rPr>
          <w:bCs/>
        </w:rPr>
      </w:pPr>
    </w:p>
    <w:p w14:paraId="04FAF6DC" w14:textId="77777777" w:rsidR="008F0B23" w:rsidRPr="004650F8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4650F8"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ADD03DB" w14:textId="77777777" w:rsidR="008F0B23" w:rsidRPr="004650F8" w:rsidRDefault="008F0B23" w:rsidP="008F0B23">
      <w:pPr>
        <w:pStyle w:val="Odstavecseseznamem"/>
        <w:spacing w:after="0" w:line="240" w:lineRule="auto"/>
        <w:ind w:left="426"/>
        <w:rPr>
          <w:bCs/>
        </w:rPr>
      </w:pPr>
    </w:p>
    <w:p w14:paraId="7BE9A94B" w14:textId="77777777" w:rsidR="008F0B23" w:rsidRPr="004650F8" w:rsidRDefault="008F0B23" w:rsidP="008F0B2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4650F8">
        <w:rPr>
          <w:rFonts w:eastAsia="Times New Roman"/>
          <w:bCs/>
          <w:lang w:eastAsia="cs-CZ"/>
        </w:rPr>
        <w:t>Příjemce je v rámci výkonu kontrolní činnosti dle odst. 1 tohoto čl</w:t>
      </w:r>
      <w:r w:rsidR="00F14AB8" w:rsidRPr="004650F8">
        <w:rPr>
          <w:rFonts w:eastAsia="Times New Roman"/>
          <w:bCs/>
          <w:lang w:eastAsia="cs-CZ"/>
        </w:rPr>
        <w:t>ánku povinen umožnit kontrolu a </w:t>
      </w:r>
      <w:r w:rsidRPr="004650F8">
        <w:rPr>
          <w:rFonts w:eastAsia="Times New Roman"/>
          <w:bCs/>
          <w:lang w:eastAsia="cs-CZ"/>
        </w:rPr>
        <w:t>předložit kontrolním orgánům poskytovatele k nahlédnutí veškeré průkazné účetní záznamy týkající se daného účelu a poskytnuté dotace.</w:t>
      </w:r>
    </w:p>
    <w:p w14:paraId="4E10A00D" w14:textId="77777777" w:rsidR="00C51CA7" w:rsidRPr="004650F8" w:rsidRDefault="00C51CA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</w:p>
    <w:p w14:paraId="459633D8" w14:textId="77777777" w:rsidR="008F0B23" w:rsidRPr="004650F8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4650F8">
        <w:rPr>
          <w:rFonts w:eastAsia="Times New Roman"/>
          <w:b/>
          <w:lang w:eastAsia="cs-CZ"/>
        </w:rPr>
        <w:lastRenderedPageBreak/>
        <w:t>Článek V</w:t>
      </w:r>
      <w:r w:rsidR="002C3670" w:rsidRPr="004650F8">
        <w:rPr>
          <w:rFonts w:eastAsia="Times New Roman"/>
          <w:b/>
          <w:lang w:eastAsia="cs-CZ"/>
        </w:rPr>
        <w:t>II</w:t>
      </w:r>
      <w:r w:rsidRPr="004650F8">
        <w:rPr>
          <w:rFonts w:eastAsia="Times New Roman"/>
          <w:b/>
          <w:lang w:eastAsia="cs-CZ"/>
        </w:rPr>
        <w:t>I.</w:t>
      </w:r>
    </w:p>
    <w:p w14:paraId="2E4FCF32" w14:textId="77777777" w:rsidR="008F0B23" w:rsidRPr="004650F8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4650F8">
        <w:rPr>
          <w:rFonts w:eastAsia="Times New Roman"/>
          <w:b/>
          <w:lang w:eastAsia="cs-CZ"/>
        </w:rPr>
        <w:t>Důsledky porušení povinností příjemce</w:t>
      </w:r>
    </w:p>
    <w:p w14:paraId="46CC6FF4" w14:textId="77777777" w:rsidR="008F0B23" w:rsidRPr="004650F8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4650F8">
        <w:rPr>
          <w:rFonts w:eastAsia="Times New Roman"/>
          <w:bCs/>
          <w:lang w:eastAsia="cs-CZ"/>
        </w:rPr>
        <w:t>č</w:t>
      </w:r>
      <w:r w:rsidRPr="004650F8">
        <w:rPr>
          <w:rFonts w:eastAsia="Times New Roman"/>
          <w:bCs/>
          <w:lang w:eastAsia="cs-CZ"/>
        </w:rPr>
        <w:t>l. IV.</w:t>
      </w:r>
      <w:r w:rsidR="00D80E8F" w:rsidRPr="004650F8">
        <w:rPr>
          <w:rFonts w:eastAsia="Times New Roman"/>
          <w:bCs/>
          <w:lang w:eastAsia="cs-CZ"/>
        </w:rPr>
        <w:t xml:space="preserve"> odst. 1</w:t>
      </w:r>
      <w:r w:rsidR="00C51CA7" w:rsidRPr="004650F8">
        <w:rPr>
          <w:rFonts w:eastAsia="Times New Roman"/>
          <w:bCs/>
          <w:lang w:eastAsia="cs-CZ"/>
        </w:rPr>
        <w:t>, čl. </w:t>
      </w:r>
      <w:r w:rsidR="0029215C" w:rsidRPr="004650F8">
        <w:rPr>
          <w:rFonts w:eastAsia="Times New Roman"/>
          <w:bCs/>
          <w:lang w:eastAsia="cs-CZ"/>
        </w:rPr>
        <w:t>V</w:t>
      </w:r>
      <w:r w:rsidR="00C51CA7" w:rsidRPr="004650F8">
        <w:rPr>
          <w:rFonts w:eastAsia="Times New Roman"/>
          <w:bCs/>
          <w:lang w:eastAsia="cs-CZ"/>
        </w:rPr>
        <w:t>. </w:t>
      </w:r>
      <w:r w:rsidR="00D80E8F" w:rsidRPr="004650F8">
        <w:rPr>
          <w:rFonts w:eastAsia="Times New Roman"/>
          <w:bCs/>
          <w:lang w:eastAsia="cs-CZ"/>
        </w:rPr>
        <w:t xml:space="preserve">odst. </w:t>
      </w:r>
      <w:r w:rsidR="000A3079" w:rsidRPr="004650F8">
        <w:rPr>
          <w:rFonts w:eastAsia="Times New Roman"/>
          <w:bCs/>
          <w:lang w:eastAsia="cs-CZ"/>
        </w:rPr>
        <w:t xml:space="preserve">4, </w:t>
      </w:r>
      <w:r w:rsidR="00D80E8F" w:rsidRPr="004650F8">
        <w:rPr>
          <w:rFonts w:eastAsia="Times New Roman"/>
          <w:bCs/>
          <w:lang w:eastAsia="cs-CZ"/>
        </w:rPr>
        <w:t>5, 8, 9</w:t>
      </w:r>
      <w:r w:rsidR="0029215C" w:rsidRPr="004650F8">
        <w:rPr>
          <w:rFonts w:eastAsia="Times New Roman"/>
          <w:bCs/>
          <w:lang w:eastAsia="cs-CZ"/>
        </w:rPr>
        <w:t>, čl. VI</w:t>
      </w:r>
      <w:r w:rsidR="00B766F2" w:rsidRPr="004650F8">
        <w:rPr>
          <w:rFonts w:eastAsia="Times New Roman"/>
          <w:bCs/>
          <w:lang w:eastAsia="cs-CZ"/>
        </w:rPr>
        <w:t>.</w:t>
      </w:r>
      <w:r w:rsidR="00D80E8F" w:rsidRPr="004650F8">
        <w:rPr>
          <w:rFonts w:eastAsia="Times New Roman"/>
          <w:bCs/>
          <w:lang w:eastAsia="cs-CZ"/>
        </w:rPr>
        <w:t xml:space="preserve"> odst. 3, 4, 5, 6</w:t>
      </w:r>
      <w:r w:rsidRPr="004650F8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4650F8">
        <w:rPr>
          <w:rFonts w:eastAsia="Times New Roman"/>
          <w:bCs/>
          <w:lang w:eastAsia="cs-CZ"/>
        </w:rPr>
        <w:t> </w:t>
      </w:r>
      <w:r w:rsidRPr="004650F8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14:paraId="2BEFC5B9" w14:textId="77777777" w:rsidR="008F0B23" w:rsidRPr="004650F8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28811B22" w14:textId="04651202" w:rsidR="008F0B23" w:rsidRPr="004650F8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 xml:space="preserve">V případě, že příjemce neprokáže  </w:t>
      </w:r>
      <w:r w:rsidR="00F27FB5" w:rsidRPr="004650F8">
        <w:rPr>
          <w:rFonts w:eastAsia="Times New Roman"/>
          <w:bCs/>
          <w:lang w:eastAsia="cs-CZ"/>
        </w:rPr>
        <w:t>využití finančních prostředků v souladu s</w:t>
      </w:r>
      <w:r w:rsidRPr="004650F8">
        <w:rPr>
          <w:rFonts w:eastAsia="Times New Roman"/>
          <w:bCs/>
          <w:lang w:eastAsia="cs-CZ"/>
        </w:rPr>
        <w:t xml:space="preserve"> čl. </w:t>
      </w:r>
      <w:r w:rsidR="0029215C" w:rsidRPr="004650F8">
        <w:rPr>
          <w:rFonts w:eastAsia="Times New Roman"/>
          <w:bCs/>
          <w:lang w:eastAsia="cs-CZ"/>
        </w:rPr>
        <w:t>I</w:t>
      </w:r>
      <w:r w:rsidRPr="004650F8">
        <w:rPr>
          <w:rFonts w:eastAsia="Times New Roman"/>
          <w:bCs/>
          <w:lang w:eastAsia="cs-CZ"/>
        </w:rPr>
        <w:t xml:space="preserve">V. odst. </w:t>
      </w:r>
      <w:r w:rsidR="0029215C" w:rsidRPr="004650F8">
        <w:rPr>
          <w:rFonts w:eastAsia="Times New Roman"/>
          <w:bCs/>
          <w:lang w:eastAsia="cs-CZ"/>
        </w:rPr>
        <w:t>2</w:t>
      </w:r>
      <w:r w:rsidRPr="004650F8">
        <w:rPr>
          <w:rFonts w:eastAsia="Times New Roman"/>
          <w:bCs/>
          <w:lang w:eastAsia="cs-CZ"/>
        </w:rPr>
        <w:t>,</w:t>
      </w:r>
      <w:r w:rsidR="00DB747C" w:rsidRPr="004650F8">
        <w:rPr>
          <w:rFonts w:eastAsia="Times New Roman"/>
          <w:bCs/>
          <w:lang w:eastAsia="cs-CZ"/>
        </w:rPr>
        <w:t xml:space="preserve"> </w:t>
      </w:r>
      <w:r w:rsidR="00F27FB5" w:rsidRPr="004650F8">
        <w:rPr>
          <w:rFonts w:eastAsia="Times New Roman"/>
          <w:bCs/>
          <w:lang w:eastAsia="cs-CZ"/>
        </w:rPr>
        <w:t xml:space="preserve">čl. V. odst. </w:t>
      </w:r>
      <w:r w:rsidR="005E6AE9" w:rsidRPr="004650F8">
        <w:rPr>
          <w:rFonts w:eastAsia="Times New Roman"/>
          <w:bCs/>
          <w:lang w:eastAsia="cs-CZ"/>
        </w:rPr>
        <w:t xml:space="preserve">2, 3, </w:t>
      </w:r>
      <w:r w:rsidRPr="004650F8">
        <w:rPr>
          <w:rFonts w:eastAsia="Times New Roman"/>
          <w:bCs/>
          <w:lang w:eastAsia="cs-CZ"/>
        </w:rPr>
        <w:t>6, 7 použití finančních prostředků, popř. použije poskytnuté prostředky, případně jejich část, k jinému účelu, než je uvedeno v této smlouv</w:t>
      </w:r>
      <w:r w:rsidR="0029215C" w:rsidRPr="004650F8">
        <w:rPr>
          <w:rFonts w:eastAsia="Times New Roman"/>
          <w:bCs/>
          <w:lang w:eastAsia="cs-CZ"/>
        </w:rPr>
        <w:t>ě</w:t>
      </w:r>
      <w:r w:rsidRPr="004650F8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4650F8">
        <w:rPr>
          <w:rFonts w:eastAsia="Times New Roman"/>
          <w:bCs/>
          <w:lang w:eastAsia="cs-CZ"/>
        </w:rPr>
        <w:t> </w:t>
      </w:r>
      <w:r w:rsidRPr="004650F8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4650F8">
        <w:rPr>
          <w:rFonts w:eastAsia="Times New Roman"/>
          <w:bCs/>
          <w:lang w:eastAsia="cs-CZ"/>
        </w:rPr>
        <w:t> </w:t>
      </w:r>
      <w:r w:rsidRPr="004650F8">
        <w:rPr>
          <w:rFonts w:eastAsia="Times New Roman"/>
          <w:bCs/>
          <w:lang w:eastAsia="cs-CZ"/>
        </w:rPr>
        <w:t>rozpočtu poskytovatele.</w:t>
      </w:r>
    </w:p>
    <w:p w14:paraId="7BFAA16B" w14:textId="77777777" w:rsidR="008F0B23" w:rsidRPr="004650F8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590F7D4E" w14:textId="77777777" w:rsidR="008F0B23" w:rsidRPr="004650F8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4650F8">
        <w:rPr>
          <w:rFonts w:eastAsia="Times New Roman"/>
          <w:bCs/>
          <w:lang w:eastAsia="cs-CZ"/>
        </w:rPr>
        <w:t>I</w:t>
      </w:r>
      <w:r w:rsidRPr="004650F8">
        <w:rPr>
          <w:rFonts w:eastAsia="Times New Roman"/>
          <w:bCs/>
          <w:lang w:eastAsia="cs-CZ"/>
        </w:rPr>
        <w:t xml:space="preserve">. odst. 1, </w:t>
      </w:r>
      <w:r w:rsidR="0029215C" w:rsidRPr="004650F8">
        <w:rPr>
          <w:rFonts w:eastAsia="Times New Roman"/>
          <w:bCs/>
          <w:lang w:eastAsia="cs-CZ"/>
        </w:rPr>
        <w:t>2</w:t>
      </w:r>
      <w:r w:rsidRPr="004650F8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4650F8">
        <w:rPr>
          <w:rFonts w:eastAsia="Times New Roman"/>
          <w:bCs/>
          <w:lang w:eastAsia="cs-CZ"/>
        </w:rPr>
        <w:t> </w:t>
      </w:r>
      <w:r w:rsidRPr="004650F8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424707DB" w14:textId="77777777" w:rsidR="008F0B23" w:rsidRPr="004650F8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A053354" w14:textId="77777777" w:rsidR="008F0B23" w:rsidRPr="004650F8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 uvedený </w:t>
      </w:r>
      <w:r w:rsidR="00476C23" w:rsidRPr="004650F8">
        <w:rPr>
          <w:rFonts w:eastAsia="Arial Unicode MS"/>
          <w:lang w:eastAsia="cs-CZ"/>
        </w:rPr>
        <w:t>v záhlaví smlouvy</w:t>
      </w:r>
      <w:r w:rsidRPr="004650F8">
        <w:rPr>
          <w:rFonts w:eastAsia="Times New Roman"/>
          <w:bCs/>
          <w:lang w:eastAsia="cs-CZ"/>
        </w:rPr>
        <w:t xml:space="preserve"> a opatří je variabilním symbolem a</w:t>
      </w:r>
      <w:r w:rsidR="00B766F2" w:rsidRPr="004650F8">
        <w:rPr>
          <w:rFonts w:eastAsia="Times New Roman"/>
          <w:bCs/>
          <w:lang w:eastAsia="cs-CZ"/>
        </w:rPr>
        <w:t> </w:t>
      </w:r>
      <w:r w:rsidRPr="004650F8">
        <w:rPr>
          <w:rFonts w:eastAsia="Times New Roman"/>
          <w:bCs/>
          <w:lang w:eastAsia="cs-CZ"/>
        </w:rPr>
        <w:t>písemně informuje poskytovatele o vrácení peněžních prostředků na jeho účet.</w:t>
      </w:r>
    </w:p>
    <w:p w14:paraId="748EDE07" w14:textId="77777777" w:rsidR="008F0B23" w:rsidRPr="004650F8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/>
          <w:bCs/>
          <w:lang w:eastAsia="cs-CZ"/>
        </w:rPr>
      </w:pPr>
    </w:p>
    <w:p w14:paraId="27E89B72" w14:textId="77777777" w:rsidR="008045C2" w:rsidRPr="004650F8" w:rsidRDefault="008045C2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1A02348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Čl. I</w:t>
      </w:r>
      <w:r w:rsidR="002C3670" w:rsidRPr="004650F8">
        <w:rPr>
          <w:rFonts w:eastAsia="Times New Roman"/>
          <w:b/>
          <w:bCs/>
          <w:lang w:eastAsia="cs-CZ"/>
        </w:rPr>
        <w:t>X</w:t>
      </w:r>
      <w:r w:rsidRPr="004650F8">
        <w:rPr>
          <w:rFonts w:eastAsia="Times New Roman"/>
          <w:b/>
          <w:bCs/>
          <w:lang w:eastAsia="cs-CZ"/>
        </w:rPr>
        <w:t>.</w:t>
      </w:r>
    </w:p>
    <w:p w14:paraId="177643D8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Ukončení smlouvy</w:t>
      </w:r>
    </w:p>
    <w:p w14:paraId="2F158246" w14:textId="77777777" w:rsidR="008F0B23" w:rsidRPr="004650F8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Smlouvu lze ukončit na základě písemné dohody smluvních stran nebo výpovědí.</w:t>
      </w:r>
    </w:p>
    <w:p w14:paraId="673371DF" w14:textId="77777777" w:rsidR="008F0B23" w:rsidRPr="004650F8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BA46BED" w14:textId="77777777" w:rsidR="008F0B23" w:rsidRPr="004650F8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4650F8">
        <w:rPr>
          <w:rFonts w:eastAsia="Times New Roman"/>
          <w:lang w:eastAsia="cs-CZ"/>
        </w:rPr>
        <w:t>z důvodu, že tato smlouva byla uzavřena na základě nepravdivých údajů</w:t>
      </w:r>
      <w:r w:rsidRPr="004650F8">
        <w:rPr>
          <w:rFonts w:eastAsia="Times New Roman"/>
          <w:lang w:eastAsia="cs-CZ"/>
        </w:rPr>
        <w:t xml:space="preserve">. Výpovědní lhůta činí 1 měsíc a začíná běžet 1. dnem </w:t>
      </w:r>
      <w:r w:rsidR="004F1941" w:rsidRPr="004650F8">
        <w:rPr>
          <w:rFonts w:eastAsia="Times New Roman"/>
          <w:lang w:eastAsia="cs-CZ"/>
        </w:rPr>
        <w:t xml:space="preserve">měsíce </w:t>
      </w:r>
      <w:r w:rsidRPr="004650F8">
        <w:rPr>
          <w:rFonts w:eastAsia="Times New Roman"/>
          <w:lang w:eastAsia="cs-CZ"/>
        </w:rPr>
        <w:t>následujícím po dni doručení výpovědi druhé smluvní straně. V případě pochybností se má za to, že výpověď byla doručena 5. pracovním dnem od jejího odeslání. Ve</w:t>
      </w:r>
      <w:r w:rsidR="00CF660D" w:rsidRPr="004650F8">
        <w:rPr>
          <w:rFonts w:eastAsia="Times New Roman"/>
          <w:lang w:eastAsia="cs-CZ"/>
        </w:rPr>
        <w:t> </w:t>
      </w:r>
      <w:r w:rsidRPr="004650F8">
        <w:rPr>
          <w:rFonts w:eastAsia="Times New Roman"/>
          <w:lang w:eastAsia="cs-CZ"/>
        </w:rPr>
        <w:t>výpovědní lhůtě může poskytovatel zastavit poskytnutí dotace.</w:t>
      </w:r>
    </w:p>
    <w:p w14:paraId="2DCD3CDD" w14:textId="77777777" w:rsidR="008F0B23" w:rsidRPr="004650F8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5A4B4FD" w14:textId="77777777" w:rsidR="008F0B23" w:rsidRPr="004650F8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bCs/>
          <w:lang w:eastAsia="cs-CZ"/>
        </w:rPr>
        <w:t xml:space="preserve">V případě ukončení smlouvy dle výše uvedených odstavců tohoto článku, je příjemce povinen provést finanční vypořádání poskytnuté dotace obdobně podle článku V. </w:t>
      </w:r>
      <w:r w:rsidR="005E6AC0" w:rsidRPr="004650F8">
        <w:rPr>
          <w:rFonts w:eastAsia="Times New Roman"/>
          <w:bCs/>
          <w:lang w:eastAsia="cs-CZ"/>
        </w:rPr>
        <w:t xml:space="preserve">odst. 6 </w:t>
      </w:r>
      <w:r w:rsidRPr="004650F8">
        <w:rPr>
          <w:rFonts w:eastAsia="Times New Roman"/>
          <w:bCs/>
          <w:lang w:eastAsia="cs-CZ"/>
        </w:rPr>
        <w:t>smlouvy, a to ke dni ukončení smlouvy.</w:t>
      </w:r>
    </w:p>
    <w:p w14:paraId="0AC02B6D" w14:textId="77777777" w:rsidR="008F0B23" w:rsidRPr="004650F8" w:rsidRDefault="008F0B23" w:rsidP="008F0B23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094E9C17" w14:textId="77777777" w:rsidR="004F1941" w:rsidRPr="004650F8" w:rsidRDefault="004F1941" w:rsidP="008F0B23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C6C745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 xml:space="preserve">Článek </w:t>
      </w:r>
      <w:r w:rsidR="002C3670" w:rsidRPr="004650F8">
        <w:rPr>
          <w:rFonts w:eastAsia="Times New Roman"/>
          <w:b/>
          <w:bCs/>
          <w:lang w:eastAsia="cs-CZ"/>
        </w:rPr>
        <w:t>X</w:t>
      </w:r>
      <w:r w:rsidRPr="004650F8">
        <w:rPr>
          <w:rFonts w:eastAsia="Times New Roman"/>
          <w:b/>
          <w:bCs/>
          <w:lang w:eastAsia="cs-CZ"/>
        </w:rPr>
        <w:t>.</w:t>
      </w:r>
    </w:p>
    <w:p w14:paraId="0FD75C4A" w14:textId="77777777" w:rsidR="008F0B23" w:rsidRPr="004650F8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Veřejná podpora</w:t>
      </w:r>
    </w:p>
    <w:p w14:paraId="53FC3B87" w14:textId="77777777" w:rsidR="008F0B23" w:rsidRPr="004650F8" w:rsidRDefault="008F0B23" w:rsidP="008F0B23">
      <w:pPr>
        <w:numPr>
          <w:ilvl w:val="0"/>
          <w:numId w:val="4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</w:t>
      </w:r>
      <w:r w:rsidR="000205E8" w:rsidRPr="004650F8">
        <w:rPr>
          <w:rFonts w:eastAsia="Times New Roman"/>
          <w:lang w:eastAsia="cs-CZ"/>
        </w:rPr>
        <w:t>)</w:t>
      </w:r>
      <w:r w:rsidRPr="004650F8">
        <w:rPr>
          <w:rFonts w:eastAsia="Times New Roman"/>
          <w:lang w:eastAsia="cs-CZ"/>
        </w:rPr>
        <w:t>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E84902C" w14:textId="77777777" w:rsidR="008F0B23" w:rsidRPr="004650F8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E9BB191" w14:textId="77777777" w:rsidR="008F0B23" w:rsidRPr="004650F8" w:rsidRDefault="008F0B23" w:rsidP="008F0B23">
      <w:pPr>
        <w:numPr>
          <w:ilvl w:val="0"/>
          <w:numId w:val="4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</w:t>
      </w:r>
      <w:r w:rsidRPr="004650F8">
        <w:rPr>
          <w:rFonts w:eastAsia="Times New Roman"/>
          <w:lang w:eastAsia="cs-CZ"/>
        </w:rPr>
        <w:lastRenderedPageBreak/>
        <w:t>podle</w:t>
      </w:r>
      <w:r w:rsidR="00B766F2" w:rsidRPr="004650F8">
        <w:rPr>
          <w:rFonts w:eastAsia="Times New Roman"/>
          <w:lang w:eastAsia="cs-CZ"/>
        </w:rPr>
        <w:t> </w:t>
      </w:r>
      <w:r w:rsidRPr="004650F8">
        <w:rPr>
          <w:rFonts w:eastAsia="Times New Roman"/>
          <w:lang w:eastAsia="cs-CZ"/>
        </w:rPr>
        <w:t>přímo aplikovatelného právního předpisu</w:t>
      </w:r>
      <w:r w:rsidRPr="004650F8">
        <w:rPr>
          <w:rFonts w:eastAsia="Times New Roman"/>
          <w:vertAlign w:val="superscript"/>
          <w:lang w:eastAsia="cs-CZ"/>
        </w:rPr>
        <w:footnoteReference w:id="1"/>
      </w:r>
      <w:r w:rsidRPr="004650F8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5F7C964" w14:textId="77777777" w:rsidR="008F0B23" w:rsidRPr="004650F8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DF5C045" w14:textId="77777777" w:rsidR="004F1941" w:rsidRPr="004650F8" w:rsidRDefault="004F194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7DDE0B9" w14:textId="77777777" w:rsidR="008F0B23" w:rsidRPr="004650F8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Článek X</w:t>
      </w:r>
      <w:r w:rsidR="002C3670" w:rsidRPr="004650F8">
        <w:rPr>
          <w:rFonts w:eastAsia="Times New Roman"/>
          <w:b/>
          <w:bCs/>
          <w:lang w:eastAsia="cs-CZ"/>
        </w:rPr>
        <w:t>I</w:t>
      </w:r>
      <w:r w:rsidRPr="004650F8">
        <w:rPr>
          <w:rFonts w:eastAsia="Times New Roman"/>
          <w:b/>
          <w:bCs/>
          <w:lang w:eastAsia="cs-CZ"/>
        </w:rPr>
        <w:t>.</w:t>
      </w:r>
    </w:p>
    <w:p w14:paraId="0602E1E4" w14:textId="77777777" w:rsidR="008F0B23" w:rsidRPr="004650F8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4650F8">
        <w:rPr>
          <w:rFonts w:eastAsia="Times New Roman"/>
          <w:b/>
          <w:bCs/>
          <w:lang w:eastAsia="cs-CZ"/>
        </w:rPr>
        <w:t>Závěrečná ustanovení</w:t>
      </w:r>
    </w:p>
    <w:p w14:paraId="37A0A2A6" w14:textId="77777777" w:rsidR="008F0B23" w:rsidRPr="004650F8" w:rsidRDefault="008F0B23" w:rsidP="008F0B23">
      <w:pPr>
        <w:numPr>
          <w:ilvl w:val="0"/>
          <w:numId w:val="33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88C8456" w14:textId="77777777" w:rsidR="008F0B23" w:rsidRPr="004650F8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BD9C67" w14:textId="77777777" w:rsidR="008F0B23" w:rsidRPr="004650F8" w:rsidRDefault="008F0B23" w:rsidP="008F0B23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14:paraId="5225E7FE" w14:textId="77777777" w:rsidR="008F0B23" w:rsidRPr="004650F8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341ED8B" w14:textId="77777777" w:rsidR="008F0B23" w:rsidRPr="004650F8" w:rsidRDefault="008F0B23" w:rsidP="008F0B23">
      <w:pPr>
        <w:numPr>
          <w:ilvl w:val="0"/>
          <w:numId w:val="3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Smlouva je vyhotovena ve 3</w:t>
      </w:r>
      <w:r w:rsidRPr="004650F8">
        <w:rPr>
          <w:rFonts w:eastAsia="Times New Roman"/>
          <w:color w:val="FF0000"/>
          <w:lang w:eastAsia="cs-CZ"/>
        </w:rPr>
        <w:t xml:space="preserve"> </w:t>
      </w:r>
      <w:r w:rsidRPr="004650F8">
        <w:rPr>
          <w:rFonts w:eastAsia="Times New Roman"/>
          <w:lang w:eastAsia="cs-CZ"/>
        </w:rPr>
        <w:t>vyhotoveních, z nichž 2</w:t>
      </w:r>
      <w:r w:rsidRPr="004650F8">
        <w:rPr>
          <w:rFonts w:eastAsia="Times New Roman"/>
          <w:color w:val="FF0000"/>
          <w:lang w:eastAsia="cs-CZ"/>
        </w:rPr>
        <w:t xml:space="preserve"> </w:t>
      </w:r>
      <w:r w:rsidRPr="004650F8">
        <w:rPr>
          <w:rFonts w:eastAsia="Times New Roman"/>
          <w:lang w:eastAsia="cs-CZ"/>
        </w:rPr>
        <w:t>obdrží poskytovatel a 1</w:t>
      </w:r>
      <w:r w:rsidRPr="004650F8">
        <w:rPr>
          <w:rFonts w:eastAsia="Times New Roman"/>
          <w:color w:val="FF0000"/>
          <w:lang w:eastAsia="cs-CZ"/>
        </w:rPr>
        <w:t xml:space="preserve"> </w:t>
      </w:r>
      <w:r w:rsidRPr="004650F8">
        <w:rPr>
          <w:rFonts w:eastAsia="Times New Roman"/>
          <w:lang w:eastAsia="cs-CZ"/>
        </w:rPr>
        <w:t>příjemce.</w:t>
      </w:r>
    </w:p>
    <w:p w14:paraId="6342A10C" w14:textId="77777777" w:rsidR="008F0B23" w:rsidRPr="004650F8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292201" w14:textId="77777777" w:rsidR="008F0B23" w:rsidRPr="004650F8" w:rsidRDefault="00A250BA" w:rsidP="00CF660D">
      <w:pPr>
        <w:numPr>
          <w:ilvl w:val="0"/>
          <w:numId w:val="57"/>
        </w:num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Smlouva nabývá</w:t>
      </w:r>
      <w:r w:rsidR="008F0B23" w:rsidRPr="004650F8">
        <w:rPr>
          <w:rFonts w:eastAsia="Times New Roman"/>
          <w:lang w:eastAsia="cs-CZ"/>
        </w:rPr>
        <w:t> </w:t>
      </w:r>
      <w:r w:rsidRPr="004650F8">
        <w:rPr>
          <w:rFonts w:eastAsia="Times New Roman"/>
          <w:lang w:eastAsia="cs-CZ"/>
        </w:rPr>
        <w:t>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 vkladu smluvním protistranám je uveden v záhlaví smlouvy u příjemce.</w:t>
      </w:r>
    </w:p>
    <w:p w14:paraId="5B0A2F44" w14:textId="77777777" w:rsidR="008F0B23" w:rsidRPr="004650F8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0C438AB" w14:textId="77777777" w:rsidR="008F0B23" w:rsidRPr="004650F8" w:rsidRDefault="00A250BA" w:rsidP="00CF660D">
      <w:pPr>
        <w:numPr>
          <w:ilvl w:val="0"/>
          <w:numId w:val="57"/>
        </w:num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V</w:t>
      </w:r>
      <w:r w:rsidR="008F0B23" w:rsidRPr="004650F8">
        <w:rPr>
          <w:rFonts w:eastAsia="Times New Roman"/>
          <w:lang w:eastAsia="cs-CZ"/>
        </w:rPr>
        <w:t xml:space="preserve"> </w:t>
      </w:r>
      <w:r w:rsidRPr="004650F8">
        <w:rPr>
          <w:rFonts w:eastAsia="Times New Roman"/>
          <w:lang w:eastAsia="cs-CZ"/>
        </w:rPr>
        <w:t>případě, že se některá ustanovení smlouvy stanou neplatnými nebo neúčinnými, zůstává platnost a účinnost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2BEC059" w14:textId="77777777" w:rsidR="00A250BA" w:rsidRPr="004650F8" w:rsidRDefault="00A250BA" w:rsidP="00A250BA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1AE61A6F" w14:textId="1B47392F" w:rsidR="00A250BA" w:rsidRPr="004650F8" w:rsidRDefault="00A250BA" w:rsidP="00A250BA">
      <w:pPr>
        <w:numPr>
          <w:ilvl w:val="0"/>
          <w:numId w:val="57"/>
        </w:num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 xml:space="preserve">O poskytnutí dotace a uzavření veřejnoprávní smlouvy rozhodlo v souladu s ustanovením § 36 písm. c)  zákona č. 129/2000 Sb., o krajích (krajské zřízení), ve znění pozdějších předpisů, Zastupitelstvo Karlovarského kraje usnesením č. ZK </w:t>
      </w:r>
      <w:r w:rsidR="00EF00EC" w:rsidRPr="004650F8">
        <w:rPr>
          <w:rFonts w:eastAsia="Times New Roman"/>
          <w:lang w:eastAsia="cs-CZ"/>
        </w:rPr>
        <w:t xml:space="preserve"> </w:t>
      </w:r>
      <w:r w:rsidR="0021201C">
        <w:rPr>
          <w:rFonts w:eastAsia="Times New Roman"/>
          <w:lang w:eastAsia="cs-CZ"/>
        </w:rPr>
        <w:t>377/09</w:t>
      </w:r>
      <w:r w:rsidR="00EF00EC" w:rsidRPr="004650F8">
        <w:rPr>
          <w:rFonts w:eastAsia="Times New Roman"/>
          <w:lang w:eastAsia="cs-CZ"/>
        </w:rPr>
        <w:t>/22</w:t>
      </w:r>
      <w:r w:rsidRPr="004650F8">
        <w:rPr>
          <w:rFonts w:eastAsia="Times New Roman"/>
          <w:lang w:eastAsia="cs-CZ"/>
        </w:rPr>
        <w:t xml:space="preserve"> ze dne </w:t>
      </w:r>
      <w:r w:rsidR="0021201C">
        <w:rPr>
          <w:rFonts w:eastAsia="Times New Roman"/>
          <w:lang w:eastAsia="cs-CZ"/>
        </w:rPr>
        <w:t xml:space="preserve">12. září </w:t>
      </w:r>
      <w:r w:rsidRPr="004650F8">
        <w:rPr>
          <w:rFonts w:eastAsia="Times New Roman"/>
          <w:lang w:eastAsia="cs-CZ"/>
        </w:rPr>
        <w:t>2022</w:t>
      </w:r>
      <w:r w:rsidR="0021201C">
        <w:rPr>
          <w:rFonts w:eastAsia="Times New Roman"/>
          <w:lang w:eastAsia="cs-CZ"/>
        </w:rPr>
        <w:t xml:space="preserve"> a RZ č. 433/2022 ze dne 3. října 2022</w:t>
      </w:r>
      <w:r w:rsidRPr="004650F8">
        <w:rPr>
          <w:rFonts w:eastAsia="Times New Roman"/>
          <w:lang w:eastAsia="cs-CZ"/>
        </w:rPr>
        <w:t>.</w:t>
      </w:r>
    </w:p>
    <w:p w14:paraId="0890D0CC" w14:textId="77777777" w:rsidR="00A250BA" w:rsidRPr="004650F8" w:rsidRDefault="00A250BA" w:rsidP="00A250BA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36A6C5A0" w14:textId="77777777" w:rsidR="008F0B23" w:rsidRPr="004650F8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8F0B23" w:rsidRPr="004650F8" w14:paraId="14984CE3" w14:textId="77777777" w:rsidTr="0063203A">
        <w:trPr>
          <w:trHeight w:val="644"/>
        </w:trPr>
        <w:tc>
          <w:tcPr>
            <w:tcW w:w="2265" w:type="dxa"/>
            <w:vAlign w:val="center"/>
          </w:tcPr>
          <w:p w14:paraId="36F868B6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72D5E2EF" w14:textId="77777777" w:rsidR="008F0B23" w:rsidRPr="004650F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dne</w:t>
            </w:r>
            <w:r w:rsidR="00EC01CC" w:rsidRPr="004650F8">
              <w:rPr>
                <w:rFonts w:eastAsia="Times New Roman"/>
                <w:lang w:eastAsia="cs-CZ"/>
              </w:rPr>
              <w:t xml:space="preserve"> …</w:t>
            </w:r>
            <w:r w:rsidRPr="004650F8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126FDC58" w14:textId="77777777" w:rsidR="008F0B23" w:rsidRPr="004650F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..... ..... ..... ..... .....</w:t>
            </w:r>
          </w:p>
          <w:p w14:paraId="6864D6A3" w14:textId="77777777" w:rsidR="008F0B23" w:rsidRPr="004650F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7F8B0DAB" w14:textId="77777777" w:rsidR="008F0B23" w:rsidRPr="004650F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dne</w:t>
            </w:r>
            <w:r w:rsidR="00EC01CC" w:rsidRPr="004650F8">
              <w:rPr>
                <w:rFonts w:eastAsia="Times New Roman"/>
                <w:lang w:eastAsia="cs-CZ"/>
              </w:rPr>
              <w:t xml:space="preserve"> …</w:t>
            </w:r>
            <w:r w:rsidRPr="004650F8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8F0B23" w:rsidRPr="004650F8" w14:paraId="770EFA23" w14:textId="77777777" w:rsidTr="0063203A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CA6C5E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AC2C10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1233A75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F86496A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DBB0FBF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..... ..... ..... ..... ..... .....</w:t>
            </w:r>
          </w:p>
          <w:p w14:paraId="7C57DA9D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16ABD22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6E6A430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3568F4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1083639" w14:textId="77777777" w:rsidR="008F0B23" w:rsidRPr="004650F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31523E3" w14:textId="77777777" w:rsidR="008F0B23" w:rsidRPr="004650F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..... ..... ..... ..... ..... .....</w:t>
            </w:r>
          </w:p>
          <w:p w14:paraId="3D0EACFB" w14:textId="77777777" w:rsidR="008F0B23" w:rsidRPr="004650F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49F1292" w14:textId="77777777" w:rsidR="008F0B23" w:rsidRPr="004650F8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269B4DDA" w14:textId="77777777" w:rsidR="003F160E" w:rsidRPr="004650F8" w:rsidRDefault="003F160E" w:rsidP="008F0B23">
      <w:pPr>
        <w:spacing w:after="0" w:line="240" w:lineRule="auto"/>
        <w:rPr>
          <w:rFonts w:eastAsia="Times New Roman"/>
          <w:lang w:eastAsia="cs-CZ"/>
        </w:rPr>
      </w:pPr>
    </w:p>
    <w:p w14:paraId="25FE7DE0" w14:textId="77777777" w:rsidR="003F160E" w:rsidRPr="004650F8" w:rsidRDefault="003F160E" w:rsidP="008F0B23">
      <w:pPr>
        <w:spacing w:after="0" w:line="240" w:lineRule="auto"/>
        <w:rPr>
          <w:rFonts w:eastAsia="Times New Roman"/>
          <w:lang w:eastAsia="cs-CZ"/>
        </w:rPr>
      </w:pPr>
    </w:p>
    <w:p w14:paraId="2822B226" w14:textId="11DF2854" w:rsidR="00A71617" w:rsidRDefault="008F0B23" w:rsidP="00CD7089">
      <w:pPr>
        <w:spacing w:after="0" w:line="240" w:lineRule="auto"/>
        <w:rPr>
          <w:rFonts w:eastAsia="Times New Roman"/>
          <w:sz w:val="21"/>
          <w:szCs w:val="21"/>
          <w:lang w:eastAsia="cs-CZ"/>
        </w:rPr>
        <w:sectPr w:rsidR="00A71617" w:rsidSect="00063C82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650F8">
        <w:rPr>
          <w:rFonts w:eastAsia="Times New Roman"/>
          <w:lang w:eastAsia="cs-CZ"/>
        </w:rPr>
        <w:t>Za správnost:</w:t>
      </w:r>
      <w:r w:rsidR="00C54D28" w:rsidRPr="004650F8">
        <w:rPr>
          <w:rFonts w:eastAsia="Times New Roman"/>
          <w:lang w:eastAsia="cs-CZ"/>
        </w:rPr>
        <w:t xml:space="preserve"> </w:t>
      </w:r>
      <w:r w:rsidR="00674125">
        <w:rPr>
          <w:rFonts w:eastAsia="Times New Roman"/>
          <w:lang w:eastAsia="cs-CZ"/>
        </w:rPr>
        <w:t>XXXX</w:t>
      </w:r>
      <w:bookmarkStart w:id="0" w:name="_GoBack"/>
      <w:bookmarkEnd w:id="0"/>
    </w:p>
    <w:p w14:paraId="56191CB1" w14:textId="1CD0EE84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19"/>
          <w:szCs w:val="19"/>
          <w:lang w:eastAsia="cs-CZ"/>
        </w:rPr>
      </w:pPr>
      <w:r w:rsidRPr="0061530E">
        <w:rPr>
          <w:rFonts w:eastAsia="Times New Roman"/>
          <w:b/>
          <w:sz w:val="19"/>
          <w:szCs w:val="19"/>
          <w:lang w:eastAsia="cs-CZ"/>
        </w:rPr>
        <w:lastRenderedPageBreak/>
        <w:t xml:space="preserve">Dokument je vyhotoven na základě usnesení </w:t>
      </w:r>
      <w:r w:rsidR="00000D06">
        <w:rPr>
          <w:rFonts w:eastAsia="Times New Roman"/>
          <w:b/>
          <w:sz w:val="19"/>
          <w:szCs w:val="19"/>
          <w:lang w:eastAsia="cs-CZ"/>
        </w:rPr>
        <w:t>ZK</w:t>
      </w:r>
      <w:r w:rsidRPr="0061530E">
        <w:rPr>
          <w:rFonts w:eastAsia="Times New Roman"/>
          <w:b/>
          <w:sz w:val="19"/>
          <w:szCs w:val="19"/>
          <w:lang w:eastAsia="cs-CZ"/>
        </w:rPr>
        <w:t xml:space="preserve">K číslo </w:t>
      </w:r>
      <w:r w:rsidR="00000D06">
        <w:rPr>
          <w:rFonts w:eastAsia="Times New Roman"/>
          <w:b/>
          <w:sz w:val="19"/>
          <w:szCs w:val="19"/>
          <w:lang w:eastAsia="cs-CZ"/>
        </w:rPr>
        <w:t>Z</w:t>
      </w:r>
      <w:r w:rsidRPr="0061530E">
        <w:rPr>
          <w:rFonts w:eastAsia="Times New Roman"/>
          <w:b/>
          <w:sz w:val="19"/>
          <w:szCs w:val="19"/>
          <w:lang w:eastAsia="cs-CZ"/>
        </w:rPr>
        <w:t>K</w:t>
      </w:r>
      <w:r w:rsidR="001E5980">
        <w:rPr>
          <w:rFonts w:eastAsia="Times New Roman"/>
          <w:b/>
          <w:sz w:val="19"/>
          <w:szCs w:val="19"/>
          <w:lang w:eastAsia="cs-CZ"/>
        </w:rPr>
        <w:t xml:space="preserve"> 377</w:t>
      </w:r>
      <w:r w:rsidRPr="0061530E">
        <w:rPr>
          <w:rFonts w:eastAsia="Times New Roman"/>
          <w:b/>
          <w:sz w:val="19"/>
          <w:szCs w:val="19"/>
          <w:lang w:eastAsia="cs-CZ"/>
        </w:rPr>
        <w:t>/</w:t>
      </w:r>
      <w:r w:rsidR="001E5980">
        <w:rPr>
          <w:rFonts w:eastAsia="Times New Roman"/>
          <w:b/>
          <w:sz w:val="19"/>
          <w:szCs w:val="19"/>
          <w:lang w:eastAsia="cs-CZ"/>
        </w:rPr>
        <w:t>09</w:t>
      </w:r>
      <w:r w:rsidRPr="0061530E">
        <w:rPr>
          <w:rFonts w:eastAsia="Times New Roman"/>
          <w:b/>
          <w:sz w:val="19"/>
          <w:szCs w:val="19"/>
          <w:lang w:eastAsia="cs-CZ"/>
        </w:rPr>
        <w:t>/</w:t>
      </w:r>
      <w:r w:rsidR="00BB7977" w:rsidRPr="0061530E">
        <w:rPr>
          <w:rFonts w:eastAsia="Times New Roman"/>
          <w:b/>
          <w:sz w:val="19"/>
          <w:szCs w:val="19"/>
          <w:lang w:eastAsia="cs-CZ"/>
        </w:rPr>
        <w:t>2</w:t>
      </w:r>
      <w:r w:rsidR="00000D06">
        <w:rPr>
          <w:rFonts w:eastAsia="Times New Roman"/>
          <w:b/>
          <w:sz w:val="19"/>
          <w:szCs w:val="19"/>
          <w:lang w:eastAsia="cs-CZ"/>
        </w:rPr>
        <w:t>2</w:t>
      </w:r>
      <w:r w:rsidRPr="0061530E">
        <w:rPr>
          <w:rFonts w:eastAsia="Times New Roman"/>
          <w:b/>
          <w:sz w:val="19"/>
          <w:szCs w:val="19"/>
          <w:lang w:eastAsia="cs-CZ"/>
        </w:rPr>
        <w:t xml:space="preserve"> ze dne </w:t>
      </w:r>
      <w:r w:rsidR="001E5980">
        <w:rPr>
          <w:rFonts w:eastAsia="Times New Roman"/>
          <w:b/>
          <w:sz w:val="19"/>
          <w:szCs w:val="19"/>
          <w:lang w:eastAsia="cs-CZ"/>
        </w:rPr>
        <w:t>12</w:t>
      </w:r>
      <w:r w:rsidRPr="0061530E">
        <w:rPr>
          <w:rFonts w:eastAsia="Times New Roman"/>
          <w:b/>
          <w:sz w:val="19"/>
          <w:szCs w:val="19"/>
          <w:lang w:eastAsia="cs-CZ"/>
        </w:rPr>
        <w:t>.</w:t>
      </w:r>
      <w:r w:rsidR="00964607">
        <w:rPr>
          <w:rFonts w:eastAsia="Times New Roman"/>
          <w:b/>
          <w:sz w:val="19"/>
          <w:szCs w:val="19"/>
          <w:lang w:eastAsia="cs-CZ"/>
        </w:rPr>
        <w:t xml:space="preserve"> </w:t>
      </w:r>
      <w:r w:rsidR="001E5980">
        <w:rPr>
          <w:rFonts w:eastAsia="Times New Roman"/>
          <w:b/>
          <w:sz w:val="19"/>
          <w:szCs w:val="19"/>
          <w:lang w:eastAsia="cs-CZ"/>
        </w:rPr>
        <w:t>9</w:t>
      </w:r>
      <w:r w:rsidRPr="0061530E">
        <w:rPr>
          <w:rFonts w:eastAsia="Times New Roman"/>
          <w:b/>
          <w:sz w:val="19"/>
          <w:szCs w:val="19"/>
          <w:lang w:eastAsia="cs-CZ"/>
        </w:rPr>
        <w:t xml:space="preserve">. </w:t>
      </w:r>
      <w:r w:rsidR="00247CE8" w:rsidRPr="0061530E">
        <w:rPr>
          <w:rFonts w:eastAsia="Times New Roman"/>
          <w:b/>
          <w:sz w:val="19"/>
          <w:szCs w:val="19"/>
          <w:lang w:eastAsia="cs-CZ"/>
        </w:rPr>
        <w:t>202</w:t>
      </w:r>
      <w:r w:rsidR="00000D06">
        <w:rPr>
          <w:rFonts w:eastAsia="Times New Roman"/>
          <w:b/>
          <w:sz w:val="19"/>
          <w:szCs w:val="19"/>
          <w:lang w:eastAsia="cs-CZ"/>
        </w:rPr>
        <w:t>2</w:t>
      </w:r>
    </w:p>
    <w:p w14:paraId="1C6E97AE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15"/>
          <w:szCs w:val="15"/>
          <w:lang w:eastAsia="cs-CZ"/>
        </w:rPr>
      </w:pPr>
    </w:p>
    <w:p w14:paraId="59BDBED5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5"/>
          <w:szCs w:val="15"/>
          <w:lang w:eastAsia="cs-CZ"/>
        </w:rPr>
      </w:pPr>
      <w:r w:rsidRPr="0061530E">
        <w:rPr>
          <w:rFonts w:eastAsia="Times New Roman"/>
          <w:sz w:val="15"/>
          <w:szCs w:val="15"/>
          <w:lang w:eastAsia="cs-CZ"/>
        </w:rPr>
        <w:t>Provedení předběžné řídící kontroly dle § 26 odst. 1 zák</w:t>
      </w:r>
      <w:r w:rsidR="008045C2" w:rsidRPr="0061530E">
        <w:rPr>
          <w:rFonts w:eastAsia="Times New Roman"/>
          <w:sz w:val="15"/>
          <w:szCs w:val="15"/>
          <w:lang w:eastAsia="cs-CZ"/>
        </w:rPr>
        <w:t xml:space="preserve">. č. 320/2001 Sb. a </w:t>
      </w:r>
      <w:r w:rsidR="008045C2" w:rsidRPr="00E603E7">
        <w:rPr>
          <w:rFonts w:eastAsia="Times New Roman"/>
          <w:sz w:val="15"/>
          <w:szCs w:val="15"/>
          <w:lang w:eastAsia="cs-CZ"/>
        </w:rPr>
        <w:t xml:space="preserve">§ </w:t>
      </w:r>
      <w:r w:rsidRPr="00E603E7">
        <w:rPr>
          <w:rFonts w:eastAsia="Times New Roman"/>
          <w:sz w:val="15"/>
          <w:szCs w:val="15"/>
          <w:lang w:eastAsia="cs-CZ"/>
        </w:rPr>
        <w:t>13</w:t>
      </w:r>
      <w:r w:rsidRPr="0061530E">
        <w:rPr>
          <w:rFonts w:eastAsia="Times New Roman"/>
          <w:sz w:val="15"/>
          <w:szCs w:val="15"/>
          <w:lang w:eastAsia="cs-CZ"/>
        </w:rPr>
        <w:t xml:space="preserve"> </w:t>
      </w:r>
      <w:proofErr w:type="spellStart"/>
      <w:r w:rsidRPr="0061530E">
        <w:rPr>
          <w:rFonts w:eastAsia="Times New Roman"/>
          <w:sz w:val="15"/>
          <w:szCs w:val="15"/>
          <w:lang w:eastAsia="cs-CZ"/>
        </w:rPr>
        <w:t>vyhl</w:t>
      </w:r>
      <w:proofErr w:type="spellEnd"/>
      <w:r w:rsidRPr="0061530E">
        <w:rPr>
          <w:rFonts w:eastAsia="Times New Roman"/>
          <w:sz w:val="15"/>
          <w:szCs w:val="15"/>
          <w:lang w:eastAsia="cs-CZ"/>
        </w:rPr>
        <w:t>. č. 416/2004 Sb.</w:t>
      </w:r>
    </w:p>
    <w:p w14:paraId="5F4EDC4D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5"/>
          <w:szCs w:val="15"/>
          <w:lang w:eastAsia="cs-CZ"/>
        </w:rPr>
      </w:pPr>
    </w:p>
    <w:p w14:paraId="6F665787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19"/>
          <w:szCs w:val="19"/>
          <w:lang w:eastAsia="cs-CZ"/>
        </w:rPr>
      </w:pPr>
      <w:r w:rsidRPr="0061530E">
        <w:rPr>
          <w:rFonts w:eastAsia="Times New Roman"/>
          <w:b/>
          <w:sz w:val="19"/>
          <w:szCs w:val="19"/>
          <w:lang w:eastAsia="cs-CZ"/>
        </w:rPr>
        <w:t>Příkazce operace:</w:t>
      </w:r>
      <w:r w:rsidRPr="0061530E">
        <w:rPr>
          <w:rFonts w:eastAsia="Times New Roman"/>
          <w:b/>
          <w:sz w:val="19"/>
          <w:szCs w:val="19"/>
          <w:lang w:eastAsia="cs-CZ"/>
        </w:rPr>
        <w:tab/>
      </w:r>
      <w:r w:rsidRPr="0061530E">
        <w:rPr>
          <w:rFonts w:eastAsia="Times New Roman"/>
          <w:b/>
          <w:sz w:val="19"/>
          <w:szCs w:val="19"/>
          <w:lang w:eastAsia="cs-CZ"/>
        </w:rPr>
        <w:tab/>
      </w:r>
      <w:r w:rsidRPr="0061530E">
        <w:rPr>
          <w:rFonts w:eastAsia="Times New Roman"/>
          <w:b/>
          <w:sz w:val="19"/>
          <w:szCs w:val="19"/>
          <w:lang w:eastAsia="cs-CZ"/>
        </w:rPr>
        <w:tab/>
        <w:t>Správce rozpočtu:</w:t>
      </w:r>
    </w:p>
    <w:p w14:paraId="4438C2EA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</w:p>
    <w:p w14:paraId="509A6200" w14:textId="77777777" w:rsidR="00CD7089" w:rsidRPr="0061530E" w:rsidRDefault="00ED34C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  <w:r w:rsidRPr="0061530E">
        <w:rPr>
          <w:rFonts w:eastAsia="Times New Roman"/>
          <w:sz w:val="19"/>
          <w:szCs w:val="19"/>
          <w:lang w:eastAsia="cs-CZ"/>
        </w:rPr>
        <w:t>Mgr. Monika Havlová</w:t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  <w:t>Dagmar Velichová</w:t>
      </w:r>
    </w:p>
    <w:p w14:paraId="4DAE6F6B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  <w:r w:rsidRPr="0061530E">
        <w:rPr>
          <w:rFonts w:eastAsia="Times New Roman"/>
          <w:sz w:val="19"/>
          <w:szCs w:val="19"/>
          <w:lang w:eastAsia="cs-CZ"/>
        </w:rPr>
        <w:t>příkazce</w:t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</w:r>
      <w:r w:rsidRPr="0061530E">
        <w:rPr>
          <w:rFonts w:eastAsia="Times New Roman"/>
          <w:sz w:val="19"/>
          <w:szCs w:val="19"/>
          <w:lang w:eastAsia="cs-CZ"/>
        </w:rPr>
        <w:tab/>
        <w:t>rozpočtář</w:t>
      </w:r>
    </w:p>
    <w:p w14:paraId="37F53869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5"/>
          <w:szCs w:val="15"/>
          <w:lang w:eastAsia="cs-CZ"/>
        </w:rPr>
      </w:pPr>
    </w:p>
    <w:p w14:paraId="5581D422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5"/>
          <w:szCs w:val="15"/>
          <w:lang w:eastAsia="cs-CZ"/>
        </w:rPr>
      </w:pPr>
      <w:r w:rsidRPr="0061530E">
        <w:rPr>
          <w:rFonts w:eastAsia="Times New Roman"/>
          <w:sz w:val="15"/>
          <w:szCs w:val="15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70B3FAD5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</w:p>
    <w:p w14:paraId="43AABF74" w14:textId="77777777" w:rsidR="00CD7089" w:rsidRPr="0061530E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</w:p>
    <w:p w14:paraId="087FAB92" w14:textId="31A82583" w:rsidR="00A71617" w:rsidRDefault="001E5980" w:rsidP="006F116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9"/>
          <w:szCs w:val="19"/>
          <w:lang w:eastAsia="cs-CZ"/>
        </w:rPr>
      </w:pPr>
      <w:r>
        <w:rPr>
          <w:rFonts w:eastAsia="Times New Roman"/>
          <w:sz w:val="19"/>
          <w:szCs w:val="19"/>
          <w:lang w:eastAsia="cs-CZ"/>
        </w:rPr>
        <w:t>Ing. Eva Cíchová</w:t>
      </w:r>
      <w:r w:rsidR="00CD7089" w:rsidRPr="0061530E">
        <w:rPr>
          <w:rFonts w:eastAsia="Times New Roman"/>
          <w:sz w:val="19"/>
          <w:szCs w:val="19"/>
          <w:lang w:eastAsia="cs-CZ"/>
        </w:rPr>
        <w:tab/>
      </w:r>
      <w:r w:rsidR="00CD7089" w:rsidRPr="0061530E">
        <w:rPr>
          <w:rFonts w:eastAsia="Times New Roman"/>
          <w:color w:val="FF0000"/>
          <w:sz w:val="19"/>
          <w:szCs w:val="19"/>
          <w:lang w:eastAsia="cs-CZ"/>
        </w:rPr>
        <w:t xml:space="preserve">                </w:t>
      </w:r>
      <w:r w:rsidR="00CD7089" w:rsidRPr="0061530E">
        <w:rPr>
          <w:rFonts w:eastAsia="Times New Roman"/>
          <w:sz w:val="19"/>
          <w:szCs w:val="19"/>
          <w:lang w:eastAsia="cs-CZ"/>
        </w:rPr>
        <w:t xml:space="preserve">dne </w:t>
      </w:r>
      <w:r w:rsidR="00BB7977" w:rsidRPr="0061530E">
        <w:rPr>
          <w:rFonts w:eastAsia="Times New Roman"/>
          <w:sz w:val="19"/>
          <w:szCs w:val="19"/>
          <w:lang w:eastAsia="cs-CZ"/>
        </w:rPr>
        <w:t xml:space="preserve">                    </w:t>
      </w:r>
      <w:r w:rsidR="00CD7089" w:rsidRPr="0061530E">
        <w:rPr>
          <w:rFonts w:eastAsia="Times New Roman"/>
          <w:sz w:val="19"/>
          <w:szCs w:val="19"/>
          <w:lang w:eastAsia="cs-CZ"/>
        </w:rPr>
        <w:tab/>
        <w:t>Po</w:t>
      </w:r>
      <w:r w:rsidR="006F1169">
        <w:rPr>
          <w:rFonts w:eastAsia="Times New Roman"/>
          <w:sz w:val="19"/>
          <w:szCs w:val="19"/>
          <w:lang w:eastAsia="cs-CZ"/>
        </w:rPr>
        <w:t>dpis</w:t>
      </w:r>
      <w:r w:rsidR="00A71617">
        <w:rPr>
          <w:rFonts w:eastAsia="Times New Roman"/>
          <w:sz w:val="19"/>
          <w:szCs w:val="19"/>
          <w:lang w:eastAsia="cs-CZ"/>
        </w:rPr>
        <w:t xml:space="preserve">                  </w:t>
      </w:r>
    </w:p>
    <w:p w14:paraId="24E5BF21" w14:textId="77777777" w:rsidR="00A71617" w:rsidRPr="00A71617" w:rsidRDefault="00A71617" w:rsidP="00A71617">
      <w:pPr>
        <w:rPr>
          <w:rFonts w:eastAsia="Times New Roman"/>
          <w:sz w:val="19"/>
          <w:szCs w:val="19"/>
          <w:lang w:eastAsia="cs-CZ"/>
        </w:rPr>
      </w:pPr>
    </w:p>
    <w:p w14:paraId="1CE22C95" w14:textId="77777777" w:rsidR="00A71617" w:rsidRDefault="00A71617" w:rsidP="00A71617">
      <w:pPr>
        <w:rPr>
          <w:rFonts w:eastAsia="Times New Roman"/>
          <w:sz w:val="19"/>
          <w:szCs w:val="19"/>
          <w:lang w:eastAsia="cs-CZ"/>
        </w:rPr>
      </w:pPr>
    </w:p>
    <w:p w14:paraId="2BD51092" w14:textId="77777777" w:rsidR="00A71617" w:rsidRPr="00A71617" w:rsidRDefault="00A71617" w:rsidP="00A71617">
      <w:pPr>
        <w:tabs>
          <w:tab w:val="left" w:pos="2565"/>
        </w:tabs>
        <w:rPr>
          <w:rFonts w:eastAsia="Times New Roman"/>
          <w:sz w:val="19"/>
          <w:szCs w:val="19"/>
          <w:lang w:eastAsia="cs-CZ"/>
        </w:rPr>
      </w:pPr>
      <w:r>
        <w:rPr>
          <w:rFonts w:eastAsia="Times New Roman"/>
          <w:sz w:val="19"/>
          <w:szCs w:val="19"/>
          <w:lang w:eastAsia="cs-CZ"/>
        </w:rPr>
        <w:tab/>
      </w:r>
    </w:p>
    <w:sectPr w:rsidR="00A71617" w:rsidRPr="00A71617" w:rsidSect="0058178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529F" w14:textId="77777777" w:rsidR="008C1699" w:rsidRPr="0061530E" w:rsidRDefault="008C1699" w:rsidP="008F0B23">
      <w:pPr>
        <w:spacing w:after="0" w:line="240" w:lineRule="auto"/>
        <w:rPr>
          <w:sz w:val="21"/>
          <w:szCs w:val="21"/>
        </w:rPr>
      </w:pPr>
      <w:r w:rsidRPr="0061530E">
        <w:rPr>
          <w:sz w:val="21"/>
          <w:szCs w:val="21"/>
        </w:rPr>
        <w:separator/>
      </w:r>
    </w:p>
  </w:endnote>
  <w:endnote w:type="continuationSeparator" w:id="0">
    <w:p w14:paraId="5541D845" w14:textId="77777777" w:rsidR="008C1699" w:rsidRPr="0061530E" w:rsidRDefault="008C1699" w:rsidP="008F0B23">
      <w:pPr>
        <w:spacing w:after="0" w:line="240" w:lineRule="auto"/>
        <w:rPr>
          <w:sz w:val="21"/>
          <w:szCs w:val="21"/>
        </w:rPr>
      </w:pPr>
      <w:r w:rsidRPr="0061530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3B63" w14:textId="04984C6F" w:rsidR="00063C82" w:rsidRPr="0061530E" w:rsidRDefault="00063C82">
    <w:pPr>
      <w:pStyle w:val="Zpat"/>
      <w:jc w:val="center"/>
      <w:rPr>
        <w:sz w:val="21"/>
        <w:szCs w:val="21"/>
      </w:rPr>
    </w:pPr>
    <w:r w:rsidRPr="0061530E">
      <w:rPr>
        <w:sz w:val="21"/>
        <w:szCs w:val="21"/>
      </w:rPr>
      <w:t xml:space="preserve">Stránka </w:t>
    </w:r>
    <w:r w:rsidRPr="0061530E">
      <w:rPr>
        <w:bCs/>
        <w:sz w:val="21"/>
        <w:szCs w:val="21"/>
      </w:rPr>
      <w:fldChar w:fldCharType="begin"/>
    </w:r>
    <w:r w:rsidRPr="0061530E">
      <w:rPr>
        <w:bCs/>
        <w:sz w:val="21"/>
        <w:szCs w:val="21"/>
      </w:rPr>
      <w:instrText>PAGE</w:instrText>
    </w:r>
    <w:r w:rsidRPr="0061530E">
      <w:rPr>
        <w:bCs/>
        <w:sz w:val="21"/>
        <w:szCs w:val="21"/>
      </w:rPr>
      <w:fldChar w:fldCharType="separate"/>
    </w:r>
    <w:r w:rsidR="00674125">
      <w:rPr>
        <w:bCs/>
        <w:noProof/>
        <w:sz w:val="21"/>
        <w:szCs w:val="21"/>
      </w:rPr>
      <w:t>6</w:t>
    </w:r>
    <w:r w:rsidRPr="0061530E">
      <w:rPr>
        <w:bCs/>
        <w:sz w:val="21"/>
        <w:szCs w:val="21"/>
      </w:rPr>
      <w:fldChar w:fldCharType="end"/>
    </w:r>
    <w:r w:rsidRPr="0061530E">
      <w:rPr>
        <w:sz w:val="21"/>
        <w:szCs w:val="21"/>
      </w:rPr>
      <w:t xml:space="preserve"> z </w:t>
    </w:r>
    <w:r w:rsidR="0058178D">
      <w:rPr>
        <w:sz w:val="21"/>
        <w:szCs w:val="21"/>
      </w:rPr>
      <w:t>6</w:t>
    </w:r>
  </w:p>
  <w:p w14:paraId="38812C4B" w14:textId="77777777" w:rsidR="0058178D" w:rsidRDefault="00581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3E27" w14:textId="77777777" w:rsidR="008C1699" w:rsidRPr="0061530E" w:rsidRDefault="008C1699" w:rsidP="008F0B23">
      <w:pPr>
        <w:spacing w:after="0" w:line="240" w:lineRule="auto"/>
        <w:rPr>
          <w:sz w:val="21"/>
          <w:szCs w:val="21"/>
        </w:rPr>
      </w:pPr>
      <w:r w:rsidRPr="0061530E">
        <w:rPr>
          <w:sz w:val="21"/>
          <w:szCs w:val="21"/>
        </w:rPr>
        <w:separator/>
      </w:r>
    </w:p>
  </w:footnote>
  <w:footnote w:type="continuationSeparator" w:id="0">
    <w:p w14:paraId="42C4170C" w14:textId="77777777" w:rsidR="008C1699" w:rsidRPr="0061530E" w:rsidRDefault="008C1699" w:rsidP="008F0B23">
      <w:pPr>
        <w:spacing w:after="0" w:line="240" w:lineRule="auto"/>
        <w:rPr>
          <w:sz w:val="21"/>
          <w:szCs w:val="21"/>
        </w:rPr>
      </w:pPr>
      <w:r w:rsidRPr="0061530E">
        <w:rPr>
          <w:sz w:val="21"/>
          <w:szCs w:val="21"/>
        </w:rPr>
        <w:continuationSeparator/>
      </w:r>
    </w:p>
  </w:footnote>
  <w:footnote w:id="1">
    <w:p w14:paraId="2E362A1F" w14:textId="77777777" w:rsidR="00063C82" w:rsidRPr="0061530E" w:rsidRDefault="00063C82" w:rsidP="008F0B23">
      <w:pPr>
        <w:pStyle w:val="Textpoznpodarou"/>
        <w:rPr>
          <w:sz w:val="19"/>
          <w:szCs w:val="19"/>
        </w:rPr>
      </w:pPr>
      <w:r w:rsidRPr="0061530E">
        <w:rPr>
          <w:rStyle w:val="Znakapoznpodarou"/>
          <w:sz w:val="19"/>
          <w:szCs w:val="19"/>
        </w:rPr>
        <w:footnoteRef/>
      </w:r>
      <w:r w:rsidRPr="0061530E">
        <w:rPr>
          <w:sz w:val="19"/>
          <w:szCs w:val="19"/>
        </w:rPr>
        <w:t xml:space="preserve"> Nařízení Rady (ES) č. 659/1999 ze dne 22. března 1999, kterým se stanoví prováděcí</w:t>
      </w:r>
      <w:r w:rsidR="000205E8">
        <w:rPr>
          <w:sz w:val="19"/>
          <w:szCs w:val="19"/>
        </w:rPr>
        <w:t xml:space="preserve"> pravidla k článku 93 Smlouvy o </w:t>
      </w:r>
      <w:r w:rsidRPr="0061530E">
        <w:rPr>
          <w:sz w:val="19"/>
          <w:szCs w:val="19"/>
        </w:rPr>
        <w:t>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11B52"/>
    <w:multiLevelType w:val="hybridMultilevel"/>
    <w:tmpl w:val="9FF05E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6E025F"/>
    <w:multiLevelType w:val="hybridMultilevel"/>
    <w:tmpl w:val="376207AE"/>
    <w:lvl w:ilvl="0" w:tplc="E9948A8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C8924222"/>
    <w:lvl w:ilvl="0" w:tplc="040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55C36"/>
    <w:multiLevelType w:val="hybridMultilevel"/>
    <w:tmpl w:val="51E679C6"/>
    <w:lvl w:ilvl="0" w:tplc="8614235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E778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E5A7A"/>
    <w:multiLevelType w:val="hybridMultilevel"/>
    <w:tmpl w:val="4CF02CEE"/>
    <w:lvl w:ilvl="0" w:tplc="B2C004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B6E31"/>
    <w:multiLevelType w:val="hybridMultilevel"/>
    <w:tmpl w:val="235E34BE"/>
    <w:lvl w:ilvl="0" w:tplc="4BA454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39B2"/>
    <w:multiLevelType w:val="hybridMultilevel"/>
    <w:tmpl w:val="4C6EABCE"/>
    <w:lvl w:ilvl="0" w:tplc="06205D0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0AE5"/>
    <w:multiLevelType w:val="hybridMultilevel"/>
    <w:tmpl w:val="6DFAAC5A"/>
    <w:lvl w:ilvl="0" w:tplc="397C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436FA"/>
    <w:multiLevelType w:val="hybridMultilevel"/>
    <w:tmpl w:val="8D1C022E"/>
    <w:lvl w:ilvl="0" w:tplc="B35E9A1A">
      <w:start w:val="8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CE075E3"/>
    <w:multiLevelType w:val="hybridMultilevel"/>
    <w:tmpl w:val="C824A80E"/>
    <w:lvl w:ilvl="0" w:tplc="1C52CB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E7B23"/>
    <w:multiLevelType w:val="hybridMultilevel"/>
    <w:tmpl w:val="8D1E4C6C"/>
    <w:lvl w:ilvl="0" w:tplc="A538F78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D712A"/>
    <w:multiLevelType w:val="hybridMultilevel"/>
    <w:tmpl w:val="5644F44C"/>
    <w:lvl w:ilvl="0" w:tplc="C0202EA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8916B9"/>
    <w:multiLevelType w:val="hybridMultilevel"/>
    <w:tmpl w:val="35488782"/>
    <w:lvl w:ilvl="0" w:tplc="5F3286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14D28"/>
    <w:multiLevelType w:val="hybridMultilevel"/>
    <w:tmpl w:val="626E7E0A"/>
    <w:lvl w:ilvl="0" w:tplc="375C0E1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0" w15:restartNumberingAfterBreak="0">
    <w:nsid w:val="5F1030D5"/>
    <w:multiLevelType w:val="hybridMultilevel"/>
    <w:tmpl w:val="6194C668"/>
    <w:lvl w:ilvl="0" w:tplc="494E96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8037888"/>
    <w:multiLevelType w:val="hybridMultilevel"/>
    <w:tmpl w:val="BD04BB2C"/>
    <w:lvl w:ilvl="0" w:tplc="9B847C1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BC35F09"/>
    <w:multiLevelType w:val="hybridMultilevel"/>
    <w:tmpl w:val="33164A54"/>
    <w:lvl w:ilvl="0" w:tplc="8306EB2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71014F"/>
    <w:multiLevelType w:val="hybridMultilevel"/>
    <w:tmpl w:val="C46264E6"/>
    <w:lvl w:ilvl="0" w:tplc="3616624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71F34"/>
    <w:multiLevelType w:val="hybridMultilevel"/>
    <w:tmpl w:val="6924091A"/>
    <w:lvl w:ilvl="0" w:tplc="F68044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217247"/>
    <w:multiLevelType w:val="hybridMultilevel"/>
    <w:tmpl w:val="96FE2C0E"/>
    <w:lvl w:ilvl="0" w:tplc="05EEBB6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3"/>
  </w:num>
  <w:num w:numId="3">
    <w:abstractNumId w:val="55"/>
  </w:num>
  <w:num w:numId="4">
    <w:abstractNumId w:val="45"/>
  </w:num>
  <w:num w:numId="5">
    <w:abstractNumId w:val="52"/>
  </w:num>
  <w:num w:numId="6">
    <w:abstractNumId w:val="0"/>
  </w:num>
  <w:num w:numId="7">
    <w:abstractNumId w:val="3"/>
  </w:num>
  <w:num w:numId="8">
    <w:abstractNumId w:val="46"/>
  </w:num>
  <w:num w:numId="9">
    <w:abstractNumId w:val="15"/>
  </w:num>
  <w:num w:numId="10">
    <w:abstractNumId w:val="26"/>
  </w:num>
  <w:num w:numId="11">
    <w:abstractNumId w:val="8"/>
  </w:num>
  <w:num w:numId="12">
    <w:abstractNumId w:val="18"/>
  </w:num>
  <w:num w:numId="13">
    <w:abstractNumId w:val="17"/>
  </w:num>
  <w:num w:numId="14">
    <w:abstractNumId w:val="30"/>
  </w:num>
  <w:num w:numId="15">
    <w:abstractNumId w:val="54"/>
  </w:num>
  <w:num w:numId="16">
    <w:abstractNumId w:val="57"/>
  </w:num>
  <w:num w:numId="17">
    <w:abstractNumId w:val="31"/>
  </w:num>
  <w:num w:numId="18">
    <w:abstractNumId w:val="53"/>
  </w:num>
  <w:num w:numId="19">
    <w:abstractNumId w:val="24"/>
  </w:num>
  <w:num w:numId="20">
    <w:abstractNumId w:val="56"/>
  </w:num>
  <w:num w:numId="21">
    <w:abstractNumId w:val="36"/>
  </w:num>
  <w:num w:numId="22">
    <w:abstractNumId w:val="23"/>
  </w:num>
  <w:num w:numId="23">
    <w:abstractNumId w:val="2"/>
  </w:num>
  <w:num w:numId="24">
    <w:abstractNumId w:val="35"/>
  </w:num>
  <w:num w:numId="25">
    <w:abstractNumId w:val="22"/>
  </w:num>
  <w:num w:numId="26">
    <w:abstractNumId w:val="21"/>
  </w:num>
  <w:num w:numId="27">
    <w:abstractNumId w:val="7"/>
  </w:num>
  <w:num w:numId="28">
    <w:abstractNumId w:val="5"/>
  </w:num>
  <w:num w:numId="29">
    <w:abstractNumId w:val="9"/>
  </w:num>
  <w:num w:numId="30">
    <w:abstractNumId w:val="16"/>
  </w:num>
  <w:num w:numId="31">
    <w:abstractNumId w:val="20"/>
  </w:num>
  <w:num w:numId="32">
    <w:abstractNumId w:val="38"/>
  </w:num>
  <w:num w:numId="33">
    <w:abstractNumId w:val="29"/>
  </w:num>
  <w:num w:numId="34">
    <w:abstractNumId w:val="28"/>
  </w:num>
  <w:num w:numId="35">
    <w:abstractNumId w:val="58"/>
  </w:num>
  <w:num w:numId="36">
    <w:abstractNumId w:val="51"/>
  </w:num>
  <w:num w:numId="37">
    <w:abstractNumId w:val="12"/>
  </w:num>
  <w:num w:numId="38">
    <w:abstractNumId w:val="32"/>
  </w:num>
  <w:num w:numId="39">
    <w:abstractNumId w:val="27"/>
  </w:num>
  <w:num w:numId="40">
    <w:abstractNumId w:val="13"/>
  </w:num>
  <w:num w:numId="41">
    <w:abstractNumId w:val="11"/>
  </w:num>
  <w:num w:numId="42">
    <w:abstractNumId w:val="37"/>
  </w:num>
  <w:num w:numId="43">
    <w:abstractNumId w:val="42"/>
  </w:num>
  <w:num w:numId="44">
    <w:abstractNumId w:val="4"/>
  </w:num>
  <w:num w:numId="45">
    <w:abstractNumId w:val="41"/>
  </w:num>
  <w:num w:numId="46">
    <w:abstractNumId w:val="25"/>
  </w:num>
  <w:num w:numId="47">
    <w:abstractNumId w:val="49"/>
  </w:num>
  <w:num w:numId="48">
    <w:abstractNumId w:val="6"/>
  </w:num>
  <w:num w:numId="49">
    <w:abstractNumId w:val="1"/>
  </w:num>
  <w:num w:numId="50">
    <w:abstractNumId w:val="47"/>
  </w:num>
  <w:num w:numId="51">
    <w:abstractNumId w:val="19"/>
  </w:num>
  <w:num w:numId="52">
    <w:abstractNumId w:val="33"/>
  </w:num>
  <w:num w:numId="53">
    <w:abstractNumId w:val="50"/>
  </w:num>
  <w:num w:numId="54">
    <w:abstractNumId w:val="48"/>
  </w:num>
  <w:num w:numId="55">
    <w:abstractNumId w:val="44"/>
  </w:num>
  <w:num w:numId="56">
    <w:abstractNumId w:val="14"/>
  </w:num>
  <w:num w:numId="57">
    <w:abstractNumId w:val="39"/>
  </w:num>
  <w:num w:numId="58">
    <w:abstractNumId w:val="10"/>
  </w:num>
  <w:num w:numId="59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007DA"/>
    <w:rsid w:val="00000D06"/>
    <w:rsid w:val="00006B8D"/>
    <w:rsid w:val="0000784D"/>
    <w:rsid w:val="00015946"/>
    <w:rsid w:val="000205E8"/>
    <w:rsid w:val="0002214C"/>
    <w:rsid w:val="00024919"/>
    <w:rsid w:val="00024B23"/>
    <w:rsid w:val="00033EEB"/>
    <w:rsid w:val="000362D3"/>
    <w:rsid w:val="00040867"/>
    <w:rsid w:val="0006239A"/>
    <w:rsid w:val="00063C82"/>
    <w:rsid w:val="00065EE4"/>
    <w:rsid w:val="0007360A"/>
    <w:rsid w:val="000826FA"/>
    <w:rsid w:val="000A3079"/>
    <w:rsid w:val="000C12F2"/>
    <w:rsid w:val="000D37F3"/>
    <w:rsid w:val="000E3701"/>
    <w:rsid w:val="0011738C"/>
    <w:rsid w:val="0012634F"/>
    <w:rsid w:val="001266B5"/>
    <w:rsid w:val="00136BCD"/>
    <w:rsid w:val="0015202A"/>
    <w:rsid w:val="00164306"/>
    <w:rsid w:val="0018457E"/>
    <w:rsid w:val="001A3CCC"/>
    <w:rsid w:val="001B7760"/>
    <w:rsid w:val="001E3DA9"/>
    <w:rsid w:val="001E5980"/>
    <w:rsid w:val="001E5E2A"/>
    <w:rsid w:val="002045A3"/>
    <w:rsid w:val="0021201C"/>
    <w:rsid w:val="00236B49"/>
    <w:rsid w:val="002371FF"/>
    <w:rsid w:val="00244366"/>
    <w:rsid w:val="00247572"/>
    <w:rsid w:val="00247CE8"/>
    <w:rsid w:val="00251951"/>
    <w:rsid w:val="002763EA"/>
    <w:rsid w:val="0027790F"/>
    <w:rsid w:val="00281566"/>
    <w:rsid w:val="0029215C"/>
    <w:rsid w:val="00294DE6"/>
    <w:rsid w:val="00295A24"/>
    <w:rsid w:val="002A64F1"/>
    <w:rsid w:val="002A6594"/>
    <w:rsid w:val="002B1314"/>
    <w:rsid w:val="002B67D8"/>
    <w:rsid w:val="002C141D"/>
    <w:rsid w:val="002C3670"/>
    <w:rsid w:val="00310853"/>
    <w:rsid w:val="003143AA"/>
    <w:rsid w:val="00321555"/>
    <w:rsid w:val="00325592"/>
    <w:rsid w:val="0034403B"/>
    <w:rsid w:val="0035059D"/>
    <w:rsid w:val="00385C5B"/>
    <w:rsid w:val="00392D15"/>
    <w:rsid w:val="003D28B6"/>
    <w:rsid w:val="003D6D68"/>
    <w:rsid w:val="003F160E"/>
    <w:rsid w:val="00400E54"/>
    <w:rsid w:val="00404DE1"/>
    <w:rsid w:val="00445361"/>
    <w:rsid w:val="004545AA"/>
    <w:rsid w:val="0046096F"/>
    <w:rsid w:val="004650F8"/>
    <w:rsid w:val="00466E94"/>
    <w:rsid w:val="00470593"/>
    <w:rsid w:val="004727A0"/>
    <w:rsid w:val="00473F46"/>
    <w:rsid w:val="00476C23"/>
    <w:rsid w:val="00484FBF"/>
    <w:rsid w:val="004B2D55"/>
    <w:rsid w:val="004B455C"/>
    <w:rsid w:val="004B6B6B"/>
    <w:rsid w:val="004B7CA6"/>
    <w:rsid w:val="004D007D"/>
    <w:rsid w:val="004E2FC2"/>
    <w:rsid w:val="004E4474"/>
    <w:rsid w:val="004F1941"/>
    <w:rsid w:val="004F5509"/>
    <w:rsid w:val="00520279"/>
    <w:rsid w:val="005470BF"/>
    <w:rsid w:val="0058178D"/>
    <w:rsid w:val="005B1DD8"/>
    <w:rsid w:val="005B286A"/>
    <w:rsid w:val="005C4E9D"/>
    <w:rsid w:val="005C5746"/>
    <w:rsid w:val="005D7BD5"/>
    <w:rsid w:val="005E6AC0"/>
    <w:rsid w:val="005E6AE9"/>
    <w:rsid w:val="0061530E"/>
    <w:rsid w:val="00623BF5"/>
    <w:rsid w:val="0063203A"/>
    <w:rsid w:val="00637DF7"/>
    <w:rsid w:val="006449AC"/>
    <w:rsid w:val="006663A3"/>
    <w:rsid w:val="00674125"/>
    <w:rsid w:val="00684939"/>
    <w:rsid w:val="00696DCD"/>
    <w:rsid w:val="006A6A21"/>
    <w:rsid w:val="006A6B01"/>
    <w:rsid w:val="006B659F"/>
    <w:rsid w:val="006C53A1"/>
    <w:rsid w:val="006F1169"/>
    <w:rsid w:val="006F77CC"/>
    <w:rsid w:val="006F7940"/>
    <w:rsid w:val="00717FDC"/>
    <w:rsid w:val="00750320"/>
    <w:rsid w:val="0076298B"/>
    <w:rsid w:val="00770045"/>
    <w:rsid w:val="00780830"/>
    <w:rsid w:val="00782756"/>
    <w:rsid w:val="007A26B7"/>
    <w:rsid w:val="007C424F"/>
    <w:rsid w:val="007D2BC2"/>
    <w:rsid w:val="007F11F6"/>
    <w:rsid w:val="008045C2"/>
    <w:rsid w:val="008464C4"/>
    <w:rsid w:val="008466C6"/>
    <w:rsid w:val="0085513E"/>
    <w:rsid w:val="0086380E"/>
    <w:rsid w:val="0088261E"/>
    <w:rsid w:val="00882FB3"/>
    <w:rsid w:val="0088478A"/>
    <w:rsid w:val="00893799"/>
    <w:rsid w:val="008B1D3E"/>
    <w:rsid w:val="008C1699"/>
    <w:rsid w:val="008C245D"/>
    <w:rsid w:val="008D4B53"/>
    <w:rsid w:val="008E3C41"/>
    <w:rsid w:val="008E511E"/>
    <w:rsid w:val="008F0B23"/>
    <w:rsid w:val="008F1A98"/>
    <w:rsid w:val="00911F09"/>
    <w:rsid w:val="00930657"/>
    <w:rsid w:val="009408AB"/>
    <w:rsid w:val="00964607"/>
    <w:rsid w:val="00971E84"/>
    <w:rsid w:val="009A2043"/>
    <w:rsid w:val="009A6E34"/>
    <w:rsid w:val="009B2057"/>
    <w:rsid w:val="009B2858"/>
    <w:rsid w:val="009C6F84"/>
    <w:rsid w:val="009D39E0"/>
    <w:rsid w:val="009E0518"/>
    <w:rsid w:val="00A03591"/>
    <w:rsid w:val="00A12E2B"/>
    <w:rsid w:val="00A20D18"/>
    <w:rsid w:val="00A22279"/>
    <w:rsid w:val="00A250BA"/>
    <w:rsid w:val="00A26FA8"/>
    <w:rsid w:val="00A30519"/>
    <w:rsid w:val="00A53E7C"/>
    <w:rsid w:val="00A562B2"/>
    <w:rsid w:val="00A65E5B"/>
    <w:rsid w:val="00A71617"/>
    <w:rsid w:val="00A90FAB"/>
    <w:rsid w:val="00A94F08"/>
    <w:rsid w:val="00AB3FA6"/>
    <w:rsid w:val="00AB4558"/>
    <w:rsid w:val="00AC00BB"/>
    <w:rsid w:val="00AD2010"/>
    <w:rsid w:val="00AE1E58"/>
    <w:rsid w:val="00AE7DDA"/>
    <w:rsid w:val="00B04522"/>
    <w:rsid w:val="00B1176F"/>
    <w:rsid w:val="00B378F0"/>
    <w:rsid w:val="00B50558"/>
    <w:rsid w:val="00B5278F"/>
    <w:rsid w:val="00B766F2"/>
    <w:rsid w:val="00B96BFC"/>
    <w:rsid w:val="00BA0C18"/>
    <w:rsid w:val="00BA0C3B"/>
    <w:rsid w:val="00BB7977"/>
    <w:rsid w:val="00C36711"/>
    <w:rsid w:val="00C42150"/>
    <w:rsid w:val="00C46CC9"/>
    <w:rsid w:val="00C51CA7"/>
    <w:rsid w:val="00C52995"/>
    <w:rsid w:val="00C52AB1"/>
    <w:rsid w:val="00C54D28"/>
    <w:rsid w:val="00C63423"/>
    <w:rsid w:val="00C707E0"/>
    <w:rsid w:val="00C7523E"/>
    <w:rsid w:val="00C75871"/>
    <w:rsid w:val="00C90A84"/>
    <w:rsid w:val="00C91027"/>
    <w:rsid w:val="00CB63A7"/>
    <w:rsid w:val="00CB7E7D"/>
    <w:rsid w:val="00CC11A9"/>
    <w:rsid w:val="00CD116A"/>
    <w:rsid w:val="00CD7089"/>
    <w:rsid w:val="00CE0B6A"/>
    <w:rsid w:val="00CE39A5"/>
    <w:rsid w:val="00CF660D"/>
    <w:rsid w:val="00D255EF"/>
    <w:rsid w:val="00D30985"/>
    <w:rsid w:val="00D3545F"/>
    <w:rsid w:val="00D72289"/>
    <w:rsid w:val="00D733D2"/>
    <w:rsid w:val="00D80E8F"/>
    <w:rsid w:val="00D963F5"/>
    <w:rsid w:val="00DB18CC"/>
    <w:rsid w:val="00DB55D3"/>
    <w:rsid w:val="00DB747C"/>
    <w:rsid w:val="00DC1A0A"/>
    <w:rsid w:val="00DD4AEF"/>
    <w:rsid w:val="00DE4F29"/>
    <w:rsid w:val="00DF5E91"/>
    <w:rsid w:val="00DF7ECE"/>
    <w:rsid w:val="00E1020F"/>
    <w:rsid w:val="00E26828"/>
    <w:rsid w:val="00E4017D"/>
    <w:rsid w:val="00E433DD"/>
    <w:rsid w:val="00E56FBD"/>
    <w:rsid w:val="00E603E7"/>
    <w:rsid w:val="00E844F1"/>
    <w:rsid w:val="00E96D25"/>
    <w:rsid w:val="00EC01CC"/>
    <w:rsid w:val="00EC03B9"/>
    <w:rsid w:val="00EC1491"/>
    <w:rsid w:val="00ED0C15"/>
    <w:rsid w:val="00ED34C9"/>
    <w:rsid w:val="00EE0351"/>
    <w:rsid w:val="00EE1068"/>
    <w:rsid w:val="00EE507E"/>
    <w:rsid w:val="00EF00EC"/>
    <w:rsid w:val="00F0440D"/>
    <w:rsid w:val="00F04825"/>
    <w:rsid w:val="00F04A51"/>
    <w:rsid w:val="00F14AB8"/>
    <w:rsid w:val="00F27FB5"/>
    <w:rsid w:val="00F4150B"/>
    <w:rsid w:val="00F54944"/>
    <w:rsid w:val="00F659F3"/>
    <w:rsid w:val="00F66E8B"/>
    <w:rsid w:val="00FA04D0"/>
    <w:rsid w:val="00FA790D"/>
    <w:rsid w:val="00FF5A3C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8650"/>
  <w15:chartTrackingRefBased/>
  <w15:docId w15:val="{887A4FB5-E88F-4387-830F-84D19641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5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530E"/>
    <w:rPr>
      <w:rFonts w:ascii="Times New Roman" w:hAnsi="Times New Roman"/>
      <w:sz w:val="22"/>
      <w:szCs w:val="22"/>
      <w:lang w:eastAsia="en-US"/>
    </w:rPr>
  </w:style>
  <w:style w:type="paragraph" w:customStyle="1" w:styleId="Normal">
    <w:name w:val="[Normal]"/>
    <w:rsid w:val="005C57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47F3-A9C1-413C-9949-28C00392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2570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Links>
    <vt:vector size="18" baseType="variant">
      <vt:variant>
        <vt:i4>5963868</vt:i4>
      </vt:variant>
      <vt:variant>
        <vt:i4>6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Cíchová Eva</cp:lastModifiedBy>
  <cp:revision>3</cp:revision>
  <cp:lastPrinted>2021-04-23T11:31:00Z</cp:lastPrinted>
  <dcterms:created xsi:type="dcterms:W3CDTF">2022-10-12T11:37:00Z</dcterms:created>
  <dcterms:modified xsi:type="dcterms:W3CDTF">2022-10-12T11:39:00Z</dcterms:modified>
</cp:coreProperties>
</file>