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2C" w:rsidRDefault="00E10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KUPNÍ SMLOUVA</w:t>
      </w: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č. smlouvy </w:t>
      </w:r>
    </w:p>
    <w:p w:rsidR="00E10A2C" w:rsidRDefault="00E10A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uzavřená dle § 2079 a násl. zákona č. 89/2012 Sb., občanského zákoníku, ve znění pozdějších předpisů (dále jen „občanský zákoník“), mezi těmito smluvními stranami:</w:t>
      </w:r>
    </w:p>
    <w:p w:rsidR="00E10A2C" w:rsidRDefault="00E10A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Název: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Kulturní služby města Moravská Třebová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Sídlo: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Svitavská 18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Telefon: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+420 </w:t>
      </w:r>
      <w:r w:rsidR="00486AFE">
        <w:rPr>
          <w:rFonts w:ascii="Times New Roman" w:eastAsia="Times New Roman" w:hAnsi="Times New Roman" w:cs="Times New Roman"/>
        </w:rPr>
        <w:t>xxxxxxxxx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00371769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MgA. Marií Blažkovou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Bankovní spojení: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86AFE">
        <w:rPr>
          <w:rFonts w:ascii="Times New Roman" w:eastAsia="Times New Roman" w:hAnsi="Times New Roman" w:cs="Times New Roman"/>
        </w:rPr>
        <w:t>xxxxxxxxxxxxxxxxxxxxxxxxxxxxxxxxxxx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Osoby oprávněné jednat:</w:t>
      </w:r>
      <w:r>
        <w:rPr>
          <w:rFonts w:ascii="Times New Roman" w:eastAsia="Times New Roman" w:hAnsi="Times New Roman" w:cs="Times New Roman"/>
        </w:rPr>
        <w:tab/>
        <w:t xml:space="preserve">MgA. Marie Blažková 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„zadavatel“)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Název: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Expoline AT, s.r.o.</w:t>
      </w:r>
    </w:p>
    <w:p w:rsidR="00E10A2C" w:rsidRDefault="00E4782D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ídlo (adresa):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U střelnice 733, Jevíčko 56943 </w:t>
      </w:r>
    </w:p>
    <w:p w:rsidR="00E10A2C" w:rsidRDefault="00E4782D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86AFE">
        <w:rPr>
          <w:rFonts w:ascii="Times New Roman" w:eastAsia="Times New Roman" w:hAnsi="Times New Roman" w:cs="Times New Roman"/>
        </w:rPr>
        <w:t>xxxxxxxxx</w:t>
      </w:r>
    </w:p>
    <w:p w:rsidR="00E10A2C" w:rsidRDefault="00E4782D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DIČ: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CZ28802209</w:t>
      </w:r>
    </w:p>
    <w:p w:rsidR="00E10A2C" w:rsidRDefault="00E4782D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IČO: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28802209</w:t>
      </w:r>
    </w:p>
    <w:p w:rsidR="00E10A2C" w:rsidRDefault="00E4782D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Zastoupen: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Mgr. Petr Štindl </w:t>
      </w:r>
    </w:p>
    <w:p w:rsidR="00E10A2C" w:rsidRDefault="00E4782D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Bankovní spojení: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86AFE">
        <w:rPr>
          <w:rFonts w:ascii="Times New Roman" w:eastAsia="Times New Roman" w:hAnsi="Times New Roman" w:cs="Times New Roman"/>
        </w:rPr>
        <w:t>xxxxxxxxxxxxxxxxxxxxxxxx</w:t>
      </w:r>
    </w:p>
    <w:p w:rsidR="00E10A2C" w:rsidRDefault="00E4782D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Osoba oprávněná jednat: (dále jen „prodávající“) Mgr. Petr Štindl </w:t>
      </w: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I. </w:t>
      </w: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Preambule</w:t>
      </w:r>
    </w:p>
    <w:p w:rsidR="00E10A2C" w:rsidRDefault="00E1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Prodávající je držitelem příslušných živnostenských oprávnění potřebných k dodání předmětu plnění a má řádné vybavení, zkušenosti a schopnosti, aby řádně a včas dodal předmět plnění dle Smlouvy a je tak způsobilý splnit svou nabídku podanou v</w:t>
      </w:r>
      <w:r>
        <w:rPr>
          <w:rFonts w:ascii="Times New Roman" w:eastAsia="Times New Roman" w:hAnsi="Times New Roman" w:cs="Times New Roman"/>
        </w:rPr>
        <w:t xml:space="preserve"> rámci výběrového řízení pro zadání veřejné zakázky na dodávky, zadávanou jako veřejnou zakázku malého rozsahu, mimo režim zákona č. 134/2016 Sb., o zadávání veřejných zakázek (dále jen „zákon“) s názvem „Nové vybavení muzea v budově Latinské školy". Prodá</w:t>
      </w:r>
      <w:r>
        <w:rPr>
          <w:rFonts w:ascii="Times New Roman" w:eastAsia="Times New Roman" w:hAnsi="Times New Roman" w:cs="Times New Roman"/>
        </w:rPr>
        <w:t>vající prohlašuje, že je schopný předmět plnění dle Smlouvy dodat v souladu se Smlouvou za sjednanou cenu a že si je vědom skutečnosti, že Zadavatel má značný zájem na dodání předmětu plnění, které je předmětem Smlouvy v čase a kvalitě dle Smlouvy.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II. </w:t>
      </w: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>ředmět plnění</w:t>
      </w:r>
    </w:p>
    <w:p w:rsidR="00E10A2C" w:rsidRDefault="00E1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Prodávající se Smlouvou zavazuje dodat pro Zadavatele řádně a včas, na svůj náklad a na své nebezpečí sjednané předmět plnění dle čl. IV. Smlouvy a umožní mu k němu nabýt vlastnické právo a Zadavatel se zavazuje dodaný předmět plnění přev</w:t>
      </w:r>
      <w:r>
        <w:rPr>
          <w:rFonts w:ascii="Times New Roman" w:eastAsia="Times New Roman" w:hAnsi="Times New Roman" w:cs="Times New Roman"/>
        </w:rPr>
        <w:t>zít a zaplatit cenu sjednanou v čl. VI. odst. 1 této smlouvy.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Prodávající splní závazek založený Smlouvou tím, že řádně a včas dodá předmět plnění dle Smlouvy, umožní Zadavateli nabýt k němu vlastnické právo a splní všechny ostatní povinnosti vyplývají</w:t>
      </w:r>
      <w:r>
        <w:rPr>
          <w:rFonts w:ascii="Times New Roman" w:eastAsia="Times New Roman" w:hAnsi="Times New Roman" w:cs="Times New Roman"/>
        </w:rPr>
        <w:t>cí ze Smlouvy.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 Zadavatel splní závazek založený Smlouvou tím, že předmět plnění převezme a řádně a včas zaplatí cenu za předmět plnění.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 Specifikace předmětu smlouvy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Předmětem této Smlouvy je výroba, dodávka a montáž nového vybavení muzea v bud</w:t>
      </w:r>
      <w:r>
        <w:rPr>
          <w:rFonts w:ascii="Times New Roman" w:eastAsia="Times New Roman" w:hAnsi="Times New Roman" w:cs="Times New Roman"/>
        </w:rPr>
        <w:t xml:space="preserve">ově Latinské školy na adrese Kostelní náměstí 25/1, Moravská Třebová. 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Předmět dodávky dle této Smlouvy je blíže specifikován v příloze Smlouvy – Technická specifikace.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Předmětem Smlouvy je rovněž doprava na místo plnění, instalace a řádné uvedení </w:t>
      </w:r>
      <w:r>
        <w:rPr>
          <w:rFonts w:ascii="Times New Roman" w:eastAsia="Times New Roman" w:hAnsi="Times New Roman" w:cs="Times New Roman"/>
        </w:rPr>
        <w:t xml:space="preserve">do provozu dodávaného vybavení. 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Prodávající se zavazuje, že dodá celý předmět plnění, tak jak je specifikován v přílohách této smlouvy.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 Doba plnění a místo dodání</w:t>
      </w:r>
    </w:p>
    <w:p w:rsidR="00E10A2C" w:rsidRDefault="00E1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Dodání předmětu veřejné zakázky bude realizováno následujícím způsobem: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Zahájení plnění bude uskutečněno dne 01.01.2023.  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Dodání a instalaci předmětu smlouvy na místě plnění je Prodávající povinen uskutečnit max. do 30.09.2023. 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2. Splněním dodávky se rozumí protokolární předání a převzetí předmětu plnění Zadavatelem v místě</w:t>
      </w:r>
      <w:r>
        <w:rPr>
          <w:rFonts w:ascii="Times New Roman" w:eastAsia="Times New Roman" w:hAnsi="Times New Roman" w:cs="Times New Roman"/>
        </w:rPr>
        <w:t xml:space="preserve"> dodání. O dodání a převzetí předmětu plnění sepíše Prodávající se zástupcem Zadavatele dodací list, v němž potvrdí, že dodaný předmět plnění byl předán bez zjevných vad a v souladu s dohodnutými podmínkami. Od okamžiku podepsání dodacího listu na předmět </w:t>
      </w:r>
      <w:r>
        <w:rPr>
          <w:rFonts w:ascii="Times New Roman" w:eastAsia="Times New Roman" w:hAnsi="Times New Roman" w:cs="Times New Roman"/>
        </w:rPr>
        <w:t>plnění začíná plynout záruční doba podle čl. VIII. odst. 1 Smlouvy.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Místem dodání je budova Latinské školy na adrese Kostelní náměstí 25/1, Moravská Třebová.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 Cena zboží a platební podmínky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Smluvní strany se dohodly na této výši ceny za předmět</w:t>
      </w:r>
      <w:r>
        <w:rPr>
          <w:rFonts w:ascii="Times New Roman" w:eastAsia="Times New Roman" w:hAnsi="Times New Roman" w:cs="Times New Roman"/>
        </w:rPr>
        <w:t xml:space="preserve"> plnění: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 bez DPH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989 500 Kč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DPH ve výši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207 795 Kč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 včetně DPH ve výši</w:t>
      </w:r>
      <w:r>
        <w:rPr>
          <w:rFonts w:ascii="Times New Roman" w:eastAsia="Times New Roman" w:hAnsi="Times New Roman" w:cs="Times New Roman"/>
        </w:rPr>
        <w:tab/>
        <w:t>1 197 295 Kč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(dále též „Cena za předmět plnění“) 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Tato cena vztahující se k předmětu plnění, jeho rozsahu a způsobu dodání, tak, jak je sjednáno v době uzavřen</w:t>
      </w:r>
      <w:r>
        <w:rPr>
          <w:rFonts w:ascii="Times New Roman" w:eastAsia="Times New Roman" w:hAnsi="Times New Roman" w:cs="Times New Roman"/>
        </w:rPr>
        <w:t>í Smlouvy, byla sjednána jako cena nejvýše přípustná, která je překročitelná pouze v případě změny právních předpisů ovlivňujících výši DPH u ceny sjednané Smlouvou.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Zadavatelem bude cena za předmět plnění uhrazena po dodání a převzetí celého předmětu </w:t>
      </w:r>
      <w:r>
        <w:rPr>
          <w:rFonts w:ascii="Times New Roman" w:eastAsia="Times New Roman" w:hAnsi="Times New Roman" w:cs="Times New Roman"/>
        </w:rPr>
        <w:t>Smlouvy, dle podmínek stanovených v této Smlouvě.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 dodání předmětu plnění předá Prodávající Zadavateli daňový doklad - fakturu za dodání dodávky.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Daňový doklad - faktura bude obsahovat pojmové náležitosti daňového dokladu stanovené zákonem č. 23</w:t>
      </w:r>
      <w:r>
        <w:rPr>
          <w:rFonts w:ascii="Times New Roman" w:eastAsia="Times New Roman" w:hAnsi="Times New Roman" w:cs="Times New Roman"/>
        </w:rPr>
        <w:t xml:space="preserve">5/2004 Sb. – o dani z přidané hodnoty, v platném znění, a zákonem č. 563/1991 Sb. – o </w:t>
      </w:r>
      <w:r>
        <w:rPr>
          <w:rFonts w:ascii="Times New Roman" w:eastAsia="Times New Roman" w:hAnsi="Times New Roman" w:cs="Times New Roman"/>
        </w:rPr>
        <w:lastRenderedPageBreak/>
        <w:t xml:space="preserve">účetnictví, v platném znění. Každá faktura musí být označena názvem projektu „Nové vybavení muzea v budově Latinské školy", číslem projektu 22/007/19210/453/200/003255 a </w:t>
      </w:r>
      <w:r>
        <w:rPr>
          <w:rFonts w:ascii="Times New Roman" w:eastAsia="Times New Roman" w:hAnsi="Times New Roman" w:cs="Times New Roman"/>
        </w:rPr>
        <w:t>textem „spolufinancováno prostřednictvím SZIF, Programu rozvoje venkova“.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V případě, že daňový doklad nebude obsahovat správné údaje či bude neúplný, je Zadavatel oprávněn daňový doklad - fakturu vrátit ve lhůtě do data jeho splatnosti Prodávajícímu. P</w:t>
      </w:r>
      <w:r>
        <w:rPr>
          <w:rFonts w:ascii="Times New Roman" w:eastAsia="Times New Roman" w:hAnsi="Times New Roman" w:cs="Times New Roman"/>
        </w:rPr>
        <w:t>rodávající je povinen takový daňový doklad - fakturu opravit, event. vystavit nový daňový doklad - fakturu - lhůta splatnosti počíná v takovém případě běžet ode dne doručení opraveného či nově vystaveného dokladu - faktury Zadavateli. Přílohou daňového dok</w:t>
      </w:r>
      <w:r>
        <w:rPr>
          <w:rFonts w:ascii="Times New Roman" w:eastAsia="Times New Roman" w:hAnsi="Times New Roman" w:cs="Times New Roman"/>
        </w:rPr>
        <w:t xml:space="preserve">ladu - faktury musí být kopie dodacího listu potvrzeného zástupcem Zadavatele. 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Není-li dohodnuto jinak, je splatnost daňových dokladů smluvními stranami dohodnuta na 30 (slovy: třicet) kalendářních dní ode dne řádného doručení daňového dokladu - faktury Prodávajícím Zadavateli. Daňový doklad - faktura se považuje za řádně a včas z</w:t>
      </w:r>
      <w:r>
        <w:rPr>
          <w:rFonts w:ascii="Times New Roman" w:eastAsia="Times New Roman" w:hAnsi="Times New Roman" w:cs="Times New Roman"/>
        </w:rPr>
        <w:t>aplacený, bude-li poslední den této lhůty účtovaná částka odepsána z účtu Zadavatele.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 Součinnost smluvních stran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Smluvní strany se zavazují vyvinout veškeré úsilí k vytvoření potřebných podmínek pro dodání předmětu plnění dle podmínek stanovených</w:t>
      </w:r>
      <w:r>
        <w:rPr>
          <w:rFonts w:ascii="Times New Roman" w:eastAsia="Times New Roman" w:hAnsi="Times New Roman" w:cs="Times New Roman"/>
        </w:rPr>
        <w:t xml:space="preserve"> Smlouvou, které vyplývají z jejich smluvního postavení. To platí i v případech, kde to není výslovně stanoveno ustanovením Smlouvy.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Pokud jsou kterékoli ze smluvních stran známy skutečnosti, které jí brání nebo budou bránit, aby dostála svým smluvním </w:t>
      </w:r>
      <w:r>
        <w:rPr>
          <w:rFonts w:ascii="Times New Roman" w:eastAsia="Times New Roman" w:hAnsi="Times New Roman" w:cs="Times New Roman"/>
        </w:rPr>
        <w:t>povinnostem, sdělí tuto skutečnost neprodleně písemně druhé smluvní straně. Smluvní strany se dále zavazují neprodleně odstranit v rámci svých možností všechny okolnosti, které jsou na jejich straně a které brání splnění jejich smluvních povinností.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Pr</w:t>
      </w:r>
      <w:r>
        <w:rPr>
          <w:rFonts w:ascii="Times New Roman" w:eastAsia="Times New Roman" w:hAnsi="Times New Roman" w:cs="Times New Roman"/>
        </w:rPr>
        <w:t>odávající se zavazuje, že na základě skutečností zjištěných v průběhu plnění povinností dle Smlouvy navrhne a provede opatření směřující k dodržení podmínek stanovených Smlouvou pro naplnění Smlouvy, k ochraně Zadavatele před škodami, ztrátami a zbytečnými</w:t>
      </w:r>
      <w:r>
        <w:rPr>
          <w:rFonts w:ascii="Times New Roman" w:eastAsia="Times New Roman" w:hAnsi="Times New Roman" w:cs="Times New Roman"/>
        </w:rPr>
        <w:t xml:space="preserve"> výdaji a že poskytne Zadavateli veškeré potřebné doklady, konzultace, pomoc a jinou součinnost.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 Záruka za zboží</w:t>
      </w:r>
    </w:p>
    <w:p w:rsidR="00E10A2C" w:rsidRDefault="00E1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Prodávající v souladu s § 2113 a násl. občanského zákoníku poskytuje záruku za jakost předmětu plnění dle čl. II. odst. 1. a IV Smlo</w:t>
      </w:r>
      <w:r>
        <w:rPr>
          <w:rFonts w:ascii="Times New Roman" w:eastAsia="Times New Roman" w:hAnsi="Times New Roman" w:cs="Times New Roman"/>
        </w:rPr>
        <w:t xml:space="preserve">uvy po dobu 24 měsíců, není-li v přílohách této Smlouvy stanovena lhůta delší, pak se použije lhůta delší. Záruka počíná běžet ode dne předání a převzetí předmětu plnění. 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V případě vzniku vad v záruční době zajistí Prodávající neprodlené převzetí zbož</w:t>
      </w:r>
      <w:r>
        <w:rPr>
          <w:rFonts w:ascii="Times New Roman" w:eastAsia="Times New Roman" w:hAnsi="Times New Roman" w:cs="Times New Roman"/>
        </w:rPr>
        <w:t>í na adrese Kostelní náměstí 25/1, Moravská Třebová, není-li oběma stranami dohodnuto jinak. Za nahlášení vady je považováno telefonické oznámení a následně zaslání písemného (elektronické prostřednictvím e-mailu) oznámení vady Prodávajícímu na tyto kontak</w:t>
      </w:r>
      <w:r>
        <w:rPr>
          <w:rFonts w:ascii="Times New Roman" w:eastAsia="Times New Roman" w:hAnsi="Times New Roman" w:cs="Times New Roman"/>
        </w:rPr>
        <w:t>ty: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tel: 773646406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pstindl@seznam.cz     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IX. Úrok z prodlení a smluvní pokuta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Pro případ porušení níže uvedených smluvních povinností si dohodly strany Smlouvy tyto ve smyslu ustanovení § 2048 a násl. občanského zákoníku níže uvedené sm</w:t>
      </w:r>
      <w:r>
        <w:rPr>
          <w:rFonts w:ascii="Times New Roman" w:eastAsia="Times New Roman" w:hAnsi="Times New Roman" w:cs="Times New Roman"/>
        </w:rPr>
        <w:t>luvní pokuty, jejichž sjednáním není dotčen nárok Zadavatele na náhradu újmy způsobené porušením povinnosti, utvrzené smluvní pokutou. Pohledávka Zadavatele na zaplacení smluvní pokuty může být započítána s pohledávkou Prodávajícího na zaplacení ceny.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 </w:t>
      </w:r>
      <w:r>
        <w:rPr>
          <w:rFonts w:ascii="Times New Roman" w:eastAsia="Times New Roman" w:hAnsi="Times New Roman" w:cs="Times New Roman"/>
        </w:rPr>
        <w:t>Pokud bude Prodávající v prodlení se splněním svého závazku dodat předmět plnění nebo jeho část ve sjednaném termínu plnění, je Zadavatel oprávněn účtovat Prodávajícímu smluvní pokutu ve výši 0,2 % z ceny předmětu plnění za každý i započatý den prodlení.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Dojde-li ze strany Zadavatele k prodlení při úhradě faktury je Prodávající oprávněn požadovat úhradu úroku z prodlení ve výši 0,05 % z dlužné částky za každý den prodlení.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Pro případ prodlení Prodávajícího se splněním povinnosti převzít zboží k opra</w:t>
      </w:r>
      <w:r>
        <w:rPr>
          <w:rFonts w:ascii="Times New Roman" w:eastAsia="Times New Roman" w:hAnsi="Times New Roman" w:cs="Times New Roman"/>
        </w:rPr>
        <w:t>vě nebo výměně v termínu dle čl. VII. odst. 2 Smlouvy je Prodávající povinen uhradit smluvní pokutu, kterou strany Smlouvy sjednaly ve výši 0,2 % z ceny části zboží, jež měl Prodávající převzít k opravě a to za každý i započatý den prodlení.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Smluvní pokutu vyúčtuje oprávněná strana do 30 dnů od jejích zjištění a druhá strana je povinna smluvní pokutu uhradit do 30 dnů od obdržení daňového dokladu - faktury. Totéž se týká úroků z prodlení.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X. Odstoupení od Smlouvy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Smluvní strany se doho</w:t>
      </w:r>
      <w:r>
        <w:rPr>
          <w:rFonts w:ascii="Times New Roman" w:eastAsia="Times New Roman" w:hAnsi="Times New Roman" w:cs="Times New Roman"/>
        </w:rPr>
        <w:t>dly, že mohou od Smlouvy odstoupit v případech, kdy to stanoví zákon nebo Smlouva. Odstoupení od Smlouvy musí být provedeno písemnou formou a je účinné okamžikem jeho doručení druhé straně. Odstoupením od Smlouvy zanikají práva a povinnosti stran ze Smlouv</w:t>
      </w:r>
      <w:r>
        <w:rPr>
          <w:rFonts w:ascii="Times New Roman" w:eastAsia="Times New Roman" w:hAnsi="Times New Roman" w:cs="Times New Roman"/>
        </w:rPr>
        <w:t>y pro dosud nesplněnou část závazku, s výjimkou nároku na náhradu újmy vzniklé porušením Smlouvy, smluvních ustanovení týkajících se volby práva, řešení sporů mezi smluvními stranami a jiných ustanovení, které podle projevené vůle stran nebo vzhledem ke sv</w:t>
      </w:r>
      <w:r>
        <w:rPr>
          <w:rFonts w:ascii="Times New Roman" w:eastAsia="Times New Roman" w:hAnsi="Times New Roman" w:cs="Times New Roman"/>
        </w:rPr>
        <w:t xml:space="preserve">é povaze mají trvat i po ukončení Smlouvy. 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Smluvní strany Smlouvy se dohodly, že podstatným porušením Smlouvy se rozumí zejména: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jestliže se Prodávající dostane do prodlení s dodáním zboží po dobu delší než 90 kalendářních dnů 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nebo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jestliže </w:t>
      </w:r>
      <w:r>
        <w:rPr>
          <w:rFonts w:ascii="Times New Roman" w:eastAsia="Times New Roman" w:hAnsi="Times New Roman" w:cs="Times New Roman"/>
        </w:rPr>
        <w:t xml:space="preserve">bude zahájeno insolvenční řízení dle zák. č. 182/2006 Sb., o úpadku a způsobech jeho řešení v platném znění, jehož předmětem bude úpadek nebo hrozící úpadek Prodávajícího. 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XI. Společná ustanovení</w:t>
      </w:r>
    </w:p>
    <w:p w:rsidR="00E10A2C" w:rsidRDefault="00E1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Není-li Smlouvou stanoveno výslovně něco jiného, lze S</w:t>
      </w:r>
      <w:r>
        <w:rPr>
          <w:rFonts w:ascii="Times New Roman" w:eastAsia="Times New Roman" w:hAnsi="Times New Roman" w:cs="Times New Roman"/>
        </w:rPr>
        <w:t>mlouvu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Přílohy uvedené v textu Smlouvy a sumarizo</w:t>
      </w:r>
      <w:r>
        <w:rPr>
          <w:rFonts w:ascii="Times New Roman" w:eastAsia="Times New Roman" w:hAnsi="Times New Roman" w:cs="Times New Roman"/>
        </w:rPr>
        <w:t>vané v závěrečných ustanoveních Smlouvy tvoří nedílnou součást Smlouvy.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Případné spory vzniklé ze Smlouvy budou řešeny podle platné právní úpravy věcně a místně příslušnými soudy České republiky.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10A2C" w:rsidRDefault="00E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XII. Závěrečná ustanovení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Smlouva nabývá platnosti</w:t>
      </w:r>
      <w:r>
        <w:rPr>
          <w:rFonts w:ascii="Times New Roman" w:eastAsia="Times New Roman" w:hAnsi="Times New Roman" w:cs="Times New Roman"/>
        </w:rPr>
        <w:t xml:space="preserve"> v den jejího podpisu osobami oprávněnými Smlouvu uzavřít, účinnosti pak okamžikem uveřejnění v registru smluv v souladu se zákonem č. 340/2015 Sb., o zvláštních podmínkách účinnosti některých smluv, uveřejňování těchto smluv a o registru smluv (zákon o re</w:t>
      </w:r>
      <w:r>
        <w:rPr>
          <w:rFonts w:ascii="Times New Roman" w:eastAsia="Times New Roman" w:hAnsi="Times New Roman" w:cs="Times New Roman"/>
        </w:rPr>
        <w:t>gistru smluv), ve znění pozdějších předpisů.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 Pořízení předmětu smlouvy bude spolufinancováno z prostředků Státního zemědělského intervenčního fondu, program Rozvoje venkova 2014 -2020, Operace "</w:t>
      </w:r>
      <w:r>
        <w:rPr>
          <w:rFonts w:ascii="Times New Roman" w:eastAsia="Times New Roman" w:hAnsi="Times New Roman" w:cs="Times New Roman"/>
        </w:rPr>
        <w:t>19.2.1 Podpora provádění operací v rámci komunitně vedeného místního rozvoje", prostřednictvím MAS Moravskotřebovsko a Jevíčsko o.p.s.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Prodávající je povinen minimálně do konce roku 2032 poskytovat požadované informace a dokumentaci související s reali</w:t>
      </w:r>
      <w:r>
        <w:rPr>
          <w:rFonts w:ascii="Times New Roman" w:eastAsia="Times New Roman" w:hAnsi="Times New Roman" w:cs="Times New Roman"/>
        </w:rPr>
        <w:t>zací projektu zaměstnancům nebo zmocněncům pověřených orgánů (SZIF, MMR ČR, MF ČR, Evropské komise, Evropského účetního dvora, Nejvyššího kontrolního úřadu, příslušného orgánu finanční správy a dalších oprávněných orgánů státní správy) a je povinen vytvoři</w:t>
      </w:r>
      <w:r>
        <w:rPr>
          <w:rFonts w:ascii="Times New Roman" w:eastAsia="Times New Roman" w:hAnsi="Times New Roman" w:cs="Times New Roman"/>
        </w:rPr>
        <w:t xml:space="preserve">t výše uvedeným osobám podmínky k provedení kontroly vztahující se k realizaci projektu a poskytnout jim při provádění kontroly součinnost. 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Prodávající se dále zavazuje umožnit provedení kontroly ze strany příslušných orgánů (např. ÚOHS, NKÚ, FÚ…) a t</w:t>
      </w:r>
      <w:r>
        <w:rPr>
          <w:rFonts w:ascii="Times New Roman" w:eastAsia="Times New Roman" w:hAnsi="Times New Roman" w:cs="Times New Roman"/>
        </w:rPr>
        <w:t>o formou státní kontroly podle zákona č. 255/2012 Sb., kontrolní řád, ve znění pozdějších předpisů, řádně uchovávat originály vyhotovení smlouvy včetně jejích dodatků, originály účetních dokladů a veškerou další dokumentaci a další nezbytné doklady a infor</w:t>
      </w:r>
      <w:r>
        <w:rPr>
          <w:rFonts w:ascii="Times New Roman" w:eastAsia="Times New Roman" w:hAnsi="Times New Roman" w:cs="Times New Roman"/>
        </w:rPr>
        <w:t xml:space="preserve">mace týkající se jeho činností souvisejících s poskytovaným plněním dle této smlouvy. 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Prodávající souhlasí s tím, že objednatel je oprávněn za účelem kontroly postupu objednatele jako zadavatele v předmětném výběrovém řízení poskytnout veškeré dokumen</w:t>
      </w:r>
      <w:r>
        <w:rPr>
          <w:rFonts w:ascii="Times New Roman" w:eastAsia="Times New Roman" w:hAnsi="Times New Roman" w:cs="Times New Roman"/>
        </w:rPr>
        <w:t>ty (včetně nabídky zhotovitele). Prodávající se dále zavazuje plně respektovat podmínky poskytnuté podpory z dotačního titulu a umožnit administrátorovi dotačního programu případnou kontrolu dodávek.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Prodávající se zavazuje plně respektovat podmínky po</w:t>
      </w:r>
      <w:r>
        <w:rPr>
          <w:rFonts w:ascii="Times New Roman" w:eastAsia="Times New Roman" w:hAnsi="Times New Roman" w:cs="Times New Roman"/>
        </w:rPr>
        <w:t>skytnutí podpory z programu SZIF, stanovené v Rozhodnutí o poskytnutí dotace a relevantní podmínky z metodických pokynů vztahujících se k programovému období 2014–2020.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Prodávající je povinen uchovávat veškerou dokumentaci související s realizací proje</w:t>
      </w:r>
      <w:r>
        <w:rPr>
          <w:rFonts w:ascii="Times New Roman" w:eastAsia="Times New Roman" w:hAnsi="Times New Roman" w:cs="Times New Roman"/>
        </w:rPr>
        <w:t>ktu včetně účetních dokladů minimálně do konce roku 2032.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Smluvní strany konstatují, že Smlouva byla vyhotovena ve dvou stejnopisech, z nichž Zadavatel obdrží jedno vyhotovení a Prodávající jedno vyhotovení. Každý stejnopis má právní sílu originálu.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0. Smluvní strany se dohodly, že v případě zániku právního vztahu založeného Smlouvou zůstávají v platnosti a účinnosti i nadále ustanovení, z jejichž povahy vyplývá, že mají zůstat nedotčena zánikem právního vztahu založeného Smlouvou.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Obě smluvní st</w:t>
      </w:r>
      <w:r>
        <w:rPr>
          <w:rFonts w:ascii="Times New Roman" w:eastAsia="Times New Roman" w:hAnsi="Times New Roman" w:cs="Times New Roman"/>
        </w:rPr>
        <w:t>rany potvrzují autentičnost Smlouvy a prohlašují, že si Smlouvu přečetly, s jejím obsahem souhlasí, že Smlouva byla sepsána na základě pravdivých údajů, z jejich pravé a svobodné vůle a bez jednostranně nevýhodných podmínek, což stvrzují svým podpisem, res</w:t>
      </w:r>
      <w:r>
        <w:rPr>
          <w:rFonts w:ascii="Times New Roman" w:eastAsia="Times New Roman" w:hAnsi="Times New Roman" w:cs="Times New Roman"/>
        </w:rPr>
        <w:t>p. podpisem svého oprávněného zástupce.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Nedílnou součást Smlouvy tvoří příloha - Technická specifikace.  </w:t>
      </w:r>
      <w:r>
        <w:rPr>
          <w:rFonts w:ascii="Times New Roman" w:eastAsia="Times New Roman" w:hAnsi="Times New Roman" w:cs="Times New Roman"/>
        </w:rPr>
        <w:tab/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……….………….. dne 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 ……….………….. dne ……………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Zadavatele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Za Prodávajícího</w:t>
      </w: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10A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…………………………………….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MgA. Marie Blažková</w:t>
      </w:r>
    </w:p>
    <w:p w:rsidR="00E10A2C" w:rsidRDefault="00E4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ředitelka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sectPr w:rsidR="00E10A2C" w:rsidSect="00E10A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82D" w:rsidRDefault="00E4782D" w:rsidP="00E10A2C">
      <w:pPr>
        <w:spacing w:after="0" w:line="240" w:lineRule="auto"/>
      </w:pPr>
      <w:r>
        <w:separator/>
      </w:r>
    </w:p>
  </w:endnote>
  <w:endnote w:type="continuationSeparator" w:id="1">
    <w:p w:rsidR="00E4782D" w:rsidRDefault="00E4782D" w:rsidP="00E1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2C" w:rsidRDefault="00E10A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82D" w:rsidRDefault="00E4782D" w:rsidP="00E10A2C">
      <w:pPr>
        <w:spacing w:after="0" w:line="240" w:lineRule="auto"/>
      </w:pPr>
      <w:r>
        <w:separator/>
      </w:r>
    </w:p>
  </w:footnote>
  <w:footnote w:type="continuationSeparator" w:id="1">
    <w:p w:rsidR="00E4782D" w:rsidRDefault="00E4782D" w:rsidP="00E1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2C" w:rsidRDefault="00E478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-99694</wp:posOffset>
          </wp:positionH>
          <wp:positionV relativeFrom="paragraph">
            <wp:posOffset>0</wp:posOffset>
          </wp:positionV>
          <wp:extent cx="2695575" cy="709295"/>
          <wp:effectExtent l="0" t="0" r="0" b="0"/>
          <wp:wrapSquare wrapText="bothSides" distT="0" distB="0" distL="114300" distR="114300"/>
          <wp:docPr id="9" name="image2.jpg" descr="https://eagri.cz/public/web/file/465639/logo_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eagri.cz/public/web/file/465639/logo_E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57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5188585</wp:posOffset>
          </wp:positionH>
          <wp:positionV relativeFrom="paragraph">
            <wp:posOffset>-249554</wp:posOffset>
          </wp:positionV>
          <wp:extent cx="513596" cy="514350"/>
          <wp:effectExtent l="0" t="0" r="0" b="0"/>
          <wp:wrapNone/>
          <wp:docPr id="8" name="image1.jpg" descr="https://eagri.cz/public/web/file/420048/Logo_l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eagri.cz/public/web/file/420048/Logo_leader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596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23F2"/>
    <w:multiLevelType w:val="multilevel"/>
    <w:tmpl w:val="9C16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A2C"/>
    <w:rsid w:val="00486AFE"/>
    <w:rsid w:val="00E10A2C"/>
    <w:rsid w:val="00E4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A2C"/>
  </w:style>
  <w:style w:type="paragraph" w:styleId="Nadpis1">
    <w:name w:val="heading 1"/>
    <w:basedOn w:val="Normln"/>
    <w:next w:val="Normln"/>
    <w:link w:val="Nadpis1Char"/>
    <w:uiPriority w:val="9"/>
    <w:qFormat/>
    <w:rsid w:val="00235F8B"/>
    <w:pPr>
      <w:keepNext/>
      <w:pBdr>
        <w:bottom w:val="single" w:sz="12" w:space="1" w:color="FF0000"/>
      </w:pBdr>
      <w:tabs>
        <w:tab w:val="num" w:pos="720"/>
      </w:tabs>
      <w:spacing w:before="240" w:after="60" w:line="276" w:lineRule="auto"/>
      <w:ind w:left="3545" w:hanging="72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235F8B"/>
    <w:pPr>
      <w:keepNext/>
      <w:tabs>
        <w:tab w:val="num" w:pos="1440"/>
      </w:tabs>
      <w:spacing w:before="240" w:after="60" w:line="276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Nadpis3">
    <w:name w:val="heading 3"/>
    <w:basedOn w:val="Normln"/>
    <w:next w:val="Normln"/>
    <w:link w:val="Nadpis3Char"/>
    <w:uiPriority w:val="9"/>
    <w:qFormat/>
    <w:rsid w:val="00235F8B"/>
    <w:pPr>
      <w:tabs>
        <w:tab w:val="num" w:pos="2160"/>
      </w:tabs>
      <w:spacing w:before="240" w:after="60" w:line="276" w:lineRule="auto"/>
      <w:ind w:left="2160" w:hanging="720"/>
      <w:jc w:val="both"/>
      <w:outlineLvl w:val="2"/>
    </w:pPr>
    <w:rPr>
      <w:rFonts w:ascii="Cambria" w:eastAsia="Times New Roman" w:hAnsi="Cambria" w:cs="Times New Roman"/>
      <w:bCs/>
      <w:sz w:val="24"/>
      <w:szCs w:val="24"/>
      <w:lang w:val="sk-SK"/>
    </w:rPr>
  </w:style>
  <w:style w:type="paragraph" w:styleId="Nadpis4">
    <w:name w:val="heading 4"/>
    <w:basedOn w:val="normal"/>
    <w:next w:val="normal"/>
    <w:rsid w:val="00E10A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E10A2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E10A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E10A2C"/>
  </w:style>
  <w:style w:type="table" w:customStyle="1" w:styleId="TableNormal">
    <w:name w:val="Table Normal"/>
    <w:rsid w:val="00E10A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E10A2C"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aliases w:val="Běžný dokument"/>
    <w:uiPriority w:val="1"/>
    <w:qFormat/>
    <w:rsid w:val="00A354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DOKUMENT">
    <w:name w:val="DOKUMENT"/>
    <w:basedOn w:val="Podtitul"/>
    <w:link w:val="DOKUMENTChar"/>
    <w:qFormat/>
    <w:rsid w:val="00101DC2"/>
    <w:pPr>
      <w:spacing w:after="0" w:line="240" w:lineRule="auto"/>
      <w:jc w:val="both"/>
    </w:pPr>
    <w:rPr>
      <w:rFonts w:eastAsiaTheme="minorHAnsi"/>
      <w:noProof/>
      <w:color w:val="auto"/>
      <w:sz w:val="24"/>
    </w:rPr>
  </w:style>
  <w:style w:type="character" w:customStyle="1" w:styleId="DOKUMENTChar">
    <w:name w:val="DOKUMENT Char"/>
    <w:basedOn w:val="PodtitulChar"/>
    <w:link w:val="DOKUMENT"/>
    <w:rsid w:val="00101DC2"/>
    <w:rPr>
      <w:rFonts w:eastAsiaTheme="minorEastAsia"/>
      <w:noProof/>
      <w:color w:val="5A5A5A" w:themeColor="text1" w:themeTint="A5"/>
      <w:spacing w:val="15"/>
      <w:sz w:val="24"/>
    </w:rPr>
  </w:style>
  <w:style w:type="paragraph" w:styleId="Podtitul">
    <w:name w:val="Subtitle"/>
    <w:basedOn w:val="normal"/>
    <w:next w:val="normal"/>
    <w:link w:val="PodtitulChar"/>
    <w:rsid w:val="00E10A2C"/>
    <w:rPr>
      <w:color w:val="5A5A5A"/>
    </w:rPr>
  </w:style>
  <w:style w:type="character" w:customStyle="1" w:styleId="PodtitulChar">
    <w:name w:val="Podtitul Char"/>
    <w:basedOn w:val="Standardnpsmoodstavce"/>
    <w:link w:val="Podtitul"/>
    <w:uiPriority w:val="11"/>
    <w:rsid w:val="00101DC2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5D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C32"/>
  </w:style>
  <w:style w:type="paragraph" w:styleId="Zpat">
    <w:name w:val="footer"/>
    <w:basedOn w:val="Normln"/>
    <w:link w:val="ZpatChar"/>
    <w:uiPriority w:val="99"/>
    <w:unhideWhenUsed/>
    <w:rsid w:val="005D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C32"/>
  </w:style>
  <w:style w:type="paragraph" w:styleId="Odstavecseseznamem">
    <w:name w:val="List Paragraph"/>
    <w:basedOn w:val="Normln"/>
    <w:uiPriority w:val="34"/>
    <w:qFormat/>
    <w:rsid w:val="00E03A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24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4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4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4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4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4C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35F8B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235F8B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rsid w:val="00235F8B"/>
    <w:rPr>
      <w:rFonts w:ascii="Cambria" w:eastAsia="Times New Roman" w:hAnsi="Cambria" w:cs="Times New Roman"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Ldr/BG63OcvY6ptpx1r3gGfYPA==">AMUW2mVaqiiPx7qzl7lnigiyFq1WZ2IHlYSfVIVMG1T3Fhy2MDREkJNMpfHlF2J7aUiej/dzm38EOlDvIxcUrdttff/KE4aGonLepZFPkVv4NT7zdfTd4Chr36tvjr5mycmCh7puDxxf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1968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Sísová</dc:creator>
  <cp:lastModifiedBy>Ucetni</cp:lastModifiedBy>
  <cp:revision>2</cp:revision>
  <cp:lastPrinted>2022-10-12T11:56:00Z</cp:lastPrinted>
  <dcterms:created xsi:type="dcterms:W3CDTF">2022-10-12T12:02:00Z</dcterms:created>
  <dcterms:modified xsi:type="dcterms:W3CDTF">2022-10-12T12:02:00Z</dcterms:modified>
</cp:coreProperties>
</file>