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B6" w:rsidRDefault="001705B6" w:rsidP="0087076D">
      <w:pPr>
        <w:rPr>
          <w:b/>
        </w:rPr>
      </w:pPr>
      <w:r>
        <w:rPr>
          <w:b/>
        </w:rPr>
        <w:t>DYNEX LABORATORIES, s.r.o.</w:t>
      </w:r>
    </w:p>
    <w:p w:rsidR="001705B6" w:rsidRDefault="001705B6" w:rsidP="00900F21">
      <w:pPr>
        <w:rPr>
          <w:rStyle w:val="platne1"/>
        </w:rPr>
      </w:pPr>
      <w:r>
        <w:t>IČ 266 82 443</w:t>
      </w:r>
      <w:r>
        <w:rPr>
          <w:rStyle w:val="platne1"/>
        </w:rPr>
        <w:t xml:space="preserve">, DIČ </w:t>
      </w:r>
      <w:r>
        <w:t>CZ 26682443</w:t>
      </w:r>
    </w:p>
    <w:p w:rsidR="001705B6" w:rsidRDefault="001705B6" w:rsidP="00900F21">
      <w:pPr>
        <w:rPr>
          <w:rStyle w:val="platne1"/>
        </w:rPr>
      </w:pPr>
      <w:r>
        <w:rPr>
          <w:rStyle w:val="platne1"/>
        </w:rPr>
        <w:t>sídlem Praha 1, Nové Město, Vodičkova 791/41, PSČ 110 00</w:t>
      </w:r>
    </w:p>
    <w:p w:rsidR="001705B6" w:rsidRDefault="001705B6" w:rsidP="00900F21">
      <w:pPr>
        <w:rPr>
          <w:rStyle w:val="platne1"/>
        </w:rPr>
      </w:pPr>
      <w:r>
        <w:rPr>
          <w:rStyle w:val="platne1"/>
        </w:rPr>
        <w:t>kontaktní adresa Buštěhrad, Lidická 977, PSČ 273 43</w:t>
      </w:r>
    </w:p>
    <w:p w:rsidR="001705B6" w:rsidRDefault="001705B6" w:rsidP="00900F21">
      <w:pPr>
        <w:rPr>
          <w:rStyle w:val="platne1"/>
        </w:rPr>
      </w:pPr>
      <w:r>
        <w:rPr>
          <w:rStyle w:val="platne1"/>
        </w:rPr>
        <w:t xml:space="preserve">zapsaná v obchodním rejstříku </w:t>
      </w:r>
      <w:r>
        <w:t>vedeného Městským soudem v Praze, oddíl C, vložka 87028</w:t>
      </w:r>
    </w:p>
    <w:p w:rsidR="001705B6" w:rsidRDefault="001705B6" w:rsidP="00900F21">
      <w:pPr>
        <w:rPr>
          <w:rStyle w:val="platne1"/>
        </w:rPr>
      </w:pPr>
      <w:r>
        <w:rPr>
          <w:rStyle w:val="platne1"/>
        </w:rPr>
        <w:t>zast. svou jednatelkou Ing. Zorou Hanzlíkovou</w:t>
      </w:r>
    </w:p>
    <w:p w:rsidR="001705B6" w:rsidRDefault="001705B6" w:rsidP="00900F21">
      <w:r>
        <w:t>(dále jen „</w:t>
      </w:r>
      <w:r>
        <w:rPr>
          <w:b/>
        </w:rPr>
        <w:t>prodávající</w:t>
      </w:r>
      <w:r>
        <w:t>“)</w:t>
      </w:r>
    </w:p>
    <w:p w:rsidR="001705B6" w:rsidRDefault="001705B6" w:rsidP="00900F21"/>
    <w:p w:rsidR="001705B6" w:rsidRDefault="001705B6" w:rsidP="00900F21">
      <w:pPr>
        <w:rPr>
          <w:b/>
        </w:rPr>
      </w:pPr>
      <w:r>
        <w:rPr>
          <w:b/>
        </w:rPr>
        <w:t>a</w:t>
      </w:r>
    </w:p>
    <w:p w:rsidR="001705B6" w:rsidRDefault="001705B6" w:rsidP="00900F21">
      <w:pPr>
        <w:rPr>
          <w:b/>
        </w:rPr>
      </w:pPr>
    </w:p>
    <w:p w:rsidR="001705B6" w:rsidRPr="007F6B35" w:rsidRDefault="001705B6" w:rsidP="00900F21">
      <w:pPr>
        <w:rPr>
          <w:b/>
          <w:color w:val="333333"/>
          <w:szCs w:val="18"/>
          <w:shd w:val="clear" w:color="auto" w:fill="FFFFFF"/>
        </w:rPr>
      </w:pPr>
      <w:r>
        <w:rPr>
          <w:b/>
          <w:color w:val="333333"/>
          <w:szCs w:val="18"/>
          <w:shd w:val="clear" w:color="auto" w:fill="FFFFFF"/>
        </w:rPr>
        <w:t>Odborný léčebný ústav Jevíčko</w:t>
      </w:r>
    </w:p>
    <w:p w:rsidR="001705B6" w:rsidRPr="00E50B7E" w:rsidRDefault="001705B6" w:rsidP="00900F21">
      <w:r w:rsidRPr="00E50B7E">
        <w:t xml:space="preserve">IČ </w:t>
      </w:r>
      <w:r>
        <w:rPr>
          <w:color w:val="333333"/>
          <w:shd w:val="clear" w:color="auto" w:fill="FFFFFF"/>
        </w:rPr>
        <w:t>00193976, DIČ CZ00193976</w:t>
      </w:r>
    </w:p>
    <w:p w:rsidR="001705B6" w:rsidRPr="00885C65" w:rsidRDefault="001705B6" w:rsidP="00900F21">
      <w:r w:rsidRPr="00E50B7E">
        <w:t xml:space="preserve">sídlem </w:t>
      </w:r>
      <w:r>
        <w:rPr>
          <w:color w:val="333333"/>
          <w:shd w:val="clear" w:color="auto" w:fill="FFFFFF"/>
        </w:rPr>
        <w:t>Jevíčko 508, PSČ 569 43</w:t>
      </w:r>
      <w:r>
        <w:t xml:space="preserve">               </w:t>
      </w:r>
    </w:p>
    <w:p w:rsidR="001705B6" w:rsidRDefault="001705B6" w:rsidP="00900F21">
      <w:pPr>
        <w:rPr>
          <w:shd w:val="clear" w:color="auto" w:fill="FFFFFF"/>
        </w:rPr>
      </w:pPr>
      <w:r>
        <w:t>z</w:t>
      </w:r>
      <w:r w:rsidRPr="00885C65">
        <w:t xml:space="preserve">apsaná </w:t>
      </w:r>
      <w:r w:rsidRPr="00885C65">
        <w:rPr>
          <w:rStyle w:val="platne1"/>
        </w:rPr>
        <w:t xml:space="preserve">v obchodním rejstříku vedeného </w:t>
      </w:r>
      <w:r>
        <w:rPr>
          <w:shd w:val="clear" w:color="auto" w:fill="FFFFFF"/>
        </w:rPr>
        <w:t xml:space="preserve">Krajským soudem v Hradci Králové, </w:t>
      </w:r>
    </w:p>
    <w:p w:rsidR="001705B6" w:rsidRPr="008D7EE1" w:rsidRDefault="001705B6" w:rsidP="00900F21">
      <w:pPr>
        <w:rPr>
          <w:shd w:val="clear" w:color="auto" w:fill="FFFFFF"/>
        </w:rPr>
      </w:pPr>
      <w:r>
        <w:rPr>
          <w:shd w:val="clear" w:color="auto" w:fill="FFFFFF"/>
        </w:rPr>
        <w:t>v oddílu pr. vl. 713</w:t>
      </w:r>
    </w:p>
    <w:p w:rsidR="001705B6" w:rsidRDefault="001705B6" w:rsidP="00900F21">
      <w:pPr>
        <w:rPr>
          <w:color w:val="000000"/>
        </w:rPr>
      </w:pPr>
      <w:r w:rsidRPr="00885C65">
        <w:t>zast</w:t>
      </w:r>
      <w:r>
        <w:t>. ředitelkou Ing. Lenkou Smékalovou, ředitelkou</w:t>
      </w:r>
    </w:p>
    <w:p w:rsidR="001705B6" w:rsidRDefault="001705B6" w:rsidP="00900F21">
      <w:r w:rsidRPr="00885C65">
        <w:t>(dále jen „</w:t>
      </w:r>
      <w:r>
        <w:rPr>
          <w:b/>
        </w:rPr>
        <w:t>kupující</w:t>
      </w:r>
      <w:r w:rsidRPr="00885C65">
        <w:t>“)</w:t>
      </w:r>
    </w:p>
    <w:p w:rsidR="001705B6" w:rsidRPr="00885C65" w:rsidRDefault="001705B6" w:rsidP="00900F21"/>
    <w:p w:rsidR="001705B6" w:rsidRDefault="001705B6" w:rsidP="00900F21">
      <w:pPr>
        <w:jc w:val="center"/>
      </w:pPr>
      <w:r>
        <w:t>spolu uzavřeli dne, měsíce a roku níže uvedeného</w:t>
      </w:r>
    </w:p>
    <w:p w:rsidR="001705B6" w:rsidRDefault="001705B6" w:rsidP="00900F21">
      <w:pPr>
        <w:jc w:val="center"/>
      </w:pPr>
      <w:r>
        <w:t>tuto</w:t>
      </w:r>
    </w:p>
    <w:p w:rsidR="001705B6" w:rsidRDefault="001705B6" w:rsidP="00900F21">
      <w:pPr>
        <w:jc w:val="center"/>
      </w:pPr>
    </w:p>
    <w:p w:rsidR="001705B6" w:rsidRPr="00885C65" w:rsidRDefault="001705B6" w:rsidP="00900F21">
      <w:pPr>
        <w:jc w:val="center"/>
        <w:rPr>
          <w:b/>
          <w:spacing w:val="20"/>
          <w:sz w:val="28"/>
          <w:szCs w:val="28"/>
        </w:rPr>
      </w:pPr>
      <w:r>
        <w:rPr>
          <w:b/>
          <w:spacing w:val="20"/>
          <w:sz w:val="28"/>
          <w:szCs w:val="28"/>
        </w:rPr>
        <w:t xml:space="preserve">Rámcovou kupní smlouvu </w:t>
      </w:r>
    </w:p>
    <w:p w:rsidR="001705B6" w:rsidRPr="00885C65" w:rsidRDefault="001705B6" w:rsidP="00E77280">
      <w:pPr>
        <w:spacing w:after="120"/>
        <w:jc w:val="center"/>
      </w:pPr>
      <w:r w:rsidRPr="00885C65">
        <w:t xml:space="preserve">(dle ust. § </w:t>
      </w:r>
      <w:smartTag w:uri="urn:schemas-microsoft-com:office:smarttags" w:element="metricconverter">
        <w:smartTagPr>
          <w:attr w:name="ProductID" w:val="1746 a"/>
        </w:smartTagPr>
        <w:r>
          <w:t>1746</w:t>
        </w:r>
        <w:r w:rsidRPr="00885C65">
          <w:t xml:space="preserve"> a</w:t>
        </w:r>
      </w:smartTag>
      <w:r w:rsidRPr="00885C65">
        <w:t xml:space="preserve"> násl. zák. č. 89/2012 Sb., občanského zákoníku)</w:t>
      </w:r>
    </w:p>
    <w:p w:rsidR="001705B6" w:rsidRPr="00885C65" w:rsidRDefault="001705B6" w:rsidP="00900F21">
      <w:pPr>
        <w:jc w:val="center"/>
        <w:rPr>
          <w:b/>
        </w:rPr>
      </w:pPr>
      <w:r w:rsidRPr="00885C65">
        <w:rPr>
          <w:b/>
        </w:rPr>
        <w:t>I</w:t>
      </w:r>
    </w:p>
    <w:p w:rsidR="001705B6" w:rsidRPr="00885C65" w:rsidRDefault="001705B6" w:rsidP="00C300BB">
      <w:pPr>
        <w:spacing w:after="120"/>
        <w:jc w:val="center"/>
        <w:rPr>
          <w:b/>
        </w:rPr>
      </w:pPr>
      <w:r>
        <w:rPr>
          <w:b/>
        </w:rPr>
        <w:t>Smluvní strany</w:t>
      </w:r>
    </w:p>
    <w:p w:rsidR="001705B6" w:rsidRDefault="001705B6" w:rsidP="009D0B9F">
      <w:pPr>
        <w:pStyle w:val="ListParagraph"/>
        <w:numPr>
          <w:ilvl w:val="0"/>
          <w:numId w:val="13"/>
        </w:numPr>
        <w:sectPr w:rsidR="001705B6" w:rsidSect="00621EFF">
          <w:footerReference w:type="even" r:id="rId7"/>
          <w:footerReference w:type="default" r:id="rId8"/>
          <w:type w:val="continuous"/>
          <w:pgSz w:w="11906" w:h="16838"/>
          <w:pgMar w:top="1417" w:right="1417" w:bottom="1417" w:left="1417" w:header="708" w:footer="708" w:gutter="0"/>
          <w:cols w:space="708"/>
          <w:docGrid w:linePitch="360"/>
        </w:sectPr>
      </w:pPr>
      <w:r w:rsidRPr="00A112B0">
        <w:t>Obě smluvní strany prohlašují, že jsou způsobilé k právním jednáním, a po vzájemném projednání uzavírají tuto rámcovou kupní smlouvu.</w:t>
      </w:r>
    </w:p>
    <w:p w:rsidR="001705B6" w:rsidRPr="00621EFF" w:rsidRDefault="001705B6" w:rsidP="00621EFF">
      <w:pPr>
        <w:pStyle w:val="ListParagraph"/>
        <w:numPr>
          <w:ilvl w:val="0"/>
          <w:numId w:val="13"/>
        </w:numPr>
        <w:rPr>
          <w:b/>
        </w:rPr>
        <w:sectPr w:rsidR="001705B6" w:rsidRPr="00621EFF" w:rsidSect="00621EFF">
          <w:type w:val="continuous"/>
          <w:pgSz w:w="11906" w:h="16838"/>
          <w:pgMar w:top="1417" w:right="1417" w:bottom="1417" w:left="1417" w:header="708" w:footer="708" w:gutter="0"/>
          <w:cols w:space="708"/>
          <w:docGrid w:linePitch="360"/>
        </w:sectPr>
      </w:pPr>
    </w:p>
    <w:p w:rsidR="001705B6" w:rsidRPr="00621EFF" w:rsidRDefault="001705B6" w:rsidP="00621EFF">
      <w:pPr>
        <w:jc w:val="center"/>
        <w:rPr>
          <w:b/>
        </w:rPr>
      </w:pPr>
      <w:r w:rsidRPr="00621EFF">
        <w:rPr>
          <w:b/>
        </w:rPr>
        <w:t>II.</w:t>
      </w:r>
    </w:p>
    <w:p w:rsidR="001705B6" w:rsidRPr="00621EFF" w:rsidRDefault="001705B6" w:rsidP="00C300BB">
      <w:pPr>
        <w:spacing w:after="120"/>
        <w:jc w:val="center"/>
        <w:rPr>
          <w:b/>
        </w:rPr>
      </w:pPr>
      <w:r w:rsidRPr="00621EFF">
        <w:rPr>
          <w:b/>
        </w:rPr>
        <w:t>Účel smlouvy</w:t>
      </w:r>
    </w:p>
    <w:p w:rsidR="001705B6" w:rsidRPr="00C300BB" w:rsidRDefault="001705B6" w:rsidP="009D0B9F">
      <w:pPr>
        <w:pStyle w:val="ListParagraph"/>
        <w:numPr>
          <w:ilvl w:val="0"/>
          <w:numId w:val="14"/>
        </w:numPr>
        <w:rPr>
          <w:b/>
        </w:rPr>
        <w:sectPr w:rsidR="001705B6" w:rsidRPr="00C300BB" w:rsidSect="00E77280">
          <w:type w:val="continuous"/>
          <w:pgSz w:w="11906" w:h="16838"/>
          <w:pgMar w:top="1417" w:right="1417" w:bottom="1417" w:left="1417" w:header="708" w:footer="708" w:gutter="0"/>
          <w:cols w:space="708"/>
          <w:docGrid w:linePitch="360"/>
        </w:sectPr>
      </w:pPr>
      <w:r>
        <w:t>Účelem kupní smlouvy je stanovení práv a povinností smluvních stran při zajišťování dodávek biochemických a imunochemických reagencií (dále jen „</w:t>
      </w:r>
      <w:r w:rsidRPr="00C300BB">
        <w:rPr>
          <w:i/>
        </w:rPr>
        <w:t>zboží</w:t>
      </w:r>
      <w:r>
        <w:t>“) prodávajícím pro kupujícího.</w:t>
      </w:r>
    </w:p>
    <w:p w:rsidR="001705B6" w:rsidRDefault="001705B6" w:rsidP="00621EFF">
      <w:pPr>
        <w:jc w:val="center"/>
        <w:rPr>
          <w:b/>
        </w:rPr>
        <w:sectPr w:rsidR="001705B6" w:rsidSect="00E77280">
          <w:type w:val="continuous"/>
          <w:pgSz w:w="11906" w:h="16838"/>
          <w:pgMar w:top="1417" w:right="1417" w:bottom="1417" w:left="1417" w:header="708" w:footer="708" w:gutter="0"/>
          <w:cols w:space="708"/>
          <w:docGrid w:linePitch="360"/>
        </w:sectPr>
      </w:pPr>
    </w:p>
    <w:p w:rsidR="001705B6" w:rsidRPr="00621EFF" w:rsidRDefault="001705B6" w:rsidP="00621EFF">
      <w:pPr>
        <w:jc w:val="center"/>
        <w:rPr>
          <w:b/>
        </w:rPr>
      </w:pPr>
      <w:r w:rsidRPr="00621EFF">
        <w:rPr>
          <w:b/>
        </w:rPr>
        <w:t>III.</w:t>
      </w:r>
    </w:p>
    <w:p w:rsidR="001705B6" w:rsidRPr="00621EFF" w:rsidRDefault="001705B6" w:rsidP="00C300BB">
      <w:pPr>
        <w:spacing w:after="120"/>
        <w:jc w:val="center"/>
        <w:rPr>
          <w:b/>
        </w:rPr>
      </w:pPr>
      <w:r>
        <w:rPr>
          <w:b/>
        </w:rPr>
        <w:t>Předmět smlouvy</w:t>
      </w:r>
    </w:p>
    <w:p w:rsidR="001705B6" w:rsidRDefault="001705B6" w:rsidP="00A524E6">
      <w:pPr>
        <w:pStyle w:val="ListParagraph"/>
        <w:numPr>
          <w:ilvl w:val="0"/>
          <w:numId w:val="15"/>
        </w:numPr>
        <w:spacing w:after="120"/>
        <w:jc w:val="both"/>
      </w:pPr>
      <w:r>
        <w:t xml:space="preserve">Strany se dohodly, že prodávající zajistí pro kupujícího průběžné dodávky zboží - konkrétně specifikováno v katalogu DYNEX (www.shop.dynex.cz)                                          </w:t>
      </w:r>
    </w:p>
    <w:p w:rsidR="001705B6" w:rsidRDefault="001705B6" w:rsidP="009D0B9F">
      <w:pPr>
        <w:pStyle w:val="ListParagraph"/>
        <w:numPr>
          <w:ilvl w:val="0"/>
          <w:numId w:val="15"/>
        </w:numPr>
        <w:rPr>
          <w:b/>
        </w:rPr>
        <w:sectPr w:rsidR="001705B6" w:rsidSect="00E77280">
          <w:type w:val="continuous"/>
          <w:pgSz w:w="11906" w:h="16838"/>
          <w:pgMar w:top="1417" w:right="1417" w:bottom="1417" w:left="1417" w:header="708" w:footer="708" w:gutter="0"/>
          <w:cols w:space="708"/>
          <w:docGrid w:linePitch="360"/>
        </w:sectPr>
      </w:pPr>
      <w:r>
        <w:t xml:space="preserve">Prodávající se zavazuje, že po dobu platnosti této smlouvy bude schopen dodávat zboží uvedené v  katalogu DYNEX.                                         </w:t>
      </w:r>
    </w:p>
    <w:p w:rsidR="001705B6" w:rsidRPr="00621EFF" w:rsidRDefault="001705B6" w:rsidP="00C300BB">
      <w:pPr>
        <w:jc w:val="center"/>
        <w:rPr>
          <w:b/>
        </w:rPr>
      </w:pPr>
      <w:r w:rsidRPr="00621EFF">
        <w:rPr>
          <w:b/>
        </w:rPr>
        <w:t>IV.</w:t>
      </w:r>
    </w:p>
    <w:p w:rsidR="001705B6" w:rsidRPr="00621EFF" w:rsidRDefault="001705B6" w:rsidP="00C300BB">
      <w:pPr>
        <w:spacing w:after="120"/>
        <w:jc w:val="center"/>
        <w:rPr>
          <w:b/>
        </w:rPr>
      </w:pPr>
      <w:r>
        <w:rPr>
          <w:b/>
        </w:rPr>
        <w:t>Cena plnění</w:t>
      </w:r>
    </w:p>
    <w:p w:rsidR="001705B6" w:rsidRDefault="001705B6" w:rsidP="00A524E6">
      <w:pPr>
        <w:pStyle w:val="ListParagraph"/>
        <w:numPr>
          <w:ilvl w:val="0"/>
          <w:numId w:val="16"/>
        </w:numPr>
        <w:jc w:val="both"/>
      </w:pPr>
      <w:r>
        <w:t xml:space="preserve">Prodávající bude zboží fakturovat kupujícímu dle kupní ceny konkrétně specifikované v  katalogu DYNEX, kde jsou ceny uvedeny </w:t>
      </w:r>
      <w:r w:rsidRPr="00A31D84">
        <w:t>bez DPH</w:t>
      </w:r>
      <w:r>
        <w:t xml:space="preserve">. </w:t>
      </w:r>
    </w:p>
    <w:p w:rsidR="001705B6" w:rsidRDefault="001705B6" w:rsidP="00A524E6">
      <w:pPr>
        <w:pStyle w:val="ListParagraph"/>
        <w:numPr>
          <w:ilvl w:val="0"/>
          <w:numId w:val="16"/>
        </w:numPr>
        <w:spacing w:after="120"/>
        <w:jc w:val="both"/>
      </w:pPr>
      <w:r>
        <w:t xml:space="preserve">Výše kupní ceny bude vždy každoročně stanovena na základě souhlasného ujednání stran, které započne vždy 30 dní před skončením kalendářního roku. Změna cen se bude vztahovat na následující kalendářní rok. Pakliže se strany nedohodnou do konce kalendářního roku, ve kterém jednání započalo, na nové ceně platné pro následující kalendářní rok </w:t>
      </w:r>
      <w:r>
        <w:br/>
        <w:t>a nedohodnuly se strany jinak, má každá ze smluvních stran právo podat výpověď druhé straně.</w:t>
      </w:r>
    </w:p>
    <w:p w:rsidR="001705B6" w:rsidRDefault="001705B6" w:rsidP="00A524E6">
      <w:pPr>
        <w:pStyle w:val="ListParagraph"/>
        <w:numPr>
          <w:ilvl w:val="0"/>
          <w:numId w:val="16"/>
        </w:numPr>
        <w:spacing w:after="120"/>
        <w:jc w:val="both"/>
      </w:pPr>
      <w:r>
        <w:t>Nová znění smluv O sjednaných kupních cenách  budou měněna dle postupu výše uvedenou formou písemného, oboustranně podepsaného a číselně vzestupného dodatku k této smlouvě.</w:t>
      </w:r>
    </w:p>
    <w:p w:rsidR="001705B6" w:rsidRDefault="001705B6" w:rsidP="00A524E6">
      <w:pPr>
        <w:pStyle w:val="ListParagraph"/>
        <w:numPr>
          <w:ilvl w:val="0"/>
          <w:numId w:val="16"/>
        </w:numPr>
        <w:spacing w:after="120"/>
        <w:jc w:val="both"/>
      </w:pPr>
      <w:r>
        <w:t>Ceny zahrnují veškeré náklady kupujícího na pořízení zboží jako např. přirážky distributorů, celní poplatky, dopravné, balné apod.</w:t>
      </w:r>
    </w:p>
    <w:p w:rsidR="001705B6" w:rsidRDefault="001705B6" w:rsidP="00A524E6">
      <w:pPr>
        <w:pStyle w:val="ListParagraph"/>
        <w:numPr>
          <w:ilvl w:val="0"/>
          <w:numId w:val="16"/>
        </w:numPr>
        <w:jc w:val="both"/>
        <w:sectPr w:rsidR="001705B6" w:rsidSect="00E77280">
          <w:type w:val="continuous"/>
          <w:pgSz w:w="11906" w:h="16838"/>
          <w:pgMar w:top="1417" w:right="1417" w:bottom="1417" w:left="1417" w:header="708" w:footer="708" w:gutter="0"/>
          <w:cols w:space="708"/>
          <w:docGrid w:linePitch="360"/>
        </w:sectPr>
      </w:pPr>
      <w:r>
        <w:t>Veškerá celní a daňová zatížení spojená s dovozem zboží do České republiky nese prodávající.</w:t>
      </w:r>
    </w:p>
    <w:p w:rsidR="001705B6" w:rsidRPr="00E77280" w:rsidRDefault="001705B6" w:rsidP="00C300BB"/>
    <w:p w:rsidR="001705B6" w:rsidRPr="00621EFF" w:rsidRDefault="001705B6" w:rsidP="00621EFF">
      <w:pPr>
        <w:jc w:val="center"/>
        <w:rPr>
          <w:b/>
        </w:rPr>
      </w:pPr>
      <w:r w:rsidRPr="00621EFF">
        <w:rPr>
          <w:b/>
        </w:rPr>
        <w:t>V.</w:t>
      </w:r>
    </w:p>
    <w:p w:rsidR="001705B6" w:rsidRPr="00621EFF" w:rsidRDefault="001705B6" w:rsidP="00C300BB">
      <w:pPr>
        <w:spacing w:after="120"/>
        <w:jc w:val="center"/>
        <w:rPr>
          <w:b/>
        </w:rPr>
      </w:pPr>
      <w:r w:rsidRPr="00621EFF">
        <w:rPr>
          <w:b/>
        </w:rPr>
        <w:t>Všeobecné dodací podmínky</w:t>
      </w:r>
    </w:p>
    <w:p w:rsidR="001705B6" w:rsidRPr="00885C65" w:rsidRDefault="001705B6" w:rsidP="00C300BB">
      <w:pPr>
        <w:pStyle w:val="ListParagraph"/>
        <w:numPr>
          <w:ilvl w:val="0"/>
          <w:numId w:val="17"/>
        </w:numPr>
        <w:spacing w:after="120"/>
        <w:jc w:val="both"/>
      </w:pPr>
      <w:r>
        <w:t>Prodávající se zavazuje dodávat kupujícímu zboží na základě jednotlivých objednávek kupujícího, které mohou být v písemné, faxové, telefonické nebo elektronické formě, nejpozději do 20 dní od objednání.</w:t>
      </w:r>
    </w:p>
    <w:p w:rsidR="001705B6" w:rsidRDefault="001705B6" w:rsidP="009D0B9F">
      <w:pPr>
        <w:pStyle w:val="ListParagraph"/>
        <w:numPr>
          <w:ilvl w:val="0"/>
          <w:numId w:val="17"/>
        </w:numPr>
        <w:sectPr w:rsidR="001705B6" w:rsidSect="00E77280">
          <w:type w:val="continuous"/>
          <w:pgSz w:w="11906" w:h="16838"/>
          <w:pgMar w:top="1417" w:right="1417" w:bottom="1417" w:left="1417" w:header="708" w:footer="708" w:gutter="0"/>
          <w:cols w:space="708"/>
          <w:docGrid w:linePitch="360"/>
        </w:sectPr>
      </w:pPr>
      <w:r>
        <w:t>Dodávky budou probíhat dle potřeby kupujícího. Nedílnou součástí každé dodávky bude doklad o předání a převzetí zboží (dodací list) spolu s daňovým dokladem, který bude obsahovat přesně definované zboží včetně dalších náležitostí stanovených platnými právními předpisy.</w:t>
      </w:r>
    </w:p>
    <w:p w:rsidR="001705B6" w:rsidRDefault="001705B6" w:rsidP="00C300BB">
      <w:pPr>
        <w:jc w:val="both"/>
      </w:pPr>
    </w:p>
    <w:p w:rsidR="001705B6" w:rsidRPr="00621EFF" w:rsidRDefault="001705B6" w:rsidP="00621EFF">
      <w:pPr>
        <w:tabs>
          <w:tab w:val="num" w:pos="360"/>
        </w:tabs>
        <w:jc w:val="center"/>
        <w:rPr>
          <w:b/>
        </w:rPr>
      </w:pPr>
      <w:r w:rsidRPr="00621EFF">
        <w:rPr>
          <w:b/>
        </w:rPr>
        <w:t>VI.</w:t>
      </w:r>
    </w:p>
    <w:p w:rsidR="001705B6" w:rsidRPr="00621EFF" w:rsidRDefault="001705B6" w:rsidP="00C300BB">
      <w:pPr>
        <w:tabs>
          <w:tab w:val="num" w:pos="360"/>
        </w:tabs>
        <w:spacing w:after="120"/>
        <w:jc w:val="center"/>
        <w:rPr>
          <w:b/>
        </w:rPr>
      </w:pPr>
      <w:r w:rsidRPr="00621EFF">
        <w:rPr>
          <w:b/>
        </w:rPr>
        <w:t xml:space="preserve">Odpovědnost za vady, záruka za jakost a právní vady zboží  </w:t>
      </w:r>
    </w:p>
    <w:p w:rsidR="001705B6" w:rsidRPr="00E77280" w:rsidRDefault="001705B6" w:rsidP="00C300BB">
      <w:pPr>
        <w:pStyle w:val="ListParagraph"/>
        <w:numPr>
          <w:ilvl w:val="0"/>
          <w:numId w:val="18"/>
        </w:numPr>
        <w:spacing w:after="120"/>
        <w:jc w:val="both"/>
      </w:pPr>
      <w:r>
        <w:t>Odpovědnost za vady zboží, záruka za jakost a právní vady zboží se řídí příslušnými ustanoveními zák. č. 89/2012 Sb., občanský zákoník, ve znění pozdějších předpisů.</w:t>
      </w:r>
    </w:p>
    <w:p w:rsidR="001705B6" w:rsidRDefault="001705B6" w:rsidP="00C300BB">
      <w:pPr>
        <w:pStyle w:val="ListParagraph"/>
        <w:numPr>
          <w:ilvl w:val="0"/>
          <w:numId w:val="18"/>
        </w:numPr>
        <w:spacing w:after="120"/>
        <w:jc w:val="both"/>
      </w:pPr>
      <w:r>
        <w:t>Prodávající poskytuje kupujícímu záruku za jakost příslušného dodávaného zboží, a to do uplynutí jeho expirační lhůty, která v okamžiku dodání nebude kratší než 5 měsíců.</w:t>
      </w:r>
    </w:p>
    <w:p w:rsidR="001705B6" w:rsidRDefault="001705B6" w:rsidP="00C300BB">
      <w:pPr>
        <w:pStyle w:val="ListParagraph"/>
        <w:numPr>
          <w:ilvl w:val="0"/>
          <w:numId w:val="18"/>
        </w:numPr>
        <w:jc w:val="both"/>
        <w:sectPr w:rsidR="001705B6" w:rsidSect="00E77280">
          <w:type w:val="continuous"/>
          <w:pgSz w:w="11906" w:h="16838"/>
          <w:pgMar w:top="1417" w:right="1417" w:bottom="1417" w:left="1417" w:header="708" w:footer="708" w:gutter="0"/>
          <w:cols w:space="708"/>
          <w:docGrid w:linePitch="360"/>
        </w:sectPr>
      </w:pPr>
      <w:r>
        <w:t>Záruční doba počíná běžet ode dne, v němž kupující převzal předmět koupě.</w:t>
      </w:r>
    </w:p>
    <w:p w:rsidR="001705B6" w:rsidRDefault="001705B6" w:rsidP="00C300BB">
      <w:pPr>
        <w:jc w:val="both"/>
      </w:pPr>
    </w:p>
    <w:p w:rsidR="001705B6" w:rsidRPr="00621EFF" w:rsidRDefault="001705B6" w:rsidP="00621EFF">
      <w:pPr>
        <w:tabs>
          <w:tab w:val="num" w:pos="360"/>
        </w:tabs>
        <w:jc w:val="center"/>
        <w:rPr>
          <w:b/>
        </w:rPr>
      </w:pPr>
      <w:r w:rsidRPr="00621EFF">
        <w:rPr>
          <w:b/>
        </w:rPr>
        <w:t>VII.</w:t>
      </w:r>
    </w:p>
    <w:p w:rsidR="001705B6" w:rsidRPr="00621EFF" w:rsidRDefault="001705B6" w:rsidP="00C300BB">
      <w:pPr>
        <w:tabs>
          <w:tab w:val="num" w:pos="360"/>
        </w:tabs>
        <w:spacing w:after="120"/>
        <w:jc w:val="center"/>
        <w:rPr>
          <w:b/>
        </w:rPr>
      </w:pPr>
      <w:r w:rsidRPr="00621EFF">
        <w:rPr>
          <w:b/>
        </w:rPr>
        <w:t xml:space="preserve">Platební podmínky </w:t>
      </w:r>
    </w:p>
    <w:p w:rsidR="001705B6" w:rsidRPr="00E77280" w:rsidRDefault="001705B6" w:rsidP="00C300BB">
      <w:pPr>
        <w:pStyle w:val="ListParagraph"/>
        <w:numPr>
          <w:ilvl w:val="0"/>
          <w:numId w:val="20"/>
        </w:numPr>
        <w:spacing w:after="120"/>
        <w:jc w:val="both"/>
      </w:pPr>
      <w:r>
        <w:t>Prodávající se touto smlouvou zavazuje, že jim vystavené daňové doklady (dále jen „</w:t>
      </w:r>
      <w:r w:rsidRPr="00C300BB">
        <w:rPr>
          <w:i/>
        </w:rPr>
        <w:t>faktury</w:t>
      </w:r>
      <w:r>
        <w:t>“) budou obsahovat náležitosti, které jsou stanoveny příslušnými obecně závazným právním předpisem.</w:t>
      </w:r>
    </w:p>
    <w:p w:rsidR="001705B6" w:rsidRDefault="001705B6" w:rsidP="009D0B9F">
      <w:pPr>
        <w:pStyle w:val="ListParagraph"/>
        <w:numPr>
          <w:ilvl w:val="0"/>
          <w:numId w:val="20"/>
        </w:numPr>
        <w:tabs>
          <w:tab w:val="num" w:pos="360"/>
        </w:tabs>
        <w:sectPr w:rsidR="001705B6" w:rsidSect="00E77280">
          <w:type w:val="continuous"/>
          <w:pgSz w:w="11906" w:h="16838"/>
          <w:pgMar w:top="1417" w:right="1417" w:bottom="1417" w:left="1417" w:header="708" w:footer="708" w:gutter="0"/>
          <w:cols w:space="708"/>
          <w:docGrid w:linePitch="360"/>
        </w:sectPr>
      </w:pPr>
      <w:r>
        <w:t>Splatnost faktury činí 30 dní ode dne jejich doručení kupujícímu. Tato splatnost bude uvedena i na vystavených fakturách</w:t>
      </w:r>
    </w:p>
    <w:p w:rsidR="001705B6" w:rsidRDefault="001705B6" w:rsidP="00C300BB">
      <w:pPr>
        <w:tabs>
          <w:tab w:val="num" w:pos="360"/>
        </w:tabs>
        <w:jc w:val="both"/>
      </w:pPr>
    </w:p>
    <w:p w:rsidR="001705B6" w:rsidRPr="00621EFF" w:rsidRDefault="001705B6" w:rsidP="00621EFF">
      <w:pPr>
        <w:jc w:val="center"/>
        <w:rPr>
          <w:b/>
        </w:rPr>
      </w:pPr>
      <w:r w:rsidRPr="00621EFF">
        <w:rPr>
          <w:b/>
        </w:rPr>
        <w:t>VIII.</w:t>
      </w:r>
    </w:p>
    <w:p w:rsidR="001705B6" w:rsidRPr="00621EFF" w:rsidRDefault="001705B6" w:rsidP="00C300BB">
      <w:pPr>
        <w:spacing w:after="120"/>
        <w:jc w:val="center"/>
        <w:rPr>
          <w:b/>
        </w:rPr>
      </w:pPr>
      <w:r w:rsidRPr="00621EFF">
        <w:rPr>
          <w:b/>
        </w:rPr>
        <w:t xml:space="preserve">Ostatní ujednání </w:t>
      </w:r>
    </w:p>
    <w:p w:rsidR="001705B6" w:rsidRPr="00C300BB" w:rsidRDefault="001705B6" w:rsidP="00C300BB">
      <w:pPr>
        <w:pStyle w:val="ListParagraph"/>
        <w:numPr>
          <w:ilvl w:val="0"/>
          <w:numId w:val="21"/>
        </w:numPr>
        <w:spacing w:after="120"/>
        <w:jc w:val="both"/>
        <w:rPr>
          <w:b/>
        </w:rPr>
      </w:pPr>
      <w:r>
        <w:t>Prodávající se zavazuje, že jim dodané zboží bude odpovídat příslušným technickým oborovým nebo jiným českým statním normám a požadavkům stanoveným obecné závaznými právními předpisy, a že před každou dodávkou zboží provede kontrolu tak, aby zajistil soulad kvality zboží s požadavky na něj kladenými.</w:t>
      </w:r>
    </w:p>
    <w:p w:rsidR="001705B6" w:rsidRDefault="001705B6" w:rsidP="009D0B9F">
      <w:pPr>
        <w:pStyle w:val="ListParagraph"/>
        <w:numPr>
          <w:ilvl w:val="0"/>
          <w:numId w:val="21"/>
        </w:numPr>
        <w:sectPr w:rsidR="001705B6" w:rsidSect="00E77280">
          <w:type w:val="continuous"/>
          <w:pgSz w:w="11906" w:h="16838"/>
          <w:pgMar w:top="1417" w:right="1417" w:bottom="1417" w:left="1417" w:header="708" w:footer="708" w:gutter="0"/>
          <w:cols w:space="708"/>
          <w:docGrid w:linePitch="360"/>
        </w:sectPr>
      </w:pPr>
      <w:r>
        <w:t>Prodávající je podle této smlouvy povinen zboží zabalit nebo opatřit pro přepravu způsobem, který je obvyklý pro takové zboží v obchodním styku, popř. způsobem potřebným k uchování a ochraně zboží.</w:t>
      </w:r>
    </w:p>
    <w:p w:rsidR="001705B6" w:rsidRPr="00C300BB" w:rsidRDefault="001705B6" w:rsidP="009D0B9F">
      <w:pPr>
        <w:rPr>
          <w:b/>
        </w:rPr>
      </w:pPr>
    </w:p>
    <w:p w:rsidR="001705B6" w:rsidRPr="00621EFF" w:rsidRDefault="001705B6" w:rsidP="00621EFF">
      <w:pPr>
        <w:jc w:val="center"/>
        <w:rPr>
          <w:b/>
        </w:rPr>
      </w:pPr>
      <w:r w:rsidRPr="00621EFF">
        <w:rPr>
          <w:b/>
        </w:rPr>
        <w:t>IX.</w:t>
      </w:r>
    </w:p>
    <w:p w:rsidR="001705B6" w:rsidRPr="00621EFF" w:rsidRDefault="001705B6" w:rsidP="00C300BB">
      <w:pPr>
        <w:spacing w:after="120"/>
        <w:jc w:val="center"/>
        <w:rPr>
          <w:b/>
        </w:rPr>
      </w:pPr>
      <w:r w:rsidRPr="00621EFF">
        <w:rPr>
          <w:b/>
        </w:rPr>
        <w:t xml:space="preserve">Závěrečná ustanovení </w:t>
      </w:r>
    </w:p>
    <w:p w:rsidR="001705B6" w:rsidRPr="00C300BB" w:rsidRDefault="001705B6" w:rsidP="00C300BB">
      <w:pPr>
        <w:pStyle w:val="ListParagraph"/>
        <w:numPr>
          <w:ilvl w:val="0"/>
          <w:numId w:val="22"/>
        </w:numPr>
        <w:spacing w:after="120"/>
        <w:jc w:val="both"/>
        <w:rPr>
          <w:b/>
        </w:rPr>
      </w:pPr>
      <w:r>
        <w:t>Tato smlouva nabývá platnosti a účinnosti dnem, kdy byla oběma smluvními stranami podepsána.</w:t>
      </w:r>
    </w:p>
    <w:p w:rsidR="001705B6" w:rsidRPr="00E77280" w:rsidRDefault="001705B6" w:rsidP="00C300BB">
      <w:pPr>
        <w:pStyle w:val="ListParagraph"/>
        <w:numPr>
          <w:ilvl w:val="0"/>
          <w:numId w:val="22"/>
        </w:numPr>
        <w:spacing w:after="120"/>
        <w:jc w:val="both"/>
      </w:pPr>
      <w:r w:rsidRPr="005D1A8C">
        <w:t>Tato smlouva se uzavírá na dobu neurčitou. Smlouvu je možné ukončit</w:t>
      </w:r>
      <w:r>
        <w:t xml:space="preserve"> dohodou smluvních stran, nebo ukončit výpovědí jedné ze stran a to i bez výpovědního důvodu, přičemž výpovědní lhůty činí 1 měsíc a počíná běžet prvním dnem měsíce následujícího od doručení výpovědi druhé straně.</w:t>
      </w:r>
    </w:p>
    <w:p w:rsidR="001705B6" w:rsidRPr="00C300BB" w:rsidRDefault="001705B6" w:rsidP="00C300BB">
      <w:pPr>
        <w:pStyle w:val="ListParagraph"/>
        <w:numPr>
          <w:ilvl w:val="0"/>
          <w:numId w:val="22"/>
        </w:numPr>
        <w:spacing w:after="120"/>
        <w:jc w:val="both"/>
        <w:rPr>
          <w:b/>
        </w:rPr>
      </w:pPr>
      <w:r>
        <w:t>Tuto smlouvu je možné měnit či doplnit pouze písemnými vzestupně očíslovanými dodatky podepsanými oběma smluvními stranami.</w:t>
      </w:r>
    </w:p>
    <w:p w:rsidR="001705B6" w:rsidRPr="00C300BB" w:rsidRDefault="001705B6" w:rsidP="00C300BB">
      <w:pPr>
        <w:pStyle w:val="ListParagraph"/>
        <w:numPr>
          <w:ilvl w:val="0"/>
          <w:numId w:val="22"/>
        </w:numPr>
        <w:spacing w:after="120"/>
        <w:jc w:val="both"/>
        <w:rPr>
          <w:b/>
        </w:rPr>
      </w:pPr>
      <w:r>
        <w:t xml:space="preserve">Obě smluvní strany prohlašují, že si znění této smlouvy přečetly, zcela mu rozumí </w:t>
      </w:r>
      <w:r>
        <w:br/>
        <w:t>a smlouva byla uzavřena po vzájemném projednání podle jejich pravé svobodné vůle, určitě, vážně a srozumitelně a nikoli v tísni a za nenápadně nevýhodných podmínek.</w:t>
      </w:r>
    </w:p>
    <w:p w:rsidR="001705B6" w:rsidRPr="00C300BB" w:rsidRDefault="001705B6" w:rsidP="00C300BB">
      <w:pPr>
        <w:pStyle w:val="ListParagraph"/>
        <w:numPr>
          <w:ilvl w:val="0"/>
          <w:numId w:val="22"/>
        </w:numPr>
        <w:spacing w:after="120"/>
        <w:jc w:val="both"/>
        <w:rPr>
          <w:b/>
        </w:rPr>
      </w:pPr>
      <w:r>
        <w:t>Tato smlouva je vyhotovena ve dvou stejnopisech, z nichž každá se smluvních stran obdrží po jednom vyhotovení.</w:t>
      </w:r>
    </w:p>
    <w:p w:rsidR="001705B6" w:rsidRPr="00C300BB" w:rsidRDefault="001705B6" w:rsidP="00C300BB">
      <w:pPr>
        <w:pStyle w:val="ListParagraph"/>
        <w:numPr>
          <w:ilvl w:val="0"/>
          <w:numId w:val="22"/>
        </w:numPr>
        <w:spacing w:after="480"/>
        <w:jc w:val="both"/>
        <w:rPr>
          <w:b/>
        </w:rPr>
      </w:pPr>
      <w:r>
        <w:t xml:space="preserve">V záležitostech blíže touto smlouvou neupravených se použijí příslušná ustanovení zák. č. 89/2012 Sb., občanský zákoník, ve znění pozdějších předpisů, především pak ustanovení </w:t>
      </w:r>
      <w:r>
        <w:br/>
        <w:t xml:space="preserve">§ </w:t>
      </w:r>
      <w:smartTag w:uri="urn:schemas-microsoft-com:office:smarttags" w:element="metricconverter">
        <w:smartTagPr>
          <w:attr w:name="ProductID" w:val="2079 a"/>
        </w:smartTagPr>
        <w:r>
          <w:t>2079 a</w:t>
        </w:r>
      </w:smartTag>
      <w:r>
        <w:t xml:space="preserve"> násl. upravující kupní smlouvu.</w:t>
      </w:r>
    </w:p>
    <w:p w:rsidR="001705B6" w:rsidRPr="00885C65" w:rsidRDefault="001705B6" w:rsidP="00900F21">
      <w:pPr>
        <w:jc w:val="both"/>
      </w:pPr>
      <w:r>
        <w:rPr>
          <w:b/>
        </w:rPr>
        <w:t>Kupující</w:t>
      </w:r>
      <w:r w:rsidRPr="00CE63ED">
        <w:rPr>
          <w:b/>
        </w:rPr>
        <w:t>:</w:t>
      </w:r>
      <w:r w:rsidRPr="00CE63ED">
        <w:rPr>
          <w:b/>
        </w:rPr>
        <w:tab/>
      </w:r>
      <w:r w:rsidRPr="00885C65">
        <w:tab/>
      </w:r>
      <w:r w:rsidRPr="00885C65">
        <w:tab/>
      </w:r>
      <w:r w:rsidRPr="00885C65">
        <w:tab/>
      </w:r>
      <w:r w:rsidRPr="00885C65">
        <w:tab/>
      </w:r>
      <w:r w:rsidRPr="00885C65">
        <w:tab/>
      </w:r>
      <w:r>
        <w:rPr>
          <w:b/>
        </w:rPr>
        <w:t>Prodávající</w:t>
      </w:r>
      <w:r w:rsidRPr="00CE63ED">
        <w:rPr>
          <w:b/>
        </w:rPr>
        <w:t>:</w:t>
      </w:r>
    </w:p>
    <w:p w:rsidR="001705B6" w:rsidRPr="00885C65" w:rsidRDefault="001705B6" w:rsidP="00900F21">
      <w:pPr>
        <w:jc w:val="both"/>
        <w:rPr>
          <w:highlight w:val="yellow"/>
        </w:rPr>
      </w:pPr>
    </w:p>
    <w:p w:rsidR="001705B6" w:rsidRPr="00885C65" w:rsidRDefault="001705B6" w:rsidP="00900F21">
      <w:pPr>
        <w:jc w:val="both"/>
      </w:pPr>
      <w:r>
        <w:t>V Jevíčku</w:t>
      </w:r>
      <w:r w:rsidRPr="00885C65">
        <w:t xml:space="preserve"> </w:t>
      </w:r>
      <w:r>
        <w:t>d</w:t>
      </w:r>
      <w:r w:rsidRPr="00885C65">
        <w:t>ne</w:t>
      </w:r>
      <w:r>
        <w:t xml:space="preserve"> 14. 2. 2015</w:t>
      </w:r>
      <w:r w:rsidRPr="00885C65">
        <w:tab/>
      </w:r>
      <w:r>
        <w:tab/>
      </w:r>
      <w:r>
        <w:tab/>
      </w:r>
      <w:r>
        <w:tab/>
      </w:r>
      <w:r w:rsidRPr="00885C65">
        <w:t>V Buštěhradě dne</w:t>
      </w:r>
      <w:r>
        <w:t xml:space="preserve"> 16. 2. 2015</w:t>
      </w:r>
      <w:bookmarkStart w:id="0" w:name="_GoBack"/>
      <w:bookmarkEnd w:id="0"/>
    </w:p>
    <w:p w:rsidR="001705B6" w:rsidRPr="00885C65" w:rsidRDefault="001705B6" w:rsidP="00900F21">
      <w:pPr>
        <w:jc w:val="both"/>
        <w:rPr>
          <w:highlight w:val="yellow"/>
        </w:rPr>
      </w:pPr>
    </w:p>
    <w:p w:rsidR="001705B6" w:rsidRDefault="001705B6" w:rsidP="00900F21">
      <w:pPr>
        <w:jc w:val="both"/>
        <w:rPr>
          <w:highlight w:val="yellow"/>
        </w:rPr>
      </w:pPr>
    </w:p>
    <w:p w:rsidR="001705B6" w:rsidRPr="00885C65" w:rsidRDefault="001705B6" w:rsidP="00900F21">
      <w:pPr>
        <w:jc w:val="both"/>
        <w:rPr>
          <w:highlight w:val="yellow"/>
        </w:rPr>
      </w:pPr>
    </w:p>
    <w:p w:rsidR="001705B6" w:rsidRPr="00697569" w:rsidRDefault="001705B6" w:rsidP="00697569">
      <w:pPr>
        <w:tabs>
          <w:tab w:val="center" w:pos="2268"/>
          <w:tab w:val="center" w:pos="6804"/>
        </w:tabs>
        <w:jc w:val="both"/>
      </w:pPr>
      <w:r w:rsidRPr="00885C65">
        <w:t>……….…………………………………</w:t>
      </w:r>
      <w:r w:rsidRPr="00885C65">
        <w:tab/>
        <w:t>……….…………………………………</w:t>
      </w:r>
      <w:r>
        <w:t xml:space="preserve">         </w:t>
      </w:r>
      <w:r w:rsidRPr="00697569">
        <w:rPr>
          <w:b/>
        </w:rPr>
        <w:t>Odborný léčebný ústav Jevíčko</w:t>
      </w:r>
      <w:r w:rsidRPr="00697569">
        <w:rPr>
          <w:b/>
        </w:rPr>
        <w:tab/>
      </w:r>
      <w:r w:rsidRPr="0013356A">
        <w:t xml:space="preserve"> </w:t>
      </w:r>
      <w:r>
        <w:t xml:space="preserve">    </w:t>
      </w:r>
      <w:r>
        <w:rPr>
          <w:b/>
        </w:rPr>
        <w:t>DYNEX LABORATORIES, s.r.o.</w:t>
      </w:r>
    </w:p>
    <w:p w:rsidR="001705B6" w:rsidRPr="007664C8" w:rsidRDefault="001705B6" w:rsidP="00900F21">
      <w:pPr>
        <w:tabs>
          <w:tab w:val="center" w:pos="2268"/>
          <w:tab w:val="center" w:pos="6804"/>
        </w:tabs>
        <w:jc w:val="both"/>
      </w:pPr>
      <w:r>
        <w:t>Ing. Lenka Smékalová - ředitelka</w:t>
      </w:r>
      <w:r>
        <w:tab/>
        <w:t xml:space="preserve">     </w:t>
      </w:r>
      <w:r w:rsidRPr="007664C8">
        <w:t>Ing. Zora Hanzlíková - jednatelka</w:t>
      </w:r>
    </w:p>
    <w:p w:rsidR="001705B6" w:rsidRPr="007664C8" w:rsidRDefault="001705B6" w:rsidP="00797DAD">
      <w:pPr>
        <w:tabs>
          <w:tab w:val="center" w:pos="2268"/>
          <w:tab w:val="center" w:pos="6804"/>
        </w:tabs>
        <w:jc w:val="both"/>
      </w:pPr>
      <w:r w:rsidRPr="007664C8">
        <w:tab/>
      </w:r>
      <w:r w:rsidRPr="007664C8">
        <w:tab/>
      </w:r>
    </w:p>
    <w:sectPr w:rsidR="001705B6" w:rsidRPr="007664C8" w:rsidSect="00E7728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B6" w:rsidRDefault="001705B6">
      <w:r>
        <w:separator/>
      </w:r>
    </w:p>
  </w:endnote>
  <w:endnote w:type="continuationSeparator" w:id="0">
    <w:p w:rsidR="001705B6" w:rsidRDefault="00170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B6" w:rsidRDefault="001705B6" w:rsidP="00900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5B6" w:rsidRDefault="00170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B6" w:rsidRDefault="001705B6" w:rsidP="00900F21">
    <w:pPr>
      <w:pStyle w:val="Footer"/>
      <w:framePr w:wrap="around" w:vAnchor="text" w:hAnchor="margin" w:xAlign="center" w:y="1"/>
      <w:jc w:val="center"/>
      <w:rPr>
        <w:rStyle w:val="PageNumber"/>
      </w:rPr>
    </w:pPr>
    <w:r w:rsidRPr="006E15A5">
      <w:rPr>
        <w:rStyle w:val="PageNumber"/>
      </w:rPr>
      <w:t xml:space="preserve">- </w:t>
    </w:r>
    <w:r w:rsidRPr="006E15A5">
      <w:rPr>
        <w:rStyle w:val="PageNumber"/>
      </w:rPr>
      <w:fldChar w:fldCharType="begin"/>
    </w:r>
    <w:r w:rsidRPr="006E15A5">
      <w:rPr>
        <w:rStyle w:val="PageNumber"/>
      </w:rPr>
      <w:instrText xml:space="preserve"> PAGE </w:instrText>
    </w:r>
    <w:r w:rsidRPr="006E15A5">
      <w:rPr>
        <w:rStyle w:val="PageNumber"/>
      </w:rPr>
      <w:fldChar w:fldCharType="separate"/>
    </w:r>
    <w:r>
      <w:rPr>
        <w:rStyle w:val="PageNumber"/>
        <w:noProof/>
      </w:rPr>
      <w:t>2</w:t>
    </w:r>
    <w:r w:rsidRPr="006E15A5">
      <w:rPr>
        <w:rStyle w:val="PageNumber"/>
      </w:rPr>
      <w:fldChar w:fldCharType="end"/>
    </w:r>
    <w:r w:rsidRPr="006E15A5">
      <w:rPr>
        <w:rStyle w:val="PageNumber"/>
      </w:rPr>
      <w:t xml:space="preserve"> -</w:t>
    </w:r>
  </w:p>
  <w:p w:rsidR="001705B6" w:rsidRDefault="001705B6" w:rsidP="00900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B6" w:rsidRDefault="001705B6">
      <w:r>
        <w:separator/>
      </w:r>
    </w:p>
  </w:footnote>
  <w:footnote w:type="continuationSeparator" w:id="0">
    <w:p w:rsidR="001705B6" w:rsidRDefault="00170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35E"/>
    <w:multiLevelType w:val="hybridMultilevel"/>
    <w:tmpl w:val="3E7CA510"/>
    <w:lvl w:ilvl="0" w:tplc="24E4B016">
      <w:start w:val="1"/>
      <w:numFmt w:val="decimal"/>
      <w:lvlText w:val="%1."/>
      <w:lvlJc w:val="left"/>
      <w:pPr>
        <w:ind w:left="360" w:hanging="360"/>
      </w:pPr>
      <w:rPr>
        <w:rFonts w:cs="Times New Roman" w:hint="default"/>
        <w:b w:val="0"/>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7D50A74"/>
    <w:multiLevelType w:val="hybridMultilevel"/>
    <w:tmpl w:val="1CE25DB4"/>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1C870B42"/>
    <w:multiLevelType w:val="hybridMultilevel"/>
    <w:tmpl w:val="A0067F9C"/>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307710B"/>
    <w:multiLevelType w:val="hybridMultilevel"/>
    <w:tmpl w:val="1F72BAC8"/>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E581ACC"/>
    <w:multiLevelType w:val="hybridMultilevel"/>
    <w:tmpl w:val="DE88BAA8"/>
    <w:lvl w:ilvl="0" w:tplc="77BAAD36">
      <w:start w:val="1"/>
      <w:numFmt w:val="decimal"/>
      <w:lvlText w:val="%1."/>
      <w:lvlJc w:val="left"/>
      <w:pPr>
        <w:tabs>
          <w:tab w:val="num" w:pos="360"/>
        </w:tabs>
        <w:ind w:left="360" w:hanging="360"/>
      </w:pPr>
      <w:rPr>
        <w:rFonts w:cs="Times New Roman"/>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0C479DC"/>
    <w:multiLevelType w:val="hybridMultilevel"/>
    <w:tmpl w:val="9F54FBDC"/>
    <w:lvl w:ilvl="0" w:tplc="0BC84C16">
      <w:start w:val="1"/>
      <w:numFmt w:val="decimal"/>
      <w:lvlText w:val="%1."/>
      <w:lvlJc w:val="left"/>
      <w:pPr>
        <w:tabs>
          <w:tab w:val="num" w:pos="1080"/>
        </w:tabs>
        <w:ind w:left="108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DB1EC7"/>
    <w:multiLevelType w:val="hybridMultilevel"/>
    <w:tmpl w:val="EF6C8ED2"/>
    <w:lvl w:ilvl="0" w:tplc="77BAAD36">
      <w:start w:val="1"/>
      <w:numFmt w:val="decimal"/>
      <w:lvlText w:val="%1."/>
      <w:lvlJc w:val="left"/>
      <w:pPr>
        <w:tabs>
          <w:tab w:val="num" w:pos="1080"/>
        </w:tabs>
        <w:ind w:left="1080" w:hanging="360"/>
      </w:pPr>
      <w:rPr>
        <w:rFonts w:cs="Times New Roman"/>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C8E5250"/>
    <w:multiLevelType w:val="hybridMultilevel"/>
    <w:tmpl w:val="ADE8450C"/>
    <w:lvl w:ilvl="0" w:tplc="77BAAD36">
      <w:start w:val="1"/>
      <w:numFmt w:val="decimal"/>
      <w:lvlText w:val="%1."/>
      <w:lvlJc w:val="left"/>
      <w:pPr>
        <w:tabs>
          <w:tab w:val="num" w:pos="1080"/>
        </w:tabs>
        <w:ind w:left="1080" w:hanging="360"/>
      </w:pPr>
      <w:rPr>
        <w:rFonts w:cs="Times New Roman"/>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DD43D7A"/>
    <w:multiLevelType w:val="hybridMultilevel"/>
    <w:tmpl w:val="730E483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FE913CF"/>
    <w:multiLevelType w:val="hybridMultilevel"/>
    <w:tmpl w:val="33F0C562"/>
    <w:lvl w:ilvl="0" w:tplc="FDE28114">
      <w:start w:val="1"/>
      <w:numFmt w:val="decimal"/>
      <w:lvlText w:val="%1."/>
      <w:lvlJc w:val="left"/>
      <w:pPr>
        <w:tabs>
          <w:tab w:val="num" w:pos="1080"/>
        </w:tabs>
        <w:ind w:left="1080" w:hanging="360"/>
      </w:pPr>
      <w:rPr>
        <w:rFonts w:cs="Times New Roman"/>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3E03DAD"/>
    <w:multiLevelType w:val="hybridMultilevel"/>
    <w:tmpl w:val="C6AC3B3E"/>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6CC3EB2"/>
    <w:multiLevelType w:val="hybridMultilevel"/>
    <w:tmpl w:val="C36CA2A6"/>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D32433A"/>
    <w:multiLevelType w:val="hybridMultilevel"/>
    <w:tmpl w:val="9DD2F704"/>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D817823"/>
    <w:multiLevelType w:val="multilevel"/>
    <w:tmpl w:val="9F54FBDC"/>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F0A597C"/>
    <w:multiLevelType w:val="hybridMultilevel"/>
    <w:tmpl w:val="839C8D38"/>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3C427B8"/>
    <w:multiLevelType w:val="hybridMultilevel"/>
    <w:tmpl w:val="EFCE547E"/>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90E0D58"/>
    <w:multiLevelType w:val="hybridMultilevel"/>
    <w:tmpl w:val="4A9E0D70"/>
    <w:lvl w:ilvl="0" w:tplc="77BAAD36">
      <w:start w:val="1"/>
      <w:numFmt w:val="decimal"/>
      <w:lvlText w:val="%1."/>
      <w:lvlJc w:val="left"/>
      <w:pPr>
        <w:tabs>
          <w:tab w:val="num" w:pos="1080"/>
        </w:tabs>
        <w:ind w:left="1080" w:hanging="360"/>
      </w:pPr>
      <w:rPr>
        <w:rFonts w:cs="Times New Roman"/>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A7023D0"/>
    <w:multiLevelType w:val="hybridMultilevel"/>
    <w:tmpl w:val="26B09B2A"/>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3AC533C"/>
    <w:multiLevelType w:val="hybridMultilevel"/>
    <w:tmpl w:val="E6FE426E"/>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59822A5"/>
    <w:multiLevelType w:val="hybridMultilevel"/>
    <w:tmpl w:val="81342C76"/>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C2D1DE5"/>
    <w:multiLevelType w:val="hybridMultilevel"/>
    <w:tmpl w:val="31B66B04"/>
    <w:lvl w:ilvl="0" w:tplc="24E4B016">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C7C6CEC"/>
    <w:multiLevelType w:val="hybridMultilevel"/>
    <w:tmpl w:val="D2FE0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6"/>
  </w:num>
  <w:num w:numId="5">
    <w:abstractNumId w:val="7"/>
  </w:num>
  <w:num w:numId="6">
    <w:abstractNumId w:val="6"/>
  </w:num>
  <w:num w:numId="7">
    <w:abstractNumId w:val="8"/>
  </w:num>
  <w:num w:numId="8">
    <w:abstractNumId w:val="13"/>
  </w:num>
  <w:num w:numId="9">
    <w:abstractNumId w:val="1"/>
  </w:num>
  <w:num w:numId="10">
    <w:abstractNumId w:val="19"/>
  </w:num>
  <w:num w:numId="11">
    <w:abstractNumId w:val="10"/>
  </w:num>
  <w:num w:numId="12">
    <w:abstractNumId w:val="18"/>
  </w:num>
  <w:num w:numId="13">
    <w:abstractNumId w:val="2"/>
  </w:num>
  <w:num w:numId="14">
    <w:abstractNumId w:val="11"/>
  </w:num>
  <w:num w:numId="15">
    <w:abstractNumId w:val="15"/>
  </w:num>
  <w:num w:numId="16">
    <w:abstractNumId w:val="3"/>
  </w:num>
  <w:num w:numId="17">
    <w:abstractNumId w:val="14"/>
  </w:num>
  <w:num w:numId="18">
    <w:abstractNumId w:val="20"/>
  </w:num>
  <w:num w:numId="19">
    <w:abstractNumId w:val="21"/>
  </w:num>
  <w:num w:numId="20">
    <w:abstractNumId w:val="0"/>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1"/>
    <w:rsid w:val="00026FD8"/>
    <w:rsid w:val="0006320B"/>
    <w:rsid w:val="00074242"/>
    <w:rsid w:val="00096949"/>
    <w:rsid w:val="00102CF4"/>
    <w:rsid w:val="001274E4"/>
    <w:rsid w:val="0013356A"/>
    <w:rsid w:val="00147469"/>
    <w:rsid w:val="00164791"/>
    <w:rsid w:val="001705B6"/>
    <w:rsid w:val="001C691D"/>
    <w:rsid w:val="00241861"/>
    <w:rsid w:val="002C3F06"/>
    <w:rsid w:val="002F0D75"/>
    <w:rsid w:val="00361D42"/>
    <w:rsid w:val="00392254"/>
    <w:rsid w:val="003A467C"/>
    <w:rsid w:val="003B4BE7"/>
    <w:rsid w:val="004156D8"/>
    <w:rsid w:val="0042518F"/>
    <w:rsid w:val="004265A0"/>
    <w:rsid w:val="00441804"/>
    <w:rsid w:val="0048352A"/>
    <w:rsid w:val="00496D31"/>
    <w:rsid w:val="004B155E"/>
    <w:rsid w:val="004D31FF"/>
    <w:rsid w:val="004D610F"/>
    <w:rsid w:val="004D7DCA"/>
    <w:rsid w:val="00576A2B"/>
    <w:rsid w:val="005C0CC3"/>
    <w:rsid w:val="005C3710"/>
    <w:rsid w:val="005C78FB"/>
    <w:rsid w:val="005D1A8C"/>
    <w:rsid w:val="005D7C12"/>
    <w:rsid w:val="005F7606"/>
    <w:rsid w:val="0061203D"/>
    <w:rsid w:val="00620AC8"/>
    <w:rsid w:val="00621EFF"/>
    <w:rsid w:val="00631AAC"/>
    <w:rsid w:val="0063487B"/>
    <w:rsid w:val="00697569"/>
    <w:rsid w:val="006B41E6"/>
    <w:rsid w:val="006C0D39"/>
    <w:rsid w:val="006E15A5"/>
    <w:rsid w:val="006F1526"/>
    <w:rsid w:val="006F5EDC"/>
    <w:rsid w:val="007664C8"/>
    <w:rsid w:val="00797DAD"/>
    <w:rsid w:val="00797ED2"/>
    <w:rsid w:val="007D213F"/>
    <w:rsid w:val="007F1968"/>
    <w:rsid w:val="007F6B35"/>
    <w:rsid w:val="00816699"/>
    <w:rsid w:val="00842879"/>
    <w:rsid w:val="00843906"/>
    <w:rsid w:val="00843BF0"/>
    <w:rsid w:val="0087076D"/>
    <w:rsid w:val="008710CC"/>
    <w:rsid w:val="0087466C"/>
    <w:rsid w:val="00885C65"/>
    <w:rsid w:val="00887BB0"/>
    <w:rsid w:val="008C47CB"/>
    <w:rsid w:val="008C6741"/>
    <w:rsid w:val="008D0E48"/>
    <w:rsid w:val="008D683C"/>
    <w:rsid w:val="008D7EE1"/>
    <w:rsid w:val="008E510E"/>
    <w:rsid w:val="008F0736"/>
    <w:rsid w:val="00900F21"/>
    <w:rsid w:val="00903CF3"/>
    <w:rsid w:val="0091332F"/>
    <w:rsid w:val="009361A3"/>
    <w:rsid w:val="00992277"/>
    <w:rsid w:val="009B451C"/>
    <w:rsid w:val="009D0B9F"/>
    <w:rsid w:val="00A02457"/>
    <w:rsid w:val="00A112B0"/>
    <w:rsid w:val="00A204C2"/>
    <w:rsid w:val="00A31D84"/>
    <w:rsid w:val="00A524E6"/>
    <w:rsid w:val="00A6207A"/>
    <w:rsid w:val="00AC3474"/>
    <w:rsid w:val="00AC634E"/>
    <w:rsid w:val="00AD6000"/>
    <w:rsid w:val="00B50CFC"/>
    <w:rsid w:val="00B53FC1"/>
    <w:rsid w:val="00B670BC"/>
    <w:rsid w:val="00BA5642"/>
    <w:rsid w:val="00BC23AD"/>
    <w:rsid w:val="00BE4394"/>
    <w:rsid w:val="00C10A6E"/>
    <w:rsid w:val="00C300BB"/>
    <w:rsid w:val="00C55394"/>
    <w:rsid w:val="00C66652"/>
    <w:rsid w:val="00C9250E"/>
    <w:rsid w:val="00CB1A5E"/>
    <w:rsid w:val="00CD3468"/>
    <w:rsid w:val="00CD43B1"/>
    <w:rsid w:val="00CE15D3"/>
    <w:rsid w:val="00CE63ED"/>
    <w:rsid w:val="00CF6314"/>
    <w:rsid w:val="00D25970"/>
    <w:rsid w:val="00D40A7B"/>
    <w:rsid w:val="00D445CD"/>
    <w:rsid w:val="00D522F9"/>
    <w:rsid w:val="00D53BA7"/>
    <w:rsid w:val="00DB042F"/>
    <w:rsid w:val="00DC4DB2"/>
    <w:rsid w:val="00DE22E5"/>
    <w:rsid w:val="00DE4BC1"/>
    <w:rsid w:val="00E50B7E"/>
    <w:rsid w:val="00E77280"/>
    <w:rsid w:val="00E854E9"/>
    <w:rsid w:val="00ED6B3F"/>
    <w:rsid w:val="00ED7B77"/>
    <w:rsid w:val="00F059F0"/>
    <w:rsid w:val="00F31049"/>
    <w:rsid w:val="00F67FF4"/>
    <w:rsid w:val="00FB7A08"/>
    <w:rsid w:val="00FC060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F2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tne1">
    <w:name w:val="platne1"/>
    <w:basedOn w:val="DefaultParagraphFont"/>
    <w:uiPriority w:val="99"/>
    <w:rsid w:val="00900F21"/>
    <w:rPr>
      <w:rFonts w:cs="Times New Roman"/>
    </w:rPr>
  </w:style>
  <w:style w:type="paragraph" w:styleId="Footer">
    <w:name w:val="footer"/>
    <w:basedOn w:val="Normal"/>
    <w:link w:val="FooterChar"/>
    <w:uiPriority w:val="99"/>
    <w:rsid w:val="00900F21"/>
    <w:pPr>
      <w:tabs>
        <w:tab w:val="center" w:pos="4536"/>
        <w:tab w:val="right" w:pos="9072"/>
      </w:tabs>
    </w:pPr>
  </w:style>
  <w:style w:type="character" w:customStyle="1" w:styleId="FooterChar">
    <w:name w:val="Footer Char"/>
    <w:basedOn w:val="DefaultParagraphFont"/>
    <w:link w:val="Footer"/>
    <w:uiPriority w:val="99"/>
    <w:semiHidden/>
    <w:rsid w:val="00A200BB"/>
    <w:rPr>
      <w:sz w:val="24"/>
      <w:szCs w:val="24"/>
    </w:rPr>
  </w:style>
  <w:style w:type="character" w:styleId="PageNumber">
    <w:name w:val="page number"/>
    <w:basedOn w:val="DefaultParagraphFont"/>
    <w:uiPriority w:val="99"/>
    <w:rsid w:val="00900F21"/>
    <w:rPr>
      <w:rFonts w:cs="Times New Roman"/>
    </w:rPr>
  </w:style>
  <w:style w:type="paragraph" w:styleId="DocumentMap">
    <w:name w:val="Document Map"/>
    <w:basedOn w:val="Normal"/>
    <w:link w:val="DocumentMapChar"/>
    <w:uiPriority w:val="99"/>
    <w:semiHidden/>
    <w:rsid w:val="00900F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200BB"/>
    <w:rPr>
      <w:sz w:val="0"/>
      <w:szCs w:val="0"/>
    </w:rPr>
  </w:style>
  <w:style w:type="paragraph" w:styleId="BalloonText">
    <w:name w:val="Balloon Text"/>
    <w:basedOn w:val="Normal"/>
    <w:link w:val="BalloonTextChar"/>
    <w:uiPriority w:val="99"/>
    <w:semiHidden/>
    <w:rsid w:val="008D683C"/>
    <w:rPr>
      <w:rFonts w:ascii="Tahoma" w:hAnsi="Tahoma" w:cs="Tahoma"/>
      <w:sz w:val="16"/>
      <w:szCs w:val="16"/>
    </w:rPr>
  </w:style>
  <w:style w:type="character" w:customStyle="1" w:styleId="BalloonTextChar">
    <w:name w:val="Balloon Text Char"/>
    <w:basedOn w:val="DefaultParagraphFont"/>
    <w:link w:val="BalloonText"/>
    <w:uiPriority w:val="99"/>
    <w:semiHidden/>
    <w:rsid w:val="00A200BB"/>
    <w:rPr>
      <w:sz w:val="0"/>
      <w:szCs w:val="0"/>
    </w:rPr>
  </w:style>
  <w:style w:type="paragraph" w:styleId="ListParagraph">
    <w:name w:val="List Paragraph"/>
    <w:basedOn w:val="Normal"/>
    <w:uiPriority w:val="99"/>
    <w:qFormat/>
    <w:rsid w:val="003A467C"/>
    <w:pPr>
      <w:ind w:left="708"/>
    </w:pPr>
  </w:style>
  <w:style w:type="character" w:customStyle="1" w:styleId="apple-converted-space">
    <w:name w:val="apple-converted-space"/>
    <w:basedOn w:val="DefaultParagraphFont"/>
    <w:uiPriority w:val="99"/>
    <w:rsid w:val="008D7EE1"/>
    <w:rPr>
      <w:rFonts w:cs="Times New Roman"/>
    </w:rPr>
  </w:style>
  <w:style w:type="character" w:styleId="Emphasis">
    <w:name w:val="Emphasis"/>
    <w:basedOn w:val="DefaultParagraphFont"/>
    <w:uiPriority w:val="99"/>
    <w:qFormat/>
    <w:rsid w:val="00D2597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819</Words>
  <Characters>4837</Characters>
  <Application>Microsoft Office Outlook</Application>
  <DocSecurity>0</DocSecurity>
  <Lines>0</Lines>
  <Paragraphs>0</Paragraphs>
  <ScaleCrop>false</ScaleCrop>
  <Company>Dynex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DYNEX TECHNOLOGIES spol</dc:title>
  <dc:subject/>
  <dc:creator>skrejcova</dc:creator>
  <cp:keywords/>
  <dc:description/>
  <cp:lastModifiedBy>Ing. Antonín Staněk</cp:lastModifiedBy>
  <cp:revision>2</cp:revision>
  <cp:lastPrinted>2017-03-02T09:45:00Z</cp:lastPrinted>
  <dcterms:created xsi:type="dcterms:W3CDTF">2017-05-15T10:23:00Z</dcterms:created>
  <dcterms:modified xsi:type="dcterms:W3CDTF">2017-05-15T10:23:00Z</dcterms:modified>
</cp:coreProperties>
</file>