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411"/>
        <w:gridCol w:w="7867"/>
      </w:tblGrid>
      <w:tr>
        <w:trPr>
          <w:trHeight w:val="119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24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 M L O U V A O D Í L O</w:t>
            </w:r>
          </w:p>
          <w:p>
            <w:pPr>
              <w:pStyle w:val="Style4"/>
              <w:keepNext w:val="0"/>
              <w:keepLines w:val="0"/>
              <w:widowControl w:val="0"/>
              <w:shd w:val="clear" w:color="auto" w:fill="auto"/>
              <w:bidi w:val="0"/>
              <w:spacing w:before="0" w:after="120" w:line="240" w:lineRule="auto"/>
              <w:ind w:left="2820" w:right="0" w:firstLine="0"/>
              <w:jc w:val="left"/>
            </w:pPr>
            <w:r>
              <w:rPr>
                <w:b/>
                <w:bCs/>
                <w:color w:val="000000"/>
                <w:spacing w:val="0"/>
                <w:w w:val="100"/>
                <w:position w:val="0"/>
                <w:shd w:val="clear" w:color="auto" w:fill="auto"/>
                <w:lang w:val="cs-CZ" w:eastAsia="cs-CZ" w:bidi="cs-CZ"/>
              </w:rPr>
              <w:t>Článek 1</w:t>
            </w:r>
          </w:p>
          <w:p>
            <w:pPr>
              <w:pStyle w:val="Style4"/>
              <w:keepNext w:val="0"/>
              <w:keepLines w:val="0"/>
              <w:widowControl w:val="0"/>
              <w:shd w:val="clear" w:color="auto" w:fill="auto"/>
              <w:bidi w:val="0"/>
              <w:spacing w:before="0" w:after="180" w:line="240" w:lineRule="auto"/>
              <w:ind w:left="2500" w:right="0" w:firstLine="0"/>
              <w:jc w:val="left"/>
            </w:pPr>
            <w:r>
              <w:rPr>
                <w:b/>
                <w:bCs/>
                <w:color w:val="000000"/>
                <w:spacing w:val="0"/>
                <w:w w:val="100"/>
                <w:position w:val="0"/>
                <w:shd w:val="clear" w:color="auto" w:fill="auto"/>
                <w:lang w:val="cs-CZ" w:eastAsia="cs-CZ" w:bidi="cs-CZ"/>
              </w:rPr>
              <w:t>Smluvní strany</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5"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center"/>
        <w:tblLayout w:type="fixed"/>
      </w:tblPr>
      <w:tblGrid>
        <w:gridCol w:w="1411"/>
        <w:gridCol w:w="7867"/>
      </w:tblGrid>
      <w:tr>
        <w:trPr>
          <w:trHeight w:val="29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ředitel organizace</w:t>
            </w:r>
          </w:p>
        </w:tc>
      </w:tr>
      <w:tr>
        <w:trPr>
          <w:trHeight w:val="33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00090450</w:t>
            </w:r>
          </w:p>
        </w:tc>
      </w:tr>
      <w:tr>
        <w:trPr>
          <w:trHeight w:val="35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center"/>
        <w:tblLayout w:type="fixed"/>
      </w:tblPr>
      <w:tblGrid>
        <w:gridCol w:w="1411"/>
        <w:gridCol w:w="7867"/>
      </w:tblGrid>
      <w:tr>
        <w:trPr>
          <w:trHeight w:val="288"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Mostní projekce s.r.o.</w:t>
            </w:r>
          </w:p>
        </w:tc>
      </w:tr>
      <w:tr>
        <w:trPr>
          <w:trHeight w:val="34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Jana Babáka 2733/11, 612 00 Brno</w:t>
            </w:r>
          </w:p>
        </w:tc>
      </w:tr>
      <w:tr>
        <w:trPr>
          <w:trHeight w:val="31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Ing. Františkem Pokorným, jednatelem</w:t>
            </w:r>
          </w:p>
        </w:tc>
      </w:tr>
    </w:tbl>
    <w:p>
      <w:pPr>
        <w:widowControl w:val="0"/>
        <w:spacing w:after="99" w:line="1" w:lineRule="exact"/>
      </w:pPr>
    </w:p>
    <w:p>
      <w:pPr>
        <w:widowControl w:val="0"/>
        <w:spacing w:line="1" w:lineRule="exact"/>
      </w:pPr>
    </w:p>
    <w:p>
      <w:pPr>
        <w:pStyle w:val="Style13"/>
        <w:keepNext w:val="0"/>
        <w:keepLines w:val="0"/>
        <w:widowControl w:val="0"/>
        <w:shd w:val="clear" w:color="auto" w:fill="auto"/>
        <w:bidi w:val="0"/>
        <w:spacing w:before="0" w:line="240" w:lineRule="auto"/>
        <w:ind w:left="5" w:right="0" w:firstLine="0"/>
        <w:jc w:val="left"/>
      </w:pPr>
      <w:r>
        <w:rPr>
          <w:color w:val="000000"/>
          <w:spacing w:val="0"/>
          <w:w w:val="100"/>
          <w:position w:val="0"/>
          <w:shd w:val="clear" w:color="auto" w:fill="auto"/>
          <w:lang w:val="cs-CZ" w:eastAsia="cs-CZ" w:bidi="cs-CZ"/>
        </w:rPr>
        <w:t>zapsán v obchodním rejstříku spis. zn. C104090 vedená u Krajského soudu v Brně</w:t>
      </w:r>
    </w:p>
    <w:p>
      <w:pPr>
        <w:pStyle w:val="Style13"/>
        <w:keepNext w:val="0"/>
        <w:keepLines w:val="0"/>
        <w:widowControl w:val="0"/>
        <w:shd w:val="clear" w:color="auto" w:fill="auto"/>
        <w:bidi w:val="0"/>
        <w:spacing w:before="0" w:line="240" w:lineRule="auto"/>
        <w:ind w:left="5" w:right="0" w:firstLine="0"/>
        <w:jc w:val="left"/>
      </w:pPr>
      <w:r>
        <w:rPr>
          <w:color w:val="000000"/>
          <w:spacing w:val="0"/>
          <w:w w:val="100"/>
          <w:position w:val="0"/>
          <w:shd w:val="clear" w:color="auto" w:fill="auto"/>
          <w:lang w:val="cs-CZ" w:eastAsia="cs-CZ" w:bidi="cs-CZ"/>
        </w:rPr>
        <w:t>Osoba pověřená jednat jménem zhotovitele ve věcech</w:t>
      </w:r>
    </w:p>
    <w:p>
      <w:pPr>
        <w:pStyle w:val="Style13"/>
        <w:keepNext w:val="0"/>
        <w:keepLines w:val="0"/>
        <w:widowControl w:val="0"/>
        <w:shd w:val="clear" w:color="auto" w:fill="auto"/>
        <w:bidi w:val="0"/>
        <w:spacing w:before="0" w:line="240" w:lineRule="auto"/>
        <w:ind w:left="5" w:right="0" w:firstLine="0"/>
        <w:jc w:val="left"/>
      </w:pPr>
      <w:r>
        <w:rPr>
          <w:color w:val="000000"/>
          <w:spacing w:val="0"/>
          <w:w w:val="100"/>
          <w:position w:val="0"/>
          <w:shd w:val="clear" w:color="auto" w:fill="auto"/>
          <w:lang w:val="cs-CZ" w:eastAsia="cs-CZ" w:bidi="cs-CZ"/>
        </w:rPr>
        <w:t>smluvních:</w:t>
      </w:r>
    </w:p>
    <w:tbl>
      <w:tblPr>
        <w:tblOverlap w:val="never"/>
        <w:jc w:val="center"/>
        <w:tblLayout w:type="fixed"/>
      </w:tblPr>
      <w:tblGrid>
        <w:gridCol w:w="1411"/>
        <w:gridCol w:w="7867"/>
      </w:tblGrid>
      <w:tr>
        <w:trPr>
          <w:trHeight w:val="37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06754449</w:t>
            </w:r>
          </w:p>
        </w:tc>
      </w:tr>
      <w:tr>
        <w:trPr>
          <w:trHeight w:val="27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CZ06754449</w:t>
            </w:r>
          </w:p>
        </w:tc>
      </w:tr>
    </w:tbl>
    <w:p>
      <w:pPr>
        <w:widowControl w:val="0"/>
        <w:spacing w:after="9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80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 xml:space="preserve">Vypracování projektové dokumentace II/360 Bobrová - most ev. č. 360-035, odvodnění komunikace u domu č.p. 99“, </w:t>
      </w:r>
      <w:r>
        <w:rPr>
          <w:color w:val="000000"/>
          <w:spacing w:val="0"/>
          <w:w w:val="100"/>
          <w:position w:val="0"/>
          <w:shd w:val="clear" w:color="auto" w:fill="auto"/>
          <w:lang w:val="cs-CZ" w:eastAsia="cs-CZ" w:bidi="cs-CZ"/>
        </w:rPr>
        <w:t>uzavírají níže uvedeného dne, měsíce a roku tuto Smlouvu o dílo (dále jen „smlouva“).</w:t>
      </w:r>
    </w:p>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Článek 2</w:t>
      </w:r>
      <w:bookmarkEnd w:id="0"/>
      <w:bookmarkEnd w:id="1"/>
    </w:p>
    <w:p>
      <w:pPr>
        <w:pStyle w:val="Style1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2"/>
        <w:keepNext w:val="0"/>
        <w:keepLines w:val="0"/>
        <w:widowControl w:val="0"/>
        <w:numPr>
          <w:ilvl w:val="0"/>
          <w:numId w:val="1"/>
        </w:numPr>
        <w:shd w:val="clear" w:color="auto" w:fill="auto"/>
        <w:tabs>
          <w:tab w:pos="542"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w:t>
      </w:r>
      <w:r>
        <w:rPr>
          <w:b/>
          <w:bCs/>
          <w:color w:val="000000"/>
          <w:spacing w:val="0"/>
          <w:w w:val="100"/>
          <w:position w:val="0"/>
          <w:shd w:val="clear" w:color="auto" w:fill="auto"/>
          <w:lang w:val="cs-CZ" w:eastAsia="cs-CZ" w:bidi="cs-CZ"/>
        </w:rPr>
        <w:t xml:space="preserve">vypracování samostatné projektové dokumentace (PD)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 xml:space="preserve">II/360 Bobrová - most ev. č. 360-035, odvodnění komunikace u domu č.p. 99, </w:t>
      </w:r>
      <w:r>
        <w:rPr>
          <w:color w:val="000000"/>
          <w:spacing w:val="0"/>
          <w:w w:val="100"/>
          <w:position w:val="0"/>
          <w:shd w:val="clear" w:color="auto" w:fill="auto"/>
          <w:lang w:val="cs-CZ" w:eastAsia="cs-CZ" w:bidi="cs-CZ"/>
        </w:rPr>
        <w:t xml:space="preserve">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91" w:val="left"/>
        </w:tabs>
        <w:bidi w:val="0"/>
        <w:spacing w:before="0" w:after="460" w:line="240" w:lineRule="auto"/>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Doba plnění</w:t>
      </w:r>
      <w:bookmarkEnd w:id="4"/>
      <w:bookmarkEnd w:id="5"/>
    </w:p>
    <w:p>
      <w:pPr>
        <w:pStyle w:val="Style2"/>
        <w:keepNext w:val="0"/>
        <w:keepLines w:val="0"/>
        <w:widowControl w:val="0"/>
        <w:numPr>
          <w:ilvl w:val="1"/>
          <w:numId w:val="1"/>
        </w:numPr>
        <w:shd w:val="clear" w:color="auto" w:fill="auto"/>
        <w:tabs>
          <w:tab w:pos="591"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u w:val="single"/>
          <w:shd w:val="clear" w:color="auto" w:fill="auto"/>
          <w:lang w:val="cs-CZ" w:eastAsia="cs-CZ" w:bidi="cs-CZ"/>
        </w:rPr>
        <w:t>vypracování jednotlivých projektových dokumentací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(Kalkulace a termíny plnění), která je nedílnou součástí této smlouvy.</w:t>
      </w:r>
    </w:p>
    <w:p>
      <w:pPr>
        <w:pStyle w:val="Style2"/>
        <w:keepNext w:val="0"/>
        <w:keepLines w:val="0"/>
        <w:widowControl w:val="0"/>
        <w:numPr>
          <w:ilvl w:val="1"/>
          <w:numId w:val="1"/>
        </w:numPr>
        <w:shd w:val="clear" w:color="auto" w:fill="auto"/>
        <w:tabs>
          <w:tab w:pos="591"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color w:val="000000"/>
          <w:spacing w:val="0"/>
          <w:w w:val="100"/>
          <w:position w:val="0"/>
          <w:shd w:val="clear" w:color="auto" w:fill="auto"/>
          <w:lang w:val="cs-CZ" w:eastAsia="cs-CZ" w:bidi="cs-CZ"/>
        </w:rPr>
        <w:t xml:space="preserve">odst. 3.1. </w:t>
      </w:r>
      <w:r>
        <w:rPr>
          <w:color w:val="000000"/>
          <w:spacing w:val="0"/>
          <w:w w:val="100"/>
          <w:position w:val="0"/>
          <w:shd w:val="clear" w:color="auto" w:fill="auto"/>
          <w:lang w:val="cs-CZ" w:eastAsia="cs-CZ" w:bidi="cs-CZ"/>
        </w:rPr>
        <w:t>po dobu trvání překážky neběží. Žádost o stavění lhůty musí být učiněna bezodkladně, prokazatelným způsobem (prostřednictvím datové schránky, doporučeným dopisem), s podrobným zdůvodněním.</w:t>
      </w:r>
    </w:p>
    <w:p>
      <w:pPr>
        <w:pStyle w:val="Style2"/>
        <w:keepNext w:val="0"/>
        <w:keepLines w:val="0"/>
        <w:widowControl w:val="0"/>
        <w:numPr>
          <w:ilvl w:val="1"/>
          <w:numId w:val="1"/>
        </w:numPr>
        <w:shd w:val="clear" w:color="auto" w:fill="auto"/>
        <w:tabs>
          <w:tab w:pos="591"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pPr>
        <w:pStyle w:val="Style2"/>
        <w:keepNext w:val="0"/>
        <w:keepLines w:val="0"/>
        <w:widowControl w:val="0"/>
        <w:numPr>
          <w:ilvl w:val="1"/>
          <w:numId w:val="1"/>
        </w:numPr>
        <w:shd w:val="clear" w:color="auto" w:fill="auto"/>
        <w:tabs>
          <w:tab w:pos="591" w:val="left"/>
        </w:tabs>
        <w:bidi w:val="0"/>
        <w:spacing w:before="0" w:after="800" w:line="240" w:lineRule="auto"/>
        <w:ind w:left="0" w:right="0" w:firstLine="0"/>
        <w:jc w:val="left"/>
      </w:pPr>
      <w:r>
        <w:rPr>
          <w:color w:val="000000"/>
          <w:spacing w:val="0"/>
          <w:w w:val="100"/>
          <w:position w:val="0"/>
          <w:shd w:val="clear" w:color="auto" w:fill="auto"/>
          <w:lang w:val="cs-CZ" w:eastAsia="cs-CZ" w:bidi="cs-CZ"/>
        </w:rPr>
        <w:t>Nevysloví-li zástupce objednatele souhlas se stavěním lhůty, lhůta běží bez přerušení.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díla</w:t>
      </w:r>
      <w:bookmarkEnd w:id="6"/>
      <w:bookmarkEnd w:id="7"/>
    </w:p>
    <w:p>
      <w:pPr>
        <w:pStyle w:val="Style2"/>
        <w:keepNext w:val="0"/>
        <w:keepLines w:val="0"/>
        <w:widowControl w:val="0"/>
        <w:numPr>
          <w:ilvl w:val="0"/>
          <w:numId w:val="3"/>
        </w:numPr>
        <w:shd w:val="clear" w:color="auto" w:fill="auto"/>
        <w:tabs>
          <w:tab w:pos="591"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w:t>
      </w:r>
    </w:p>
    <w:p>
      <w:pPr>
        <w:pStyle w:val="Style2"/>
        <w:keepNext w:val="0"/>
        <w:keepLines w:val="0"/>
        <w:widowControl w:val="0"/>
        <w:numPr>
          <w:ilvl w:val="0"/>
          <w:numId w:val="5"/>
        </w:numPr>
        <w:shd w:val="clear" w:color="auto" w:fill="auto"/>
        <w:tabs>
          <w:tab w:pos="1126" w:val="left"/>
        </w:tabs>
        <w:bidi w:val="0"/>
        <w:spacing w:before="0" w:line="240" w:lineRule="auto"/>
        <w:ind w:left="0" w:right="0" w:firstLine="560"/>
        <w:jc w:val="left"/>
      </w:pP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258"/>
        <w:gridCol w:w="3979"/>
      </w:tblGrid>
      <w:tr>
        <w:trPr>
          <w:trHeight w:val="48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320 000,00 Kč bez DPH</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67 200,00 Kč</w:t>
            </w:r>
          </w:p>
        </w:tc>
      </w:tr>
      <w:tr>
        <w:trPr>
          <w:trHeight w:val="533"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387 200,00 Kč včetně DPH</w:t>
            </w:r>
          </w:p>
        </w:tc>
      </w:tr>
    </w:tbl>
    <w:p>
      <w:pPr>
        <w:widowControl w:val="0"/>
        <w:spacing w:after="679" w:line="1" w:lineRule="exact"/>
      </w:pPr>
    </w:p>
    <w:p>
      <w:pPr>
        <w:pStyle w:val="Style2"/>
        <w:keepNext w:val="0"/>
        <w:keepLines w:val="0"/>
        <w:widowControl w:val="0"/>
        <w:numPr>
          <w:ilvl w:val="0"/>
          <w:numId w:val="3"/>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A1 </w:t>
      </w:r>
      <w:r>
        <w:rPr>
          <w:color w:val="000000"/>
          <w:spacing w:val="0"/>
          <w:w w:val="100"/>
          <w:position w:val="0"/>
          <w:shd w:val="clear" w:color="auto" w:fill="auto"/>
          <w:lang w:val="cs-CZ" w:eastAsia="cs-CZ" w:bidi="cs-CZ"/>
        </w:rPr>
        <w:t xml:space="preserve">(Kalkulace a termíny plnění), které jsou součástí této smlouvy, cestovné na místa konzultačních dnů a odměna za užití nehmotného statku dle </w:t>
      </w:r>
      <w:r>
        <w:rPr>
          <w:b/>
          <w:bCs/>
          <w:color w:val="000000"/>
          <w:spacing w:val="0"/>
          <w:w w:val="100"/>
          <w:position w:val="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3"/>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2"/>
        <w:keepNext w:val="0"/>
        <w:keepLines w:val="0"/>
        <w:widowControl w:val="0"/>
        <w:numPr>
          <w:ilvl w:val="0"/>
          <w:numId w:val="3"/>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se dohodly, že dojde-li v průběhu plnění předmětu této smlouvy ke změně </w:t>
      </w:r>
      <w:r>
        <w:rPr>
          <w:color w:val="000000"/>
          <w:spacing w:val="0"/>
          <w:w w:val="100"/>
          <w:position w:val="0"/>
          <w:shd w:val="clear" w:color="auto" w:fill="auto"/>
          <w:lang w:val="cs-CZ" w:eastAsia="cs-CZ" w:bidi="cs-CZ"/>
        </w:rPr>
        <w:t>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Pravidel Rady Kraje Vysočina a interních předpisů objednatele. Dodatečné služby nad rámec předmětu plnění smlouvy mající dopad na zvýšení ceny díla vyžadují předchozí dohodu smluvních stran formou písemného dodatku ke smlouvě. Dodatek ke smlouvě o dílo musí být uzavřen v souladu s předchozím postupem dle </w:t>
      </w:r>
      <w:r>
        <w:rPr>
          <w:b/>
          <w:bCs/>
          <w:color w:val="000000"/>
          <w:spacing w:val="0"/>
          <w:w w:val="100"/>
          <w:position w:val="0"/>
          <w:shd w:val="clear" w:color="auto" w:fill="auto"/>
          <w:lang w:val="cs-CZ" w:eastAsia="cs-CZ" w:bidi="cs-CZ"/>
        </w:rPr>
        <w:t>Pravidel Rady Kraje Vysočina</w:t>
      </w:r>
      <w:r>
        <w:rPr>
          <w:color w:val="000000"/>
          <w:spacing w:val="0"/>
          <w:w w:val="100"/>
          <w:position w:val="0"/>
          <w:shd w:val="clear" w:color="auto" w:fill="auto"/>
          <w:lang w:val="cs-CZ" w:eastAsia="cs-CZ" w:bidi="cs-CZ"/>
        </w:rPr>
        <w:t>, jinak je uzavřený dodatek neplatný a zhotovitel nemá právo na úhradu ceny díla sjednané v tomto dodatku.</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mimo předchozí postup 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w:t>
      </w:r>
      <w:r>
        <w:rPr>
          <w:b/>
          <w:bCs/>
          <w:color w:val="000000"/>
          <w:spacing w:val="0"/>
          <w:w w:val="100"/>
          <w:position w:val="0"/>
          <w:shd w:val="clear" w:color="auto" w:fill="auto"/>
          <w:lang w:val="cs-CZ" w:eastAsia="cs-CZ" w:bidi="cs-CZ"/>
        </w:rPr>
        <w:t xml:space="preserve">Pravidly Rady Kraje Vysočina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2"/>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Veškeré dodatečné služby splňující podmínky stanovené v </w:t>
      </w:r>
      <w:r>
        <w:rPr>
          <w:b/>
          <w:bCs/>
          <w:color w:val="000000"/>
          <w:spacing w:val="0"/>
          <w:w w:val="100"/>
          <w:position w:val="0"/>
          <w:shd w:val="clear" w:color="auto" w:fill="auto"/>
          <w:lang w:val="cs-CZ" w:eastAsia="cs-CZ" w:bidi="cs-CZ"/>
        </w:rPr>
        <w:t xml:space="preserve">Pravidlech Rady Kraje Vysočina, </w:t>
      </w:r>
      <w:r>
        <w:rPr>
          <w:color w:val="000000"/>
          <w:spacing w:val="0"/>
          <w:w w:val="100"/>
          <w:position w:val="0"/>
          <w:shd w:val="clear" w:color="auto" w:fill="auto"/>
          <w:lang w:val="cs-CZ" w:eastAsia="cs-CZ" w:bidi="cs-CZ"/>
        </w:rPr>
        <w:t>které jsou nezbytné pro dokončení díla, musí být písemně dohodnuty osobami oprávněnými jednat ve věcech smluvních.</w:t>
      </w:r>
    </w:p>
    <w:p>
      <w:pPr>
        <w:pStyle w:val="Style2"/>
        <w:keepNext w:val="0"/>
        <w:keepLines w:val="0"/>
        <w:widowControl w:val="0"/>
        <w:numPr>
          <w:ilvl w:val="0"/>
          <w:numId w:val="3"/>
        </w:numPr>
        <w:shd w:val="clear" w:color="auto" w:fill="auto"/>
        <w:tabs>
          <w:tab w:pos="566"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Způsob provádění díla a dodání díla</w:t>
      </w:r>
      <w:bookmarkEnd w:id="8"/>
      <w:bookmarkEnd w:id="9"/>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Projektová dokumentace bude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2"/>
        <w:keepNext w:val="0"/>
        <w:keepLines w:val="0"/>
        <w:widowControl w:val="0"/>
        <w:numPr>
          <w:ilvl w:val="0"/>
          <w:numId w:val="7"/>
        </w:numPr>
        <w:shd w:val="clear" w:color="auto" w:fill="auto"/>
        <w:tabs>
          <w:tab w:pos="56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2"/>
        <w:keepNext w:val="0"/>
        <w:keepLines w:val="0"/>
        <w:widowControl w:val="0"/>
        <w:numPr>
          <w:ilvl w:val="0"/>
          <w:numId w:val="7"/>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Kontaktní osoby objednatele, zhotovitele a osoby pověřené provedením díla jsou uvedeny v </w:t>
      </w:r>
      <w:r>
        <w:rPr>
          <w:b/>
          <w:bCs/>
          <w:color w:val="000000"/>
          <w:spacing w:val="0"/>
          <w:w w:val="100"/>
          <w:position w:val="0"/>
          <w:shd w:val="clear" w:color="auto" w:fill="auto"/>
          <w:lang w:val="cs-CZ" w:eastAsia="cs-CZ" w:bidi="cs-CZ"/>
        </w:rPr>
        <w:t>příloze B1.</w:t>
      </w:r>
    </w:p>
    <w:p>
      <w:pPr>
        <w:pStyle w:val="Style2"/>
        <w:keepNext w:val="0"/>
        <w:keepLines w:val="0"/>
        <w:widowControl w:val="0"/>
        <w:numPr>
          <w:ilvl w:val="0"/>
          <w:numId w:val="7"/>
        </w:numPr>
        <w:shd w:val="clear" w:color="auto" w:fill="auto"/>
        <w:tabs>
          <w:tab w:pos="56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7"/>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2"/>
        <w:keepNext w:val="0"/>
        <w:keepLines w:val="0"/>
        <w:widowControl w:val="0"/>
        <w:numPr>
          <w:ilvl w:val="0"/>
          <w:numId w:val="7"/>
        </w:numPr>
        <w:shd w:val="clear" w:color="auto" w:fill="auto"/>
        <w:tabs>
          <w:tab w:pos="582" w:val="left"/>
        </w:tabs>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Osoba pověřená převzetím díla za objednatele je uvedena v </w:t>
      </w:r>
      <w:r>
        <w:rPr>
          <w:b/>
          <w:bCs/>
          <w:color w:val="000000"/>
          <w:spacing w:val="0"/>
          <w:w w:val="100"/>
          <w:position w:val="0"/>
          <w:shd w:val="clear" w:color="auto" w:fill="auto"/>
          <w:lang w:val="cs-CZ" w:eastAsia="cs-CZ" w:bidi="cs-CZ"/>
        </w:rPr>
        <w:t>příloze B1</w:t>
      </w:r>
      <w:r>
        <w:rPr>
          <w:color w:val="000000"/>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582" w:val="left"/>
        </w:tabs>
        <w:bidi w:val="0"/>
        <w:spacing w:before="0" w:after="120" w:line="240" w:lineRule="auto"/>
        <w:ind w:left="0" w:right="0" w:firstLine="0"/>
        <w:jc w:val="left"/>
      </w:pPr>
      <w:r>
        <w:rPr>
          <w:color w:val="000000"/>
          <w:spacing w:val="0"/>
          <w:w w:val="100"/>
          <w:position w:val="0"/>
          <w:shd w:val="clear" w:color="auto" w:fill="auto"/>
          <w:lang w:val="cs-CZ" w:eastAsia="cs-CZ" w:bidi="cs-CZ"/>
        </w:rPr>
        <w:t>Místem plnění je:</w:t>
      </w:r>
    </w:p>
    <w:p>
      <w:pPr>
        <w:pStyle w:val="Style2"/>
        <w:keepNext w:val="0"/>
        <w:keepLines w:val="0"/>
        <w:widowControl w:val="0"/>
        <w:numPr>
          <w:ilvl w:val="0"/>
          <w:numId w:val="9"/>
        </w:numPr>
        <w:shd w:val="clear" w:color="auto" w:fill="auto"/>
        <w:tabs>
          <w:tab w:pos="1370" w:val="left"/>
        </w:tabs>
        <w:bidi w:val="0"/>
        <w:spacing w:before="0" w:after="120" w:line="240" w:lineRule="auto"/>
        <w:ind w:left="0" w:right="0" w:firstLine="940"/>
        <w:jc w:val="left"/>
      </w:pPr>
      <w:r>
        <w:rPr>
          <w:color w:val="000000"/>
          <w:spacing w:val="0"/>
          <w:w w:val="100"/>
          <w:position w:val="0"/>
          <w:shd w:val="clear" w:color="auto" w:fill="auto"/>
          <w:lang w:val="cs-CZ" w:eastAsia="cs-CZ" w:bidi="cs-CZ"/>
        </w:rPr>
        <w:t>pro předání dokumentace</w:t>
      </w:r>
    </w:p>
    <w:p>
      <w:pPr>
        <w:pStyle w:val="Style2"/>
        <w:keepNext w:val="0"/>
        <w:keepLines w:val="0"/>
        <w:widowControl w:val="0"/>
        <w:shd w:val="clear" w:color="auto" w:fill="auto"/>
        <w:bidi w:val="0"/>
        <w:spacing w:before="0" w:after="120" w:line="240" w:lineRule="auto"/>
        <w:ind w:left="130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120" w:line="240" w:lineRule="auto"/>
        <w:ind w:left="1300" w:right="0" w:firstLine="0"/>
        <w:jc w:val="left"/>
      </w:pPr>
      <w:r>
        <w:rPr>
          <w:color w:val="000000"/>
          <w:spacing w:val="0"/>
          <w:w w:val="100"/>
          <w:position w:val="0"/>
          <w:shd w:val="clear" w:color="auto" w:fill="auto"/>
          <w:lang w:val="cs-CZ" w:eastAsia="cs-CZ" w:bidi="cs-CZ"/>
        </w:rPr>
        <w:t>Kosovská 1122/16, Jihlava, PSČ 586 01</w:t>
      </w:r>
    </w:p>
    <w:p>
      <w:pPr>
        <w:pStyle w:val="Style2"/>
        <w:keepNext w:val="0"/>
        <w:keepLines w:val="0"/>
        <w:widowControl w:val="0"/>
        <w:numPr>
          <w:ilvl w:val="0"/>
          <w:numId w:val="9"/>
        </w:numPr>
        <w:shd w:val="clear" w:color="auto" w:fill="auto"/>
        <w:tabs>
          <w:tab w:pos="1370" w:val="left"/>
        </w:tabs>
        <w:bidi w:val="0"/>
        <w:spacing w:before="0" w:after="120" w:line="240" w:lineRule="auto"/>
        <w:ind w:left="0" w:right="0" w:firstLine="940"/>
        <w:jc w:val="left"/>
      </w:pPr>
      <w:r>
        <w:rPr>
          <w:color w:val="000000"/>
          <w:spacing w:val="0"/>
          <w:w w:val="100"/>
          <w:position w:val="0"/>
          <w:shd w:val="clear" w:color="auto" w:fill="auto"/>
          <w:lang w:val="cs-CZ" w:eastAsia="cs-CZ" w:bidi="cs-CZ"/>
        </w:rPr>
        <w:t>pro práce spojené s vypracováním PD</w:t>
      </w:r>
    </w:p>
    <w:p>
      <w:pPr>
        <w:pStyle w:val="Style2"/>
        <w:keepNext w:val="0"/>
        <w:keepLines w:val="0"/>
        <w:widowControl w:val="0"/>
        <w:shd w:val="clear" w:color="auto" w:fill="auto"/>
        <w:bidi w:val="0"/>
        <w:spacing w:before="0" w:after="460" w:line="240" w:lineRule="auto"/>
        <w:ind w:left="1300" w:right="0" w:firstLine="0"/>
        <w:jc w:val="left"/>
      </w:pPr>
      <w:r>
        <w:rPr>
          <w:b/>
          <w:bCs/>
          <w:color w:val="000000"/>
          <w:spacing w:val="0"/>
          <w:w w:val="100"/>
          <w:position w:val="0"/>
          <w:shd w:val="clear" w:color="auto" w:fill="auto"/>
          <w:lang w:val="cs-CZ" w:eastAsia="cs-CZ" w:bidi="cs-CZ"/>
        </w:rPr>
        <w:t>místo stavby: II/360 Bobrová - komunikace u domu č.p. 99</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6"/>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Placení a fakturace</w:t>
      </w:r>
      <w:bookmarkEnd w:id="10"/>
      <w:bookmarkEnd w:id="11"/>
    </w:p>
    <w:p>
      <w:pPr>
        <w:pStyle w:val="Style2"/>
        <w:keepNext w:val="0"/>
        <w:keepLines w:val="0"/>
        <w:widowControl w:val="0"/>
        <w:numPr>
          <w:ilvl w:val="0"/>
          <w:numId w:val="11"/>
        </w:numPr>
        <w:shd w:val="clear" w:color="auto" w:fill="auto"/>
        <w:tabs>
          <w:tab w:pos="56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2"/>
        <w:keepNext w:val="0"/>
        <w:keepLines w:val="0"/>
        <w:widowControl w:val="0"/>
        <w:numPr>
          <w:ilvl w:val="0"/>
          <w:numId w:val="13"/>
        </w:numPr>
        <w:shd w:val="clear" w:color="auto" w:fill="auto"/>
        <w:tabs>
          <w:tab w:pos="1379" w:val="left"/>
        </w:tabs>
        <w:bidi w:val="0"/>
        <w:spacing w:before="0" w:after="120" w:line="240" w:lineRule="auto"/>
        <w:ind w:left="1420" w:right="0" w:hanging="680"/>
        <w:jc w:val="both"/>
      </w:pPr>
      <w:r>
        <w:rPr>
          <w:color w:val="000000"/>
          <w:spacing w:val="0"/>
          <w:w w:val="100"/>
          <w:position w:val="0"/>
          <w:shd w:val="clear" w:color="auto" w:fill="auto"/>
          <w:lang w:val="cs-CZ" w:eastAsia="cs-CZ" w:bidi="cs-CZ"/>
        </w:rPr>
        <w:t>Předáním kompletní dokumentace pro vydání 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2"/>
        <w:keepNext w:val="0"/>
        <w:keepLines w:val="0"/>
        <w:widowControl w:val="0"/>
        <w:numPr>
          <w:ilvl w:val="0"/>
          <w:numId w:val="13"/>
        </w:numPr>
        <w:shd w:val="clear" w:color="auto" w:fill="auto"/>
        <w:tabs>
          <w:tab w:pos="1379" w:val="left"/>
        </w:tabs>
        <w:bidi w:val="0"/>
        <w:spacing w:before="0" w:after="120" w:line="240" w:lineRule="auto"/>
        <w:ind w:left="1420" w:right="0" w:hanging="680"/>
        <w:jc w:val="both"/>
      </w:pPr>
      <w:r>
        <w:rPr>
          <w:color w:val="000000"/>
          <w:spacing w:val="0"/>
          <w:w w:val="100"/>
          <w:position w:val="0"/>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2"/>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2"/>
        <w:keepNext w:val="0"/>
        <w:keepLines w:val="0"/>
        <w:widowControl w:val="0"/>
        <w:numPr>
          <w:ilvl w:val="0"/>
          <w:numId w:val="11"/>
        </w:numPr>
        <w:shd w:val="clear" w:color="auto" w:fill="auto"/>
        <w:tabs>
          <w:tab w:pos="56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0"/>
          <w:numId w:val="11"/>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555" w:val="left"/>
        </w:tabs>
        <w:bidi w:val="0"/>
        <w:spacing w:before="0" w:after="460" w:line="240" w:lineRule="auto"/>
        <w:ind w:left="560" w:right="0" w:hanging="56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6"/>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Smluvní pokuty</w:t>
      </w:r>
      <w:bookmarkEnd w:id="12"/>
      <w:bookmarkEnd w:id="13"/>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DUSP včetně DPH uvedené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PDPS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PDPS včetně DPH uvedené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1 %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a to za každý jednotlivý případ, nejvýše však do výše </w:t>
      </w:r>
      <w:r>
        <w:rPr>
          <w:b/>
          <w:bCs/>
          <w:color w:val="000000"/>
          <w:spacing w:val="0"/>
          <w:w w:val="100"/>
          <w:position w:val="0"/>
          <w:shd w:val="clear" w:color="auto" w:fill="auto"/>
          <w:lang w:val="cs-CZ" w:eastAsia="cs-CZ" w:bidi="cs-CZ"/>
        </w:rPr>
        <w:t xml:space="preserve">20 % </w:t>
      </w:r>
      <w:r>
        <w:rPr>
          <w:color w:val="000000"/>
          <w:spacing w:val="0"/>
          <w:w w:val="100"/>
          <w:position w:val="0"/>
          <w:shd w:val="clear" w:color="auto" w:fill="auto"/>
          <w:lang w:val="cs-CZ" w:eastAsia="cs-CZ" w:bidi="cs-CZ"/>
        </w:rPr>
        <w:t xml:space="preserve">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v souhrnu za všechny takové případy. Jedním případem se rozumí i chyba ve více vzájemně provázaných položkách soupisu stavebních prací, dodávek a služeb s výkazem výměr.</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 xml:space="preserve">V případě zjištění nepravdivých nebo zkreslených údajů v žádosti zhotovitele o stavění lhůty dle </w:t>
      </w:r>
      <w:r>
        <w:rPr>
          <w:b/>
          <w:bCs/>
          <w:color w:val="000000"/>
          <w:spacing w:val="0"/>
          <w:w w:val="100"/>
          <w:position w:val="0"/>
          <w:shd w:val="clear" w:color="auto" w:fill="auto"/>
          <w:lang w:val="cs-CZ" w:eastAsia="cs-CZ" w:bidi="cs-CZ"/>
        </w:rPr>
        <w:t xml:space="preserve">odst. 3.3. </w:t>
      </w:r>
      <w:r>
        <w:rPr>
          <w:color w:val="000000"/>
          <w:spacing w:val="0"/>
          <w:w w:val="100"/>
          <w:position w:val="0"/>
          <w:shd w:val="clear" w:color="auto" w:fill="auto"/>
          <w:lang w:val="cs-CZ" w:eastAsia="cs-CZ" w:bidi="cs-CZ"/>
        </w:rPr>
        <w:t xml:space="preserve">je zhotovitel povinen uhradit objednateli smluvní pokutu ve výši </w:t>
      </w:r>
      <w:r>
        <w:rPr>
          <w:b/>
          <w:bCs/>
          <w:color w:val="000000"/>
          <w:spacing w:val="0"/>
          <w:w w:val="100"/>
          <w:position w:val="0"/>
          <w:shd w:val="clear" w:color="auto" w:fill="auto"/>
          <w:lang w:val="cs-CZ" w:eastAsia="cs-CZ" w:bidi="cs-CZ"/>
        </w:rPr>
        <w:t xml:space="preserve">10.000,-- Kč </w:t>
      </w:r>
      <w:r>
        <w:rPr>
          <w:color w:val="000000"/>
          <w:spacing w:val="0"/>
          <w:w w:val="100"/>
          <w:position w:val="0"/>
          <w:shd w:val="clear" w:color="auto" w:fill="auto"/>
          <w:lang w:val="cs-CZ" w:eastAsia="cs-CZ" w:bidi="cs-CZ"/>
        </w:rPr>
        <w:t>vč. DPH za každé zjištění. Tuto pokutu je možné ukládat opakovaně.</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5"/>
        </w:numPr>
        <w:shd w:val="clear" w:color="auto" w:fill="auto"/>
        <w:tabs>
          <w:tab w:pos="555"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Další ujednání</w:t>
      </w:r>
      <w:bookmarkEnd w:id="14"/>
      <w:bookmarkEnd w:id="15"/>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2 písm. e) zákona č. 320/2001 Sb., o finanční kontrole ve veřejné správě a o změně některých zákonů (zákon o finanční kontrole)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zákona č. 121/2000 Sb., o právu autorském, o právech souvisejících s právem autorským a o změně některých zákonů (autorský zákon)</w:t>
      </w:r>
      <w:r>
        <w:rPr>
          <w:color w:val="000000"/>
          <w:spacing w:val="0"/>
          <w:w w:val="100"/>
          <w:position w:val="0"/>
          <w:shd w:val="clear" w:color="auto" w:fill="auto"/>
          <w:lang w:val="cs-CZ" w:eastAsia="cs-CZ" w:bidi="cs-CZ"/>
        </w:rP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základě něhož byla se zhotovitelem, jakožto vybraným dodavatelem uzavřena příslušná smlouva na předmět plnění veřejné zakázky.</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2"/>
        <w:keepNext w:val="0"/>
        <w:keepLines w:val="0"/>
        <w:widowControl w:val="0"/>
        <w:numPr>
          <w:ilvl w:val="0"/>
          <w:numId w:val="17"/>
        </w:numPr>
        <w:shd w:val="clear" w:color="auto" w:fill="auto"/>
        <w:tabs>
          <w:tab w:pos="582" w:val="left"/>
        </w:tabs>
        <w:bidi w:val="0"/>
        <w:spacing w:before="0" w:after="460" w:line="240" w:lineRule="auto"/>
        <w:ind w:left="580" w:right="0" w:hanging="580"/>
        <w:jc w:val="both"/>
      </w:pPr>
      <w:r>
        <w:rPr>
          <w:b/>
          <w:bCs/>
          <w:color w:val="000000"/>
          <w:spacing w:val="0"/>
          <w:w w:val="100"/>
          <w:position w:val="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hd w:val="clear" w:color="auto" w:fill="auto"/>
          <w:lang w:val="cs-CZ" w:eastAsia="cs-CZ" w:bidi="cs-CZ"/>
        </w:rPr>
        <w:t>387.000,-- Kč</w:t>
      </w:r>
      <w:r>
        <w:rPr>
          <w:color w:val="000000"/>
          <w:spacing w:val="0"/>
          <w:w w:val="100"/>
          <w:position w:val="0"/>
          <w:shd w:val="clear" w:color="auto" w:fill="auto"/>
          <w:lang w:val="cs-CZ" w:eastAsia="cs-CZ" w:bidi="cs-CZ"/>
        </w:rPr>
        <w:t>. Za účelem prokázání splnění tohoto požadavku je zhotovitel povinen doložit objednateli do 3 pracovních dnů od doručení výzvy doklad osvědčující uzavření pojistné smlouvy v požadovaném rozsahu.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Zvláštní ujednání</w:t>
      </w:r>
      <w:bookmarkEnd w:id="16"/>
      <w:bookmarkEnd w:id="17"/>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w:t>
      </w:r>
      <w:r>
        <w:rPr>
          <w:color w:val="000000"/>
          <w:spacing w:val="0"/>
          <w:w w:val="100"/>
          <w:position w:val="0"/>
          <w:shd w:val="clear" w:color="auto" w:fill="auto"/>
          <w:lang w:val="cs-CZ" w:eastAsia="cs-CZ" w:bidi="cs-CZ"/>
        </w:rPr>
        <w:t>hospodářskou soutěž.</w:t>
      </w:r>
    </w:p>
    <w:p>
      <w:pPr>
        <w:pStyle w:val="Style2"/>
        <w:keepNext w:val="0"/>
        <w:keepLines w:val="0"/>
        <w:widowControl w:val="0"/>
        <w:numPr>
          <w:ilvl w:val="0"/>
          <w:numId w:val="19"/>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9"/>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9"/>
        </w:numPr>
        <w:shd w:val="clear" w:color="auto" w:fill="auto"/>
        <w:tabs>
          <w:tab w:pos="559"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21"/>
        </w:numPr>
        <w:shd w:val="clear" w:color="auto" w:fill="auto"/>
        <w:tabs>
          <w:tab w:pos="888" w:val="left"/>
        </w:tabs>
        <w:bidi w:val="0"/>
        <w:spacing w:before="0" w:line="240" w:lineRule="auto"/>
        <w:ind w:left="860" w:right="0" w:hanging="28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21"/>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dílo neodpovídají požadavkům objednatele stanoveným v zadávací dokumentaci; a nebo</w:t>
      </w:r>
    </w:p>
    <w:p>
      <w:pPr>
        <w:pStyle w:val="Style2"/>
        <w:keepNext w:val="0"/>
        <w:keepLines w:val="0"/>
        <w:widowControl w:val="0"/>
        <w:numPr>
          <w:ilvl w:val="0"/>
          <w:numId w:val="21"/>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1"/>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2"/>
        <w:keepNext w:val="0"/>
        <w:keepLines w:val="0"/>
        <w:widowControl w:val="0"/>
        <w:numPr>
          <w:ilvl w:val="0"/>
          <w:numId w:val="19"/>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numPr>
          <w:ilvl w:val="0"/>
          <w:numId w:val="19"/>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19"/>
        </w:numPr>
        <w:shd w:val="clear" w:color="auto" w:fill="auto"/>
        <w:tabs>
          <w:tab w:pos="559" w:val="left"/>
        </w:tabs>
        <w:bidi w:val="0"/>
        <w:spacing w:before="0" w:after="20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p>
    <w:p>
      <w:pPr>
        <w:pStyle w:val="Style2"/>
        <w:keepNext w:val="0"/>
        <w:keepLines w:val="0"/>
        <w:widowControl w:val="0"/>
        <w:numPr>
          <w:ilvl w:val="0"/>
          <w:numId w:val="23"/>
        </w:numPr>
        <w:shd w:val="clear" w:color="auto" w:fill="auto"/>
        <w:tabs>
          <w:tab w:pos="758" w:val="left"/>
        </w:tabs>
        <w:bidi w:val="0"/>
        <w:spacing w:before="0" w:after="200" w:line="240" w:lineRule="auto"/>
        <w:ind w:left="0" w:right="0" w:firstLine="44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3"/>
        </w:numPr>
        <w:shd w:val="clear" w:color="auto" w:fill="auto"/>
        <w:tabs>
          <w:tab w:pos="758" w:val="left"/>
        </w:tabs>
        <w:bidi w:val="0"/>
        <w:spacing w:before="0" w:after="200" w:line="240" w:lineRule="auto"/>
        <w:ind w:left="720" w:right="0" w:hanging="28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3"/>
        </w:numPr>
        <w:shd w:val="clear" w:color="auto" w:fill="auto"/>
        <w:tabs>
          <w:tab w:pos="758" w:val="left"/>
        </w:tabs>
        <w:bidi w:val="0"/>
        <w:spacing w:before="0" w:line="240" w:lineRule="auto"/>
        <w:ind w:left="720" w:right="0" w:hanging="28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numPr>
          <w:ilvl w:val="0"/>
          <w:numId w:val="19"/>
        </w:numPr>
        <w:shd w:val="clear" w:color="auto" w:fill="auto"/>
        <w:tabs>
          <w:tab w:pos="787"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Objednatel je oprávněn od smlouvy odstoupit v případě, kdy Zhotovitel nesplní povinnost uvedenou v odst. 9.6. a 9.7. této smlouvy.</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after="12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ujednání</w:t>
      </w:r>
      <w:bookmarkEnd w:id="18"/>
      <w:bookmarkEnd w:id="19"/>
    </w:p>
    <w:p>
      <w:pPr>
        <w:pStyle w:val="Style2"/>
        <w:keepNext w:val="0"/>
        <w:keepLines w:val="0"/>
        <w:widowControl w:val="0"/>
        <w:numPr>
          <w:ilvl w:val="0"/>
          <w:numId w:val="25"/>
        </w:numPr>
        <w:shd w:val="clear" w:color="auto" w:fill="auto"/>
        <w:tabs>
          <w:tab w:pos="558"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5"/>
        </w:numPr>
        <w:shd w:val="clear" w:color="auto" w:fill="auto"/>
        <w:tabs>
          <w:tab w:pos="558"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5"/>
        </w:numPr>
        <w:shd w:val="clear" w:color="auto" w:fill="auto"/>
        <w:tabs>
          <w:tab w:pos="558"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5"/>
        </w:numPr>
        <w:shd w:val="clear" w:color="auto" w:fill="auto"/>
        <w:tabs>
          <w:tab w:pos="558" w:val="left"/>
        </w:tabs>
        <w:bidi w:val="0"/>
        <w:spacing w:before="0" w:after="12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5"/>
        </w:numPr>
        <w:shd w:val="clear" w:color="auto" w:fill="auto"/>
        <w:tabs>
          <w:tab w:pos="558"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5"/>
        </w:numPr>
        <w:shd w:val="clear" w:color="auto" w:fill="auto"/>
        <w:tabs>
          <w:tab w:pos="558"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5"/>
        </w:numPr>
        <w:shd w:val="clear" w:color="auto" w:fill="auto"/>
        <w:tabs>
          <w:tab w:pos="558"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hd w:val="clear" w:color="auto" w:fill="auto"/>
          <w:lang w:val="cs-CZ" w:eastAsia="cs-CZ" w:bidi="cs-CZ"/>
        </w:rPr>
        <w:t>platnými Pravidly Rady Kraje Vysočina</w:t>
      </w:r>
      <w:r>
        <w:rPr>
          <w:color w:val="000000"/>
          <w:spacing w:val="0"/>
          <w:w w:val="100"/>
          <w:position w:val="0"/>
          <w:shd w:val="clear" w:color="auto" w:fill="auto"/>
          <w:lang w:val="cs-CZ" w:eastAsia="cs-CZ" w:bidi="cs-CZ"/>
        </w:rPr>
        <w:t>.</w:t>
      </w:r>
    </w:p>
    <w:p>
      <w:pPr>
        <w:pStyle w:val="Style16"/>
        <w:keepNext/>
        <w:keepLines/>
        <w:widowControl w:val="0"/>
        <w:numPr>
          <w:ilvl w:val="0"/>
          <w:numId w:val="25"/>
        </w:numPr>
        <w:shd w:val="clear" w:color="auto" w:fill="auto"/>
        <w:tabs>
          <w:tab w:pos="558" w:val="left"/>
        </w:tabs>
        <w:bidi w:val="0"/>
        <w:spacing w:before="0" w:after="120" w:line="240" w:lineRule="auto"/>
        <w:ind w:left="0" w:right="0" w:firstLine="0"/>
        <w:jc w:val="left"/>
      </w:pPr>
      <w:bookmarkStart w:id="20" w:name="bookmark20"/>
      <w:bookmarkStart w:id="21" w:name="bookmark21"/>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20"/>
      <w:bookmarkEnd w:id="21"/>
    </w:p>
    <w:p>
      <w:pPr>
        <w:pStyle w:val="Style2"/>
        <w:keepNext w:val="0"/>
        <w:keepLines w:val="0"/>
        <w:widowControl w:val="0"/>
        <w:numPr>
          <w:ilvl w:val="0"/>
          <w:numId w:val="25"/>
        </w:numPr>
        <w:shd w:val="clear" w:color="auto" w:fill="auto"/>
        <w:tabs>
          <w:tab w:pos="558"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Příloha A1 - Kalkulace a termíny plnění</w:t>
      </w:r>
    </w:p>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 xml:space="preserve">Příloha B1 - Údaje, které jsou součástí ujednání a nebudou zveřejněny v Registru smluv </w:t>
      </w: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16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1353820</wp:posOffset>
                </wp:positionH>
                <wp:positionV relativeFrom="paragraph">
                  <wp:posOffset>12700</wp:posOffset>
                </wp:positionV>
                <wp:extent cx="429895" cy="170815"/>
                <wp:wrapSquare wrapText="right"/>
                <wp:docPr id="1" name="Shape 1"/>
                <a:graphic xmlns:a="http://schemas.openxmlformats.org/drawingml/2006/main">
                  <a:graphicData uri="http://schemas.microsoft.com/office/word/2010/wordprocessingShape">
                    <wps:wsp>
                      <wps:cNvSpPr txBox="1"/>
                      <wps:spPr>
                        <a:xfrm>
                          <a:ext cx="42989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6.59999999999999pt;margin-top:1.pt;width:33.850000000000001pt;height:13.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v:textbox>
                <w10:wrap type="square" side="right" anchorx="page"/>
              </v:shape>
            </w:pict>
          </mc:Fallback>
        </mc:AlternateContent>
      </w:r>
      <w:r>
        <w:rPr>
          <w:color w:val="000000"/>
          <w:spacing w:val="0"/>
          <w:w w:val="100"/>
          <w:position w:val="0"/>
          <w:shd w:val="clear" w:color="auto" w:fill="auto"/>
          <w:lang w:val="cs-CZ" w:eastAsia="cs-CZ" w:bidi="cs-CZ"/>
        </w:rPr>
        <w:t>V Jihlavě</w:t>
      </w:r>
    </w:p>
    <w:tbl>
      <w:tblPr>
        <w:tblOverlap w:val="never"/>
        <w:jc w:val="right"/>
        <w:tblLayout w:type="fixed"/>
      </w:tblPr>
      <w:tblGrid>
        <w:gridCol w:w="2794"/>
        <w:gridCol w:w="4363"/>
      </w:tblGrid>
      <w:tr>
        <w:trPr>
          <w:trHeight w:val="350"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František Pokorný</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w:t>
            </w:r>
          </w:p>
        </w:tc>
      </w:tr>
      <w:tr>
        <w:trPr>
          <w:trHeight w:val="4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816"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cs-CZ" w:eastAsia="cs-CZ" w:bidi="cs-CZ"/>
              </w:rPr>
              <w:t>Mostní projekce s.r.o.</w:t>
            </w:r>
          </w:p>
        </w:tc>
        <w:tc>
          <w:tcPr>
            <w:tcBorders/>
            <w:shd w:val="clear" w:color="auto" w:fill="FFFFFF"/>
            <w:vAlign w:val="bottom"/>
          </w:tcPr>
          <w:p>
            <w:pPr>
              <w:pStyle w:val="Style4"/>
              <w:keepNext w:val="0"/>
              <w:keepLines w:val="0"/>
              <w:widowControl w:val="0"/>
              <w:shd w:val="clear" w:color="auto" w:fill="auto"/>
              <w:bidi w:val="0"/>
              <w:spacing w:before="0" w:after="0" w:line="480" w:lineRule="auto"/>
              <w:ind w:left="0" w:right="0" w:firstLine="0"/>
              <w:jc w:val="center"/>
            </w:pPr>
            <w:r>
              <w:rPr>
                <w:color w:val="000000"/>
                <w:spacing w:val="0"/>
                <w:w w:val="100"/>
                <w:position w:val="0"/>
                <w:shd w:val="clear" w:color="auto" w:fill="auto"/>
                <w:lang w:val="cs-CZ" w:eastAsia="cs-CZ" w:bidi="cs-CZ"/>
              </w:rPr>
              <w:t>Krajská správa a údržba silnic Vysočiny, příspěvková organizace</w:t>
            </w:r>
          </w:p>
        </w:tc>
      </w:tr>
    </w:tbl>
    <w:p>
      <w:pPr>
        <w:sectPr>
          <w:headerReference w:type="default" r:id="rId5"/>
          <w:footerReference w:type="default" r:id="rId6"/>
          <w:footnotePr>
            <w:pos w:val="pageBottom"/>
            <w:numFmt w:val="decimal"/>
            <w:numRestart w:val="continuous"/>
          </w:footnotePr>
          <w:pgSz w:w="11900" w:h="16840"/>
          <w:pgMar w:top="2358" w:left="1338" w:right="1159" w:bottom="1302" w:header="0" w:footer="3" w:gutter="0"/>
          <w:pgNumType w:start="1"/>
          <w:cols w:space="720"/>
          <w:noEndnote/>
          <w:rtlGutter w:val="0"/>
          <w:docGrid w:linePitch="360"/>
        </w:sectPr>
      </w:pPr>
    </w:p>
    <w:tbl>
      <w:tblPr>
        <w:tblOverlap w:val="never"/>
        <w:jc w:val="center"/>
        <w:tblLayout w:type="fixed"/>
      </w:tblPr>
      <w:tblGrid>
        <w:gridCol w:w="624"/>
        <w:gridCol w:w="6490"/>
        <w:gridCol w:w="2328"/>
      </w:tblGrid>
      <w:tr>
        <w:trPr>
          <w:trHeight w:val="341" w:hRule="exact"/>
        </w:trPr>
        <w:tc>
          <w:tcPr>
            <w:gridSpan w:val="3"/>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Příloha A1</w:t>
            </w:r>
          </w:p>
        </w:tc>
      </w:tr>
      <w:tr>
        <w:trPr>
          <w:trHeight w:val="446" w:hRule="exact"/>
        </w:trPr>
        <w:tc>
          <w:tcPr>
            <w:gridSpan w:val="3"/>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Kalkulace projekčních prací</w:t>
            </w:r>
          </w:p>
        </w:tc>
      </w:tr>
      <w:tr>
        <w:trPr>
          <w:trHeight w:val="470" w:hRule="exact"/>
        </w:trPr>
        <w:tc>
          <w:tcPr>
            <w:gridSpan w:val="3"/>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Název akce: "II/360 Bobrová - most ev. č. 360-035, odvodnění komunikace u domu č. p. 99"</w:t>
            </w:r>
          </w:p>
        </w:tc>
      </w:tr>
      <w:tr>
        <w:trPr>
          <w:trHeight w:val="475" w:hRule="exact"/>
        </w:trPr>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Č.</w:t>
            </w:r>
          </w:p>
        </w:tc>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Popis prací</w:t>
            </w:r>
          </w:p>
        </w:tc>
        <w:tc>
          <w:tcPr>
            <w:tcBorders>
              <w:top w:val="single" w:sz="4"/>
              <w:left w:val="single" w:sz="4"/>
              <w:righ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bez DPH</w:t>
            </w:r>
          </w:p>
        </w:tc>
      </w:tr>
      <w:tr>
        <w:trPr>
          <w:trHeight w:val="835" w:hRule="exact"/>
        </w:trPr>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Zjištění dalších potřebných podkladů od ČHMÚ</w:t>
            </w:r>
          </w:p>
        </w:tc>
        <w:tc>
          <w:tcPr>
            <w:tcBorders>
              <w:top w:val="single" w:sz="4"/>
              <w:left w:val="single" w:sz="4"/>
              <w:righ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15 000,00 Kč</w:t>
            </w:r>
          </w:p>
        </w:tc>
      </w:tr>
      <w:tr>
        <w:trPr>
          <w:trHeight w:val="835" w:hRule="exact"/>
        </w:trPr>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62" w:lineRule="auto"/>
              <w:ind w:left="0" w:right="0" w:firstLine="0"/>
              <w:jc w:val="left"/>
              <w:rPr>
                <w:sz w:val="14"/>
                <w:szCs w:val="14"/>
              </w:rPr>
            </w:pPr>
            <w:r>
              <w:rPr>
                <w:color w:val="000000"/>
                <w:spacing w:val="0"/>
                <w:w w:val="100"/>
                <w:position w:val="0"/>
                <w:sz w:val="14"/>
                <w:szCs w:val="14"/>
                <w:shd w:val="clear" w:color="auto" w:fill="auto"/>
                <w:lang w:val="cs-CZ" w:eastAsia="cs-CZ" w:bidi="cs-CZ"/>
              </w:rPr>
              <w:t>Vypracování projektové dokumentace pro společné územní a stavební povolení (DUSP) v rozsahu dle technických podmínek v zadávací dokumentaci včetně zajištění pravomocného společného územního a stavebního povolení (USP)</w:t>
            </w:r>
          </w:p>
        </w:tc>
        <w:tc>
          <w:tcPr>
            <w:tcBorders>
              <w:top w:val="single" w:sz="4"/>
              <w:left w:val="single" w:sz="4"/>
              <w:righ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195 000,00 Kč</w:t>
            </w:r>
          </w:p>
        </w:tc>
      </w:tr>
      <w:tr>
        <w:trPr>
          <w:trHeight w:val="946" w:hRule="exact"/>
        </w:trPr>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ECF0DF"/>
            <w:vAlign w:val="center"/>
          </w:tcPr>
          <w:p>
            <w:pPr>
              <w:pStyle w:val="Style4"/>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Vypracování projektové dokumentace pro provedení stavby (PDPS) v rozsahu dle technických podmínek v zadávací dokumentaci pro výběr zhotovitele</w:t>
            </w:r>
          </w:p>
        </w:tc>
        <w:tc>
          <w:tcPr>
            <w:tcBorders>
              <w:top w:val="single" w:sz="4"/>
              <w:left w:val="single" w:sz="4"/>
              <w:right w:val="single" w:sz="4"/>
            </w:tcBorders>
            <w:shd w:val="clear" w:color="auto" w:fill="ECF0DF"/>
            <w:vAlign w:val="center"/>
          </w:tcPr>
          <w:p>
            <w:pPr>
              <w:pStyle w:val="Style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110 000,00 Kč</w:t>
            </w:r>
          </w:p>
        </w:tc>
      </w:tr>
      <w:tr>
        <w:trPr>
          <w:trHeight w:val="480" w:hRule="exact"/>
        </w:trPr>
        <w:tc>
          <w:tcPr>
            <w:gridSpan w:val="2"/>
            <w:tcBorders>
              <w:top w:val="single" w:sz="4"/>
              <w:left w:val="single" w:sz="4"/>
            </w:tcBorders>
            <w:shd w:val="clear" w:color="auto" w:fill="C3D79A"/>
            <w:vAlign w:val="center"/>
          </w:tcPr>
          <w:p>
            <w:pPr>
              <w:pStyle w:val="Style4"/>
              <w:keepNext w:val="0"/>
              <w:keepLines w:val="0"/>
              <w:widowControl w:val="0"/>
              <w:shd w:val="clear" w:color="auto" w:fill="auto"/>
              <w:bidi w:val="0"/>
              <w:spacing w:before="0" w:after="0" w:line="240" w:lineRule="auto"/>
              <w:ind w:left="0" w:right="600" w:firstLine="0"/>
              <w:jc w:val="right"/>
              <w:rPr>
                <w:sz w:val="14"/>
                <w:szCs w:val="14"/>
              </w:rPr>
            </w:pPr>
            <w:r>
              <w:rPr>
                <w:b/>
                <w:bCs/>
                <w:color w:val="000000"/>
                <w:spacing w:val="0"/>
                <w:w w:val="100"/>
                <w:position w:val="0"/>
                <w:sz w:val="14"/>
                <w:szCs w:val="14"/>
                <w:shd w:val="clear" w:color="auto" w:fill="auto"/>
                <w:lang w:val="cs-CZ" w:eastAsia="cs-CZ" w:bidi="cs-CZ"/>
              </w:rPr>
              <w:t>CENA CELKEM BEZ DPH</w:t>
            </w:r>
          </w:p>
        </w:tc>
        <w:tc>
          <w:tcPr>
            <w:tcBorders>
              <w:top w:val="single" w:sz="4"/>
              <w:left w:val="single" w:sz="4"/>
              <w:right w:val="single" w:sz="4"/>
            </w:tcBorders>
            <w:shd w:val="clear" w:color="auto" w:fill="C3D79A"/>
            <w:vAlign w:val="center"/>
          </w:tcPr>
          <w:p>
            <w:pPr>
              <w:pStyle w:val="Style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320 000,00 Kč</w:t>
            </w:r>
          </w:p>
        </w:tc>
      </w:tr>
      <w:tr>
        <w:trPr>
          <w:trHeight w:val="480" w:hRule="exact"/>
        </w:trPr>
        <w:tc>
          <w:tcPr>
            <w:gridSpan w:val="2"/>
            <w:tcBorders>
              <w:top w:val="single" w:sz="4"/>
              <w:left w:val="single" w:sz="4"/>
            </w:tcBorders>
            <w:shd w:val="clear" w:color="auto" w:fill="C3D79A"/>
            <w:vAlign w:val="center"/>
          </w:tcPr>
          <w:p>
            <w:pPr>
              <w:pStyle w:val="Style4"/>
              <w:keepNext w:val="0"/>
              <w:keepLines w:val="0"/>
              <w:widowControl w:val="0"/>
              <w:shd w:val="clear" w:color="auto" w:fill="auto"/>
              <w:bidi w:val="0"/>
              <w:spacing w:before="0" w:after="0" w:line="240" w:lineRule="auto"/>
              <w:ind w:left="0" w:right="600" w:firstLine="0"/>
              <w:jc w:val="right"/>
              <w:rPr>
                <w:sz w:val="14"/>
                <w:szCs w:val="14"/>
              </w:rPr>
            </w:pPr>
            <w:r>
              <w:rPr>
                <w:b/>
                <w:bCs/>
                <w:color w:val="000000"/>
                <w:spacing w:val="0"/>
                <w:w w:val="100"/>
                <w:position w:val="0"/>
                <w:sz w:val="14"/>
                <w:szCs w:val="14"/>
                <w:shd w:val="clear" w:color="auto" w:fill="auto"/>
                <w:lang w:val="cs-CZ" w:eastAsia="cs-CZ" w:bidi="cs-CZ"/>
              </w:rPr>
              <w:t>DPH 21 %</w:t>
            </w:r>
          </w:p>
        </w:tc>
        <w:tc>
          <w:tcPr>
            <w:tcBorders>
              <w:top w:val="single" w:sz="4"/>
              <w:left w:val="single" w:sz="4"/>
              <w:right w:val="single" w:sz="4"/>
            </w:tcBorders>
            <w:shd w:val="clear" w:color="auto" w:fill="C3D79A"/>
            <w:vAlign w:val="center"/>
          </w:tcPr>
          <w:p>
            <w:pPr>
              <w:pStyle w:val="Style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67 200,00 Kč</w:t>
            </w:r>
          </w:p>
        </w:tc>
      </w:tr>
      <w:tr>
        <w:trPr>
          <w:trHeight w:val="499" w:hRule="exact"/>
        </w:trPr>
        <w:tc>
          <w:tcPr>
            <w:gridSpan w:val="2"/>
            <w:tcBorders>
              <w:top w:val="single" w:sz="4"/>
              <w:left w:val="single" w:sz="4"/>
              <w:bottom w:val="single" w:sz="4"/>
            </w:tcBorders>
            <w:shd w:val="clear" w:color="auto" w:fill="C3D79A"/>
            <w:vAlign w:val="center"/>
          </w:tcPr>
          <w:p>
            <w:pPr>
              <w:pStyle w:val="Style4"/>
              <w:keepNext w:val="0"/>
              <w:keepLines w:val="0"/>
              <w:widowControl w:val="0"/>
              <w:shd w:val="clear" w:color="auto" w:fill="auto"/>
              <w:bidi w:val="0"/>
              <w:spacing w:before="0" w:after="0" w:line="240" w:lineRule="auto"/>
              <w:ind w:left="0" w:right="600" w:firstLine="0"/>
              <w:jc w:val="right"/>
              <w:rPr>
                <w:sz w:val="14"/>
                <w:szCs w:val="14"/>
              </w:rPr>
            </w:pPr>
            <w:r>
              <w:rPr>
                <w:b/>
                <w:bCs/>
                <w:color w:val="000000"/>
                <w:spacing w:val="0"/>
                <w:w w:val="100"/>
                <w:position w:val="0"/>
                <w:sz w:val="14"/>
                <w:szCs w:val="14"/>
                <w:shd w:val="clear" w:color="auto" w:fill="auto"/>
                <w:lang w:val="cs-CZ" w:eastAsia="cs-CZ" w:bidi="cs-CZ"/>
              </w:rPr>
              <w:t>CENA CELKEM VČETNĚ DPH</w:t>
            </w:r>
          </w:p>
        </w:tc>
        <w:tc>
          <w:tcPr>
            <w:tcBorders>
              <w:top w:val="single" w:sz="4"/>
              <w:left w:val="single" w:sz="4"/>
              <w:bottom w:val="single" w:sz="4"/>
              <w:right w:val="single" w:sz="4"/>
            </w:tcBorders>
            <w:shd w:val="clear" w:color="auto" w:fill="C3D79A"/>
            <w:vAlign w:val="center"/>
          </w:tcPr>
          <w:p>
            <w:pPr>
              <w:pStyle w:val="Style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387 200,00 Kč</w:t>
            </w:r>
          </w:p>
        </w:tc>
      </w:tr>
    </w:tbl>
    <w:p>
      <w:pPr>
        <w:sectPr>
          <w:headerReference w:type="default" r:id="rId7"/>
          <w:footerReference w:type="default" r:id="rId8"/>
          <w:footnotePr>
            <w:pos w:val="pageBottom"/>
            <w:numFmt w:val="decimal"/>
            <w:numRestart w:val="continuous"/>
          </w:footnotePr>
          <w:pgSz w:w="11900" w:h="16840"/>
          <w:pgMar w:top="1136" w:left="1002" w:right="1457" w:bottom="1136" w:header="708" w:footer="708" w:gutter="0"/>
          <w:cols w:space="720"/>
          <w:noEndnote/>
          <w:rtlGutter w:val="0"/>
          <w:docGrid w:linePitch="360"/>
        </w:sectPr>
      </w:pPr>
    </w:p>
    <w:p>
      <w:pPr>
        <w:pStyle w:val="Style2"/>
        <w:keepNext w:val="0"/>
        <w:keepLines w:val="0"/>
        <w:widowControl w:val="0"/>
        <w:shd w:val="clear" w:color="auto" w:fill="auto"/>
        <w:bidi w:val="0"/>
        <w:spacing w:before="0" w:after="680" w:line="240" w:lineRule="auto"/>
        <w:ind w:left="0" w:right="0" w:firstLine="0"/>
        <w:jc w:val="left"/>
      </w:pPr>
      <w:r>
        <w:rPr>
          <w:b/>
          <w:bCs/>
          <w:color w:val="000000"/>
          <w:spacing w:val="0"/>
          <w:w w:val="100"/>
          <w:position w:val="0"/>
          <w:shd w:val="clear" w:color="auto" w:fill="auto"/>
          <w:lang w:val="cs-CZ" w:eastAsia="cs-CZ" w:bidi="cs-CZ"/>
        </w:rPr>
        <w:t>Příloha A1</w:t>
      </w:r>
    </w:p>
    <w:p>
      <w:pPr>
        <w:pStyle w:val="Style16"/>
        <w:keepNext/>
        <w:keepLines/>
        <w:widowControl w:val="0"/>
        <w:shd w:val="clear" w:color="auto" w:fill="auto"/>
        <w:bidi w:val="0"/>
        <w:spacing w:before="0" w:after="22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Lhůty plnění :</w:t>
      </w:r>
      <w:bookmarkEnd w:id="22"/>
      <w:bookmarkEnd w:id="23"/>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realizace: ihned po nabytí účinnosti smlouvy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Dokumentace DUSP (koncept) : do 150 dnů od nabytí účinnosti smlouvy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Dokumentace DUSP (čistopis, včetně IČ a projednání s DOSS, odsouhlasený objednatelem) : do 90 dnů od předání konceptu DUSP</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Podání žádosti o společné územní a stavební povolení : do 15 dnů od dokončení IČ</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393" w:left="1378" w:right="1584" w:bottom="1393" w:header="965" w:footer="965" w:gutter="0"/>
          <w:cols w:space="720"/>
          <w:noEndnote/>
          <w:rtlGutter w:val="0"/>
          <w:docGrid w:linePitch="360"/>
        </w:sectPr>
      </w:pPr>
      <w:r>
        <w:rPr>
          <w:color w:val="000000"/>
          <w:spacing w:val="0"/>
          <w:w w:val="100"/>
          <w:position w:val="0"/>
          <w:shd w:val="clear" w:color="auto" w:fill="auto"/>
          <w:lang w:val="cs-CZ" w:eastAsia="cs-CZ" w:bidi="cs-CZ"/>
        </w:rPr>
        <w:t>Dokumentace PDPS (čistopis, včetně zapracování případných připomínek ze stavebního řízení a včetně soupisů prací, odsouhlasený objednatelem) do 30 dnů od vydání ÚSP</w:t>
      </w:r>
    </w:p>
    <w:p>
      <w:pPr>
        <w:pStyle w:val="Style2"/>
        <w:keepNext w:val="0"/>
        <w:keepLines w:val="0"/>
        <w:widowControl w:val="0"/>
        <w:shd w:val="clear" w:color="auto" w:fill="auto"/>
        <w:bidi w:val="0"/>
        <w:spacing w:before="0" w:after="460" w:line="240" w:lineRule="auto"/>
        <w:ind w:left="8100" w:right="0" w:firstLine="0"/>
        <w:jc w:val="left"/>
      </w:pPr>
      <w:r>
        <w:rPr>
          <w:b/>
          <w:bCs/>
          <w:color w:val="000000"/>
          <w:spacing w:val="0"/>
          <w:w w:val="100"/>
          <w:position w:val="0"/>
          <w:shd w:val="clear" w:color="auto" w:fill="auto"/>
          <w:lang w:val="cs-CZ" w:eastAsia="cs-CZ" w:bidi="cs-CZ"/>
        </w:rPr>
        <w:t>Příloha B1</w:t>
      </w:r>
    </w:p>
    <w:p>
      <w:pPr>
        <w:pStyle w:val="Style2"/>
        <w:keepNext w:val="0"/>
        <w:keepLines w:val="0"/>
        <w:widowControl w:val="0"/>
        <w:shd w:val="clear" w:color="auto" w:fill="auto"/>
        <w:bidi w:val="0"/>
        <w:spacing w:before="0" w:after="460" w:line="240" w:lineRule="auto"/>
        <w:ind w:left="0" w:right="0" w:firstLine="940"/>
        <w:jc w:val="left"/>
      </w:pPr>
      <w:r>
        <w:rPr>
          <w:b/>
          <w:bCs/>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940" w:line="240" w:lineRule="auto"/>
        <w:ind w:left="0" w:right="0" w:firstLine="0"/>
        <w:jc w:val="left"/>
      </w:pPr>
      <w:r>
        <w:rPr>
          <w:color w:val="000000"/>
          <w:spacing w:val="0"/>
          <w:w w:val="100"/>
          <w:position w:val="0"/>
          <w:u w:val="single"/>
          <w:shd w:val="clear" w:color="auto" w:fill="auto"/>
          <w:lang w:val="cs-CZ" w:eastAsia="cs-CZ" w:bidi="cs-CZ"/>
        </w:rPr>
        <w:t>Osoby pověřené jednat jménem objednatele ve věcech technických a k převzetí projektové dokumentace:</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Mostní projekce s.r.o.</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u w:val="single"/>
          <w:shd w:val="clear" w:color="auto" w:fill="auto"/>
          <w:lang w:val="cs-CZ" w:eastAsia="cs-CZ" w:bidi="cs-CZ"/>
        </w:rPr>
        <w:t>Osoby pověřené jednat jménem zhotovitele:</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 xml:space="preserve">Zástupci zhotovitele </w:t>
      </w:r>
      <w:r>
        <w:rPr>
          <w:b/>
          <w:bCs/>
          <w:color w:val="000000"/>
          <w:spacing w:val="0"/>
          <w:w w:val="100"/>
          <w:position w:val="0"/>
          <w:shd w:val="clear" w:color="auto" w:fill="auto"/>
          <w:lang w:val="cs-CZ" w:eastAsia="cs-CZ" w:bidi="cs-CZ"/>
        </w:rPr>
        <w:t>ve věcech technických</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 xml:space="preserve">Zástupce zhotovitele, který </w:t>
      </w:r>
      <w:r>
        <w:rPr>
          <w:b/>
          <w:bCs/>
          <w:color w:val="000000"/>
          <w:spacing w:val="0"/>
          <w:w w:val="100"/>
          <w:position w:val="0"/>
          <w:shd w:val="clear" w:color="auto" w:fill="auto"/>
          <w:lang w:val="cs-CZ" w:eastAsia="cs-CZ" w:bidi="cs-CZ"/>
        </w:rPr>
        <w:t xml:space="preserve">vypracuje projektovou dokumentaci a je autorizovanou osobou </w:t>
      </w:r>
      <w:r>
        <w:rPr>
          <w:color w:val="000000"/>
          <w:spacing w:val="0"/>
          <w:w w:val="100"/>
          <w:position w:val="0"/>
          <w:shd w:val="clear" w:color="auto" w:fill="auto"/>
          <w:lang w:val="cs-CZ" w:eastAsia="cs-CZ" w:bidi="cs-CZ"/>
        </w:rPr>
        <w:t>:</w:t>
      </w:r>
    </w:p>
    <w:sectPr>
      <w:footnotePr>
        <w:pos w:val="pageBottom"/>
        <w:numFmt w:val="decimal"/>
        <w:numRestart w:val="continuous"/>
      </w:footnotePr>
      <w:pgSz w:w="11900" w:h="16840"/>
      <w:pgMar w:top="1393" w:left="1378" w:right="1584" w:bottom="1393" w:header="965" w:footer="96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3458845</wp:posOffset>
              </wp:positionH>
              <wp:positionV relativeFrom="page">
                <wp:posOffset>10214610</wp:posOffset>
              </wp:positionV>
              <wp:extent cx="667385" cy="109855"/>
              <wp:wrapNone/>
              <wp:docPr id="7" name="Shape 7"/>
              <a:graphic xmlns:a="http://schemas.openxmlformats.org/drawingml/2006/main">
                <a:graphicData uri="http://schemas.microsoft.com/office/word/2010/wordprocessingShape">
                  <wps:wsp>
                    <wps:cNvSpPr txBox="1"/>
                    <wps:spPr>
                      <a:xfrm>
                        <a:ext cx="66738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wps:txbx>
                    <wps:bodyPr wrap="none" lIns="0" tIns="0" rIns="0" bIns="0">
                      <a:spAutoFit/>
                    </wps:bodyPr>
                  </wps:wsp>
                </a:graphicData>
              </a:graphic>
            </wp:anchor>
          </w:drawing>
        </mc:Choice>
        <mc:Fallback>
          <w:pict>
            <v:shape id="_x0000_s1033" type="#_x0000_t202" style="position:absolute;margin-left:272.35000000000002pt;margin-top:804.29999999999995pt;width:52.549999999999997pt;height:8.6500000000000004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892175</wp:posOffset>
              </wp:positionH>
              <wp:positionV relativeFrom="page">
                <wp:posOffset>10170160</wp:posOffset>
              </wp:positionV>
              <wp:extent cx="5891530" cy="0"/>
              <wp:wrapNone/>
              <wp:docPr id="9" name="Shape 9"/>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70.25pt;margin-top:800.79999999999995pt;width:463.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910590</wp:posOffset>
              </wp:positionH>
              <wp:positionV relativeFrom="page">
                <wp:posOffset>610235</wp:posOffset>
              </wp:positionV>
              <wp:extent cx="1984375" cy="365760"/>
              <wp:wrapNone/>
              <wp:docPr id="3" name="Shape 3"/>
              <a:graphic xmlns:a="http://schemas.openxmlformats.org/drawingml/2006/main">
                <a:graphicData uri="http://schemas.microsoft.com/office/word/2010/wordprocessingShape">
                  <wps:wsp>
                    <wps:cNvSpPr txBox="1"/>
                    <wps:spPr>
                      <a:xfrm>
                        <a:ext cx="1984375" cy="3657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Vypracování projektové dokumentace II/360</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Bobrová - most ev.č. 360-035, odvodnění</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komunikace u domu č. p. 99</w:t>
                          </w:r>
                        </w:p>
                      </w:txbxContent>
                    </wps:txbx>
                    <wps:bodyPr wrap="none" lIns="0" tIns="0" rIns="0" bIns="0">
                      <a:spAutoFit/>
                    </wps:bodyPr>
                  </wps:wsp>
                </a:graphicData>
              </a:graphic>
            </wp:anchor>
          </w:drawing>
        </mc:Choice>
        <mc:Fallback>
          <w:pict>
            <v:shape id="_x0000_s1029" type="#_x0000_t202" style="position:absolute;margin-left:71.700000000000003pt;margin-top:48.049999999999997pt;width:156.25pt;height:28.800000000000001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Vypracování projektové dokumentace II/360</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Bobrová - most ev.č. 360-035, odvodnění</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komunikace u domu č. p. 99</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4653280</wp:posOffset>
              </wp:positionH>
              <wp:positionV relativeFrom="page">
                <wp:posOffset>659130</wp:posOffset>
              </wp:positionV>
              <wp:extent cx="2026920" cy="259080"/>
              <wp:wrapNone/>
              <wp:docPr id="5" name="Shape 5"/>
              <a:graphic xmlns:a="http://schemas.openxmlformats.org/drawingml/2006/main">
                <a:graphicData uri="http://schemas.microsoft.com/office/word/2010/wordprocessingShape">
                  <wps:wsp>
                    <wps:cNvSpPr txBox="1"/>
                    <wps:spPr>
                      <a:xfrm>
                        <a:ext cx="2026920" cy="2590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objednatele: ZMR-SL-42-2022</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1" type="#_x0000_t202" style="position:absolute;margin-left:366.39999999999998pt;margin-top:51.899999999999999pt;width:159.59999999999999pt;height:20.399999999999999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objednatele: ZMR-SL-42-2022</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6.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
    <w:name w:val="Jiné"/>
    <w:basedOn w:val="Normal"/>
    <w:link w:val="CharStyle5"/>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Titulek tabulky"/>
    <w:basedOn w:val="Normal"/>
    <w:link w:val="CharStyle14"/>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6">
    <w:name w:val="Nadpis #1"/>
    <w:basedOn w:val="Normal"/>
    <w:link w:val="CharStyle17"/>
    <w:pPr>
      <w:widowControl w:val="0"/>
      <w:shd w:val="clear" w:color="auto" w:fill="FFFFFF"/>
      <w:spacing w:after="100"/>
      <w:jc w:val="center"/>
      <w:outlineLvl w:val="0"/>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