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9214" w:leader="none"/>
          <w:tab w:val="left" w:pos="9356" w:leader="none"/>
          <w:tab w:val="left" w:pos="10065" w:leader="none"/>
        </w:tabs>
        <w:ind w:right="423" w:hanging="0"/>
        <w:jc w:val="center"/>
        <w:rPr>
          <w:b/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>
      <w:pPr>
        <w:pStyle w:val="Normal"/>
        <w:tabs>
          <w:tab w:val="left" w:pos="9214" w:leader="none"/>
          <w:tab w:val="left" w:pos="9356" w:leader="none"/>
          <w:tab w:val="left" w:pos="10065" w:leader="none"/>
        </w:tabs>
        <w:ind w:right="423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>
      <w:pPr>
        <w:pStyle w:val="Normal"/>
        <w:tabs>
          <w:tab w:val="left" w:pos="9214" w:leader="none"/>
          <w:tab w:val="left" w:pos="9356" w:leader="none"/>
          <w:tab w:val="left" w:pos="10065" w:leader="none"/>
        </w:tabs>
        <w:ind w:right="423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>
      <w:pPr>
        <w:pStyle w:val="Normal"/>
        <w:tabs>
          <w:tab w:val="left" w:pos="9214" w:leader="none"/>
          <w:tab w:val="left" w:pos="9356" w:leader="none"/>
          <w:tab w:val="left" w:pos="10065" w:leader="none"/>
        </w:tabs>
        <w:ind w:right="423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ú.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Sídlo:</w:t>
        <w:tab/>
        <w:tab/>
        <w:t>Španělská 1073/10, Vinohrady, 120 00 Praha 2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  <w:tab/>
        <w:tab/>
        <w:t>26548526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  <w:tab/>
        <w:t>Rejstřík ústavů vedený Městským soudem v Praze, sp. zn. U 920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>
      <w:pPr>
        <w:pStyle w:val="Normal"/>
        <w:widowControl w:val="false"/>
        <w:tabs>
          <w:tab w:val="left" w:pos="204" w:leader="none"/>
        </w:tabs>
        <w:rPr/>
      </w:pPr>
      <w:r>
        <w:rPr>
          <w:sz w:val="22"/>
          <w:szCs w:val="22"/>
        </w:rPr>
        <w:t xml:space="preserve">Zastoupený: </w:t>
        <w:tab/>
        <w:t>Jitkou Andrysovou, vedoucí vzdělávání Paměti národa Střední Morava, na základě plné moci</w:t>
      </w:r>
      <w:r>
        <w:rPr>
          <w:b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Post Bellum</w:t>
      </w:r>
      <w:r>
        <w:rPr>
          <w:sz w:val="22"/>
          <w:szCs w:val="22"/>
        </w:rPr>
        <w:t>“)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Název školy:</w:t>
        <w:tab/>
        <w:t xml:space="preserve">Základní škola </w:t>
      </w:r>
      <w:r>
        <w:rPr>
          <w:sz w:val="22"/>
          <w:szCs w:val="22"/>
        </w:rPr>
        <w:t xml:space="preserve">Jeseník, p.  o.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Sídlo: </w:t>
        <w:tab/>
        <w:tab/>
      </w:r>
      <w:r>
        <w:rPr>
          <w:sz w:val="22"/>
          <w:szCs w:val="22"/>
        </w:rPr>
        <w:t>Nábřežní 28/413, 790 01 Jeseník</w:t>
      </w:r>
    </w:p>
    <w:p>
      <w:pPr>
        <w:pStyle w:val="Normal"/>
        <w:jc w:val="both"/>
        <w:rPr/>
      </w:pPr>
      <w:r>
        <w:rPr>
          <w:sz w:val="22"/>
          <w:szCs w:val="22"/>
        </w:rPr>
        <w:t>IČ:</w:t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  <w:t>70599921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>Zastoupená:</w:t>
        <w:tab/>
      </w:r>
      <w:bookmarkStart w:id="0" w:name="__DdeLink__246_827479676"/>
      <w:bookmarkEnd w:id="0"/>
      <w:r>
        <w:rPr>
          <w:sz w:val="22"/>
          <w:szCs w:val="22"/>
        </w:rPr>
        <w:t xml:space="preserve">Mgr. </w:t>
      </w:r>
      <w:r>
        <w:rPr>
          <w:sz w:val="22"/>
          <w:szCs w:val="22"/>
        </w:rPr>
        <w:t>Dominik Liberda</w:t>
      </w:r>
      <w:r>
        <w:rPr>
          <w:sz w:val="22"/>
          <w:szCs w:val="22"/>
        </w:rPr>
        <w:t>, ředitel školy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(Post Bellum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>
      <w:pPr>
        <w:pStyle w:val="Normal"/>
        <w:numPr>
          <w:ilvl w:val="0"/>
          <w:numId w:val="3"/>
        </w:numPr>
        <w:spacing w:before="0"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Bellum je veřejně prospěšnou právnickou osobou, jejímž posláním je zejména dokumentace vzpomínek pamětníků historických fenoménů a rozšiřování povědomí veřejnosti o příbězích, svědectvích a hodnotách předešlých generací. Účelem Post Bellum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>
      <w:pPr>
        <w:pStyle w:val="Normal"/>
        <w:numPr>
          <w:ilvl w:val="0"/>
          <w:numId w:val="3"/>
        </w:numPr>
        <w:spacing w:before="0"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 Bellum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>
      <w:pPr>
        <w:pStyle w:val="Normal"/>
        <w:numPr>
          <w:ilvl w:val="0"/>
          <w:numId w:val="3"/>
        </w:numPr>
        <w:spacing w:before="0"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partner má zájem, aby se do sběru vzpomínek pamětníků zapojili i jeho žáci, a dále aby se s těmito příběhy seznámila veřejnost, a docházelo tak k budování pocitu sounáležitosti lidí různých generací s místem, kde žijí; a</w:t>
      </w:r>
    </w:p>
    <w:p>
      <w:pPr>
        <w:pStyle w:val="Normal"/>
        <w:numPr>
          <w:ilvl w:val="0"/>
          <w:numId w:val="3"/>
        </w:numPr>
        <w:spacing w:before="0"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partner a Post Bellum projevili společný zájem navázat aktivní spolupráci na níže specifikovaném projektu a smluvně upravit svá vzájemná práva a povinnosti;</w:t>
      </w:r>
    </w:p>
    <w:p>
      <w:pPr>
        <w:pStyle w:val="Normal"/>
        <w:spacing w:before="0" w:after="18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>
      <w:pPr>
        <w:pStyle w:val="Nadpis1"/>
        <w:widowControl/>
        <w:numPr>
          <w:ilvl w:val="0"/>
          <w:numId w:val="2"/>
        </w:numPr>
        <w:rPr/>
      </w:pPr>
      <w:r>
        <w:rPr/>
        <w:t>Předmět smlouvy</w:t>
      </w:r>
    </w:p>
    <w:p>
      <w:pPr>
        <w:pStyle w:val="Nadpis2"/>
        <w:numPr>
          <w:ilvl w:val="1"/>
          <w:numId w:val="2"/>
        </w:numPr>
        <w:rPr/>
      </w:pPr>
      <w:r>
        <w:rPr>
          <w:rFonts w:eastAsia="Times New Roman" w:cs="Times New Roman"/>
          <w:szCs w:val="22"/>
        </w:rPr>
        <w:t xml:space="preserve">Předmětem této smlouvy je stanovení vzájemných práv a povinností smluvních stran při spolupráci na projektu </w:t>
      </w:r>
      <w:r>
        <w:rPr>
          <w:rFonts w:eastAsia="Times New Roman" w:cs="Times New Roman"/>
          <w:b/>
          <w:szCs w:val="22"/>
        </w:rPr>
        <w:t>Příběhy našich sousedů</w:t>
      </w:r>
      <w:r>
        <w:rPr>
          <w:rFonts w:eastAsia="Times New Roman" w:cs="Times New Roman"/>
          <w:szCs w:val="22"/>
        </w:rPr>
        <w:t xml:space="preserve"> (dále jen „</w:t>
      </w:r>
      <w:r>
        <w:rPr>
          <w:rFonts w:eastAsia="Times New Roman" w:cs="Times New Roman"/>
          <w:b/>
          <w:szCs w:val="22"/>
        </w:rPr>
        <w:t>projekt</w:t>
      </w:r>
      <w:r>
        <w:rPr>
          <w:rFonts w:eastAsia="Times New Roman" w:cs="Times New Roman"/>
          <w:szCs w:val="22"/>
        </w:rPr>
        <w:t>“), k jehož společné</w:t>
      </w:r>
      <w:r>
        <w:rPr>
          <w:rFonts w:eastAsia="Times New Roman" w:cs="Times New Roman"/>
          <w:b/>
          <w:szCs w:val="22"/>
        </w:rPr>
        <w:t xml:space="preserve"> </w:t>
      </w:r>
      <w:r>
        <w:rPr>
          <w:rFonts w:eastAsia="Times New Roman" w:cs="Times New Roman"/>
          <w:szCs w:val="22"/>
        </w:rPr>
        <w:t>realizaci se smluvní strany tímto výslovně zavazují.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Projekt bude řízen a koordinován ze strany Post Bellum a bude se sestávat zejména z následujících částí: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sestavení </w:t>
      </w:r>
      <w:r>
        <w:rPr>
          <w:rFonts w:eastAsia="Times New Roman" w:cs="Times New Roman"/>
          <w:szCs w:val="22"/>
        </w:rPr>
        <w:t xml:space="preserve">dvou </w:t>
      </w:r>
      <w:r>
        <w:rPr>
          <w:rFonts w:eastAsia="Times New Roman" w:cs="Times New Roman"/>
          <w:szCs w:val="22"/>
        </w:rPr>
        <w:t>žákovských dokumentaristických týmů pod vedením jejich pedagogů;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školení pedagogů, vytipování vhodných pamětníků, setkání s dokumentaristickými týmy;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 xml:space="preserve">natočení </w:t>
      </w:r>
      <w:r>
        <w:rPr>
          <w:rFonts w:eastAsia="Times New Roman" w:cs="Times New Roman"/>
          <w:szCs w:val="22"/>
        </w:rPr>
        <w:t>dvou pamětníků</w:t>
      </w:r>
      <w:r>
        <w:rPr>
          <w:rFonts w:eastAsia="Times New Roman" w:cs="Times New Roman"/>
          <w:szCs w:val="22"/>
        </w:rPr>
        <w:t xml:space="preserve"> žákovským</w:t>
      </w:r>
      <w:r>
        <w:rPr>
          <w:rFonts w:eastAsia="Times New Roman" w:cs="Times New Roman"/>
          <w:szCs w:val="22"/>
        </w:rPr>
        <w:t>i</w:t>
      </w:r>
      <w:r>
        <w:rPr>
          <w:rFonts w:eastAsia="Times New Roman" w:cs="Times New Roman"/>
          <w:szCs w:val="22"/>
        </w:rPr>
        <w:t xml:space="preserve"> dokumentaristický</w:t>
      </w:r>
      <w:r>
        <w:rPr>
          <w:rFonts w:eastAsia="Times New Roman" w:cs="Times New Roman"/>
          <w:szCs w:val="22"/>
        </w:rPr>
        <w:t>mi týmy</w:t>
      </w:r>
      <w:r>
        <w:rPr>
          <w:rFonts w:eastAsia="Times New Roman" w:cs="Times New Roman"/>
          <w:szCs w:val="22"/>
        </w:rPr>
        <w:t>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/>
        <w:t>pořádání</w:t>
      </w:r>
      <w:r>
        <w:rPr>
          <w:rFonts w:eastAsia="Times New Roman" w:cs="Times New Roman"/>
          <w:szCs w:val="22"/>
        </w:rPr>
        <w:t xml:space="preserve"> workshopů pro zapojené účastníky (</w:t>
      </w:r>
      <w:r>
        <w:rPr/>
        <w:t>ú</w:t>
      </w:r>
      <w:r>
        <w:rPr>
          <w:rFonts w:eastAsia="Times New Roman" w:cs="Times New Roman"/>
          <w:szCs w:val="22"/>
        </w:rPr>
        <w:t>častníci si fakultativně vybírají z těchto workshopů: audio workshop, video workshop</w:t>
      </w:r>
      <w:r>
        <w:rPr/>
        <w:t>, komiksový workshop, workshop animace</w:t>
      </w:r>
      <w:r>
        <w:rPr>
          <w:rFonts w:eastAsia="Times New Roman" w:cs="Times New Roman"/>
          <w:szCs w:val="22"/>
        </w:rPr>
        <w:t>);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Cs w:val="22"/>
        </w:rPr>
        <w:t xml:space="preserve"> 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>uložení výsledků práce žákovských týmů na </w:t>
      </w:r>
      <w:hyperlink r:id="rId2">
        <w:r>
          <w:rPr>
            <w:rStyle w:val="ListLabel28"/>
            <w:rFonts w:eastAsia="Times New Roman" w:cs="Times New Roman"/>
            <w:szCs w:val="22"/>
            <w:u w:val="single"/>
          </w:rPr>
          <w:t>www.pribehynasichsousedu.cz</w:t>
        </w:r>
      </w:hyperlink>
      <w:r>
        <w:rPr>
          <w:rFonts w:eastAsia="Times New Roman" w:cs="Times New Roman"/>
          <w:szCs w:val="22"/>
        </w:rPr>
        <w:t>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uspořádání slavnostní veřejné závěrečné prezentace výstupů projektu naživo nebo v online prostoru;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 xml:space="preserve">zpracování a editace vybraných pamětnických vyprávění natočených žákovskými týmy pro portál Paměť národa a jejich publikace na </w:t>
      </w:r>
      <w:hyperlink r:id="rId3">
        <w:r>
          <w:rPr>
            <w:rStyle w:val="ListLabel29"/>
            <w:color w:val="0000FF"/>
            <w:u w:val="single"/>
          </w:rPr>
          <w:t>www.pametnaroda.cz</w:t>
        </w:r>
      </w:hyperlink>
      <w:r>
        <w:rPr>
          <w:rFonts w:eastAsia="Times New Roman" w:cs="Times New Roman"/>
          <w:szCs w:val="22"/>
        </w:rPr>
        <w:t>; a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aktivní propagace projektu. </w:t>
      </w:r>
    </w:p>
    <w:p>
      <w:pPr>
        <w:pStyle w:val="Nadpis2"/>
        <w:numPr>
          <w:ilvl w:val="1"/>
          <w:numId w:val="2"/>
        </w:numPr>
        <w:rPr/>
      </w:pPr>
      <w:r>
        <w:rPr>
          <w:rFonts w:eastAsia="Times New Roman" w:cs="Times New Roman"/>
          <w:szCs w:val="22"/>
        </w:rPr>
        <w:t>Projekt, včetně všech přípravných prací, bude realizován od 1. září 2022, a to nejdéle po dobu jednoho roku, nedohodnou-li se smluvní strany jinak.</w:t>
      </w:r>
    </w:p>
    <w:p>
      <w:pPr>
        <w:pStyle w:val="Nadpis1"/>
        <w:widowControl/>
        <w:numPr>
          <w:ilvl w:val="0"/>
          <w:numId w:val="2"/>
        </w:numPr>
        <w:rPr>
          <w:rFonts w:eastAsia="Times New Roman" w:cs="Times New Roman"/>
          <w:b w:val="false"/>
          <w:b w:val="false"/>
          <w:sz w:val="22"/>
          <w:szCs w:val="22"/>
        </w:rPr>
      </w:pPr>
      <w:r>
        <w:rPr>
          <w:rFonts w:eastAsia="Times New Roman" w:cs="Times New Roman"/>
          <w:sz w:val="24"/>
          <w:szCs w:val="24"/>
        </w:rPr>
        <w:t>Povinnosti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4"/>
          <w:szCs w:val="24"/>
        </w:rPr>
        <w:t>Post Bellum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Post Bellum se tímto zavazuje, že v rámci projektu zajistí: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sestavení </w:t>
      </w:r>
      <w:r>
        <w:rPr>
          <w:rFonts w:eastAsia="Times New Roman" w:cs="Times New Roman"/>
          <w:szCs w:val="22"/>
        </w:rPr>
        <w:t xml:space="preserve">dvou </w:t>
      </w:r>
      <w:r>
        <w:rPr>
          <w:rFonts w:eastAsia="Times New Roman" w:cs="Times New Roman"/>
          <w:szCs w:val="22"/>
        </w:rPr>
        <w:t>žákovských dokumentaristických týmů pod vedením jejich pedagogů;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školení pedagogů, vytipování vhodných pamětníků, setkání s dokumentaristickými týmy;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 xml:space="preserve">natočení </w:t>
      </w:r>
      <w:r>
        <w:rPr>
          <w:rFonts w:eastAsia="Times New Roman" w:cs="Times New Roman"/>
          <w:szCs w:val="22"/>
        </w:rPr>
        <w:t>dvou</w:t>
      </w:r>
      <w:r>
        <w:rPr>
          <w:rFonts w:eastAsia="Times New Roman" w:cs="Times New Roman"/>
          <w:szCs w:val="22"/>
        </w:rPr>
        <w:t xml:space="preserve"> pamětník</w:t>
      </w:r>
      <w:r>
        <w:rPr>
          <w:rFonts w:eastAsia="Times New Roman" w:cs="Times New Roman"/>
          <w:szCs w:val="22"/>
        </w:rPr>
        <w:t>ů</w:t>
      </w:r>
      <w:r>
        <w:rPr>
          <w:rFonts w:eastAsia="Times New Roman" w:cs="Times New Roman"/>
          <w:szCs w:val="22"/>
        </w:rPr>
        <w:t xml:space="preserve"> žákovským</w:t>
      </w:r>
      <w:r>
        <w:rPr>
          <w:rFonts w:eastAsia="Times New Roman" w:cs="Times New Roman"/>
          <w:szCs w:val="22"/>
        </w:rPr>
        <w:t xml:space="preserve">i </w:t>
      </w:r>
      <w:r>
        <w:rPr>
          <w:rFonts w:eastAsia="Times New Roman" w:cs="Times New Roman"/>
          <w:szCs w:val="22"/>
        </w:rPr>
        <w:t>dokumentaristickým</w:t>
      </w:r>
      <w:r>
        <w:rPr>
          <w:rFonts w:eastAsia="Times New Roman" w:cs="Times New Roman"/>
          <w:szCs w:val="22"/>
        </w:rPr>
        <w:t>i</w:t>
      </w:r>
      <w:r>
        <w:rPr>
          <w:rFonts w:eastAsia="Times New Roman" w:cs="Times New Roman"/>
          <w:szCs w:val="22"/>
        </w:rPr>
        <w:t xml:space="preserve"> tým</w:t>
      </w:r>
      <w:r>
        <w:rPr>
          <w:rFonts w:eastAsia="Times New Roman" w:cs="Times New Roman"/>
          <w:szCs w:val="22"/>
        </w:rPr>
        <w:t>y</w:t>
      </w:r>
      <w:r>
        <w:rPr>
          <w:rFonts w:eastAsia="Times New Roman" w:cs="Times New Roman"/>
          <w:szCs w:val="22"/>
        </w:rPr>
        <w:t>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uspořádání workshopů pro zapojené účastníky;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Cs w:val="22"/>
        </w:rPr>
        <w:t xml:space="preserve"> 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>uložení výsledků práce žákovských týmů na </w:t>
      </w:r>
      <w:hyperlink r:id="rId4">
        <w:r>
          <w:rPr>
            <w:rStyle w:val="ListLabel28"/>
            <w:rFonts w:eastAsia="Times New Roman" w:cs="Times New Roman"/>
            <w:szCs w:val="22"/>
            <w:u w:val="single"/>
          </w:rPr>
          <w:t>www.pribehynasichsousedu.cz</w:t>
        </w:r>
      </w:hyperlink>
      <w:r>
        <w:rPr>
          <w:rFonts w:eastAsia="Times New Roman" w:cs="Times New Roman"/>
          <w:szCs w:val="22"/>
        </w:rPr>
        <w:t>;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uspořádání slavnostní veřejné závěrečné prezentace výstupů projektu naživo nebo v online prostoru; </w:t>
      </w:r>
    </w:p>
    <w:p>
      <w:pPr>
        <w:pStyle w:val="Nadpis3"/>
        <w:numPr>
          <w:ilvl w:val="2"/>
          <w:numId w:val="2"/>
        </w:numPr>
        <w:rPr/>
      </w:pPr>
      <w:r>
        <w:rPr>
          <w:rFonts w:eastAsia="Times New Roman" w:cs="Times New Roman"/>
          <w:szCs w:val="22"/>
        </w:rPr>
        <w:t xml:space="preserve">zpracování a editace vybraných pamětnických vyprávění natočených žákovskými týmy pro portál Paměť národa a jejich publikace na </w:t>
      </w:r>
      <w:hyperlink r:id="rId5">
        <w:r>
          <w:rPr>
            <w:rStyle w:val="ListLabel29"/>
            <w:color w:val="0000FF"/>
            <w:u w:val="single"/>
          </w:rPr>
          <w:t>www.pametnaroda.cz</w:t>
        </w:r>
      </w:hyperlink>
      <w:r>
        <w:rPr>
          <w:rFonts w:eastAsia="Times New Roman" w:cs="Times New Roman"/>
          <w:szCs w:val="22"/>
        </w:rPr>
        <w:t>;</w:t>
      </w:r>
    </w:p>
    <w:p>
      <w:pPr>
        <w:pStyle w:val="Nadpis3"/>
        <w:numPr>
          <w:ilvl w:val="2"/>
          <w:numId w:val="2"/>
        </w:numPr>
        <w:rPr/>
      </w:pPr>
      <w:r>
        <w:rPr/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propagaci projektu a jeho výsledků na území České republiky; a</w:t>
      </w:r>
    </w:p>
    <w:p>
      <w:pPr>
        <w:pStyle w:val="Nadpis3"/>
        <w:numPr>
          <w:ilvl w:val="2"/>
          <w:numId w:val="2"/>
        </w:numPr>
        <w:rPr/>
      </w:pPr>
      <w:r>
        <w:rPr/>
        <w:t xml:space="preserve">aby se veškeré shromažďování dat v rámci projektu dělo v souladu se zákonem o ochraně osobních údajů a v souladu s nařízením evropského parlamentu a rady EU o ochraně fyzických osob v souvislosti se zpracováním osobních údajů (GDPR). </w:t>
      </w:r>
    </w:p>
    <w:p>
      <w:pPr>
        <w:pStyle w:val="Nadpis2"/>
        <w:numPr>
          <w:ilvl w:val="1"/>
          <w:numId w:val="2"/>
        </w:numPr>
        <w:rPr>
          <w:szCs w:val="22"/>
        </w:rPr>
      </w:pPr>
      <w:bookmarkStart w:id="1" w:name="_heading=h.awkoheisjenx"/>
      <w:bookmarkEnd w:id="1"/>
      <w:r>
        <w:rPr/>
        <w:t xml:space="preserve">V případě, že se z jakéhokoli důvodu nepodaří sestavit dostatečný počet žákovských týmů a natočit pamětníky v počtu stanoveném v odstavci 2.1 c) výše, dojde k dohodě smluvních stran ohledně úpravy závazku Post Bellum. </w:t>
      </w:r>
    </w:p>
    <w:p>
      <w:pPr>
        <w:pStyle w:val="Nadpis1"/>
        <w:widowControl/>
        <w:numPr>
          <w:ilvl w:val="0"/>
          <w:numId w:val="2"/>
        </w:numPr>
        <w:rPr>
          <w:rFonts w:eastAsia="Times New Roman" w:cs="Times New Roman"/>
          <w:b w:val="false"/>
          <w:b w:val="false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Povinnosti partnera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se tímto zavazuje, že v rámci projektu:</w:t>
      </w:r>
    </w:p>
    <w:p>
      <w:pPr>
        <w:pStyle w:val="Nadpis3"/>
        <w:numPr>
          <w:ilvl w:val="2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poskytne Post Bellum maximální součinnost při realizaci projektu, zejména při vyhledávání pamětníků, </w:t>
      </w:r>
      <w:r>
        <w:rPr>
          <w:rFonts w:eastAsia="Times New Roman" w:cs="Times New Roman"/>
        </w:rPr>
        <w:t xml:space="preserve">zajištění žákovských dokumentaristických týmů a spolupracujících pedagogů a při </w:t>
      </w:r>
      <w:r>
        <w:rPr>
          <w:rFonts w:eastAsia="Times New Roman" w:cs="Times New Roman"/>
          <w:szCs w:val="22"/>
        </w:rPr>
        <w:t xml:space="preserve">pořádání slavnostní závěrečné prezentace; </w:t>
      </w:r>
    </w:p>
    <w:p>
      <w:pPr>
        <w:pStyle w:val="Nadpis3"/>
        <w:numPr>
          <w:ilvl w:val="2"/>
          <w:numId w:val="4"/>
        </w:numPr>
        <w:rPr>
          <w:rFonts w:eastAsia="Times New Roman" w:cs="Times New Roman"/>
          <w:szCs w:val="22"/>
        </w:rPr>
      </w:pPr>
      <w:bookmarkStart w:id="2" w:name="_heading=h.gjdgxs"/>
      <w:bookmarkEnd w:id="2"/>
      <w:r>
        <w:rPr>
          <w:rFonts w:eastAsia="Times New Roman" w:cs="Times New Roman"/>
          <w:szCs w:val="22"/>
        </w:rPr>
        <w:t xml:space="preserve">poskytne partnerovi finanční plnění dle článku </w:t>
      </w:r>
      <w:r>
        <w:rPr>
          <w:rFonts w:eastAsia="Times New Roman" w:cs="Times New Roman"/>
          <w:b/>
          <w:szCs w:val="22"/>
        </w:rPr>
        <w:t>5</w:t>
      </w:r>
      <w:r>
        <w:rPr>
          <w:rFonts w:eastAsia="Times New Roman" w:cs="Times New Roman"/>
          <w:szCs w:val="22"/>
        </w:rPr>
        <w:t xml:space="preserve"> této smlouvy.</w:t>
      </w:r>
    </w:p>
    <w:p>
      <w:pPr>
        <w:pStyle w:val="Nadpis1"/>
        <w:widowControl/>
        <w:numPr>
          <w:ilvl w:val="0"/>
          <w:numId w:val="2"/>
        </w:numPr>
        <w:rPr/>
      </w:pPr>
      <w:r>
        <w:rPr/>
        <w:t>Společné povinnosti smluvních stran</w:t>
      </w:r>
    </w:p>
    <w:p>
      <w:pPr>
        <w:pStyle w:val="Nadpis2"/>
        <w:numPr>
          <w:ilvl w:val="1"/>
          <w:numId w:val="2"/>
        </w:numPr>
        <w:rPr/>
      </w:pPr>
      <w:r>
        <w:rPr/>
        <w:t xml:space="preserve">Každá ze smluvních stran je na základě této smlouvy povinna: </w:t>
      </w:r>
    </w:p>
    <w:p>
      <w:pPr>
        <w:pStyle w:val="Nadpis3"/>
        <w:numPr>
          <w:ilvl w:val="2"/>
          <w:numId w:val="2"/>
        </w:numPr>
        <w:rPr/>
      </w:pPr>
      <w:r>
        <w:rPr/>
        <w:t>informovat druhou smluvní stranu o skutečnostech rozhodných pro plnění smlouvy včetně informací o finančním řízení projektu;</w:t>
      </w:r>
    </w:p>
    <w:p>
      <w:pPr>
        <w:pStyle w:val="Nadpis3"/>
        <w:numPr>
          <w:ilvl w:val="2"/>
          <w:numId w:val="2"/>
        </w:numPr>
        <w:rPr/>
      </w:pPr>
      <w:r>
        <w:rPr/>
        <w:t>aktivně spolupracovat v zájmu úspěšné realizace projektu a nést plnou odpovědnost za řádné plnění svých povinností dle této smlouvy;</w:t>
      </w:r>
    </w:p>
    <w:p>
      <w:pPr>
        <w:pStyle w:val="Nadpis3"/>
        <w:numPr>
          <w:ilvl w:val="2"/>
          <w:numId w:val="2"/>
        </w:numPr>
        <w:rPr/>
      </w:pPr>
      <w:r>
        <w:rPr/>
        <w:t>zdržet se jakékoliv činnosti, jež by mohla znemožnit nebo ztížit dosažení účelu této smlouvy a realizace projektu;</w:t>
      </w:r>
    </w:p>
    <w:p>
      <w:pPr>
        <w:pStyle w:val="Nadpis3"/>
        <w:numPr>
          <w:ilvl w:val="2"/>
          <w:numId w:val="2"/>
        </w:numPr>
        <w:rPr/>
      </w:pPr>
      <w:r>
        <w:rPr/>
        <w:t>zdržet se jakéhokoliv jednání, které by mohlo být v rozporu se zájmy druhé smluvní strany nebo poškozovat dobré jméno druhé smluvní strany;</w:t>
      </w:r>
    </w:p>
    <w:p>
      <w:pPr>
        <w:pStyle w:val="Nadpis3"/>
        <w:numPr>
          <w:ilvl w:val="2"/>
          <w:numId w:val="2"/>
        </w:numPr>
        <w:rPr/>
      </w:pPr>
      <w:r>
        <w:rPr/>
        <w:t>jednat při realizaci projektu eticky, korektně, transparentně a v souladu s dobrými mravy.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Žádná ze smluvních stran není oprávněna v rámci projektu jednat jménem nebo na účet druhé smluvní strany, neposkytla-li mu k tomu tato smluvní strana svůj písemný souhlas.</w:t>
      </w:r>
    </w:p>
    <w:p>
      <w:pPr>
        <w:pStyle w:val="Nadpis1"/>
        <w:keepNext w:val="false"/>
        <w:widowControl/>
        <w:numPr>
          <w:ilvl w:val="0"/>
          <w:numId w:val="2"/>
        </w:numPr>
        <w:rPr/>
      </w:pPr>
      <w:r>
        <w:rPr/>
        <w:t>Financování projektu</w:t>
      </w:r>
    </w:p>
    <w:p>
      <w:pPr>
        <w:pStyle w:val="Nadpis2"/>
        <w:numPr>
          <w:ilvl w:val="1"/>
          <w:numId w:val="2"/>
        </w:numPr>
        <w:rPr/>
      </w:pPr>
      <w:r>
        <w:rPr>
          <w:rFonts w:eastAsia="Times New Roman" w:cs="Times New Roman"/>
          <w:szCs w:val="22"/>
        </w:rPr>
        <w:t xml:space="preserve">Partner se zavazuje převést Post Bellum bezhotovostním bankovním převodem na bankovní účet uvedený v záhlaví této smlouvy, částku </w:t>
      </w:r>
      <w:r>
        <w:rPr>
          <w:rFonts w:eastAsia="Times New Roman" w:cs="Times New Roman"/>
          <w:b/>
          <w:bCs/>
          <w:szCs w:val="22"/>
        </w:rPr>
        <w:t>48</w:t>
      </w:r>
      <w:r>
        <w:rPr>
          <w:rFonts w:eastAsia="Times New Roman" w:cs="Times New Roman"/>
          <w:b/>
          <w:bCs/>
          <w:szCs w:val="22"/>
        </w:rPr>
        <w:t> </w:t>
      </w:r>
      <w:r>
        <w:rPr>
          <w:rFonts w:eastAsia="Times New Roman" w:cs="Times New Roman"/>
          <w:b/>
          <w:bCs/>
          <w:szCs w:val="22"/>
        </w:rPr>
        <w:t>80</w:t>
      </w:r>
      <w:r>
        <w:rPr>
          <w:rFonts w:eastAsia="Times New Roman" w:cs="Times New Roman"/>
          <w:b/>
          <w:bCs/>
          <w:szCs w:val="22"/>
        </w:rPr>
        <w:t xml:space="preserve">0,- (slovy </w:t>
      </w:r>
      <w:r>
        <w:rPr>
          <w:rFonts w:eastAsia="Times New Roman" w:cs="Times New Roman"/>
          <w:b/>
          <w:bCs/>
          <w:szCs w:val="22"/>
        </w:rPr>
        <w:t>čtyřicet osm tisíc osm set</w:t>
      </w:r>
      <w:r>
        <w:rPr>
          <w:rFonts w:eastAsia="Times New Roman" w:cs="Times New Roman"/>
          <w:b/>
          <w:bCs/>
          <w:szCs w:val="22"/>
        </w:rPr>
        <w:t xml:space="preserve"> korun českých)</w:t>
      </w:r>
      <w:r>
        <w:rPr>
          <w:rFonts w:eastAsia="Times New Roman" w:cs="Times New Roman"/>
          <w:szCs w:val="22"/>
        </w:rPr>
        <w:t xml:space="preserve">. </w:t>
      </w:r>
      <w:r>
        <w:rPr/>
        <w:t xml:space="preserve"> </w:t>
      </w:r>
      <w:r>
        <w:rPr>
          <w:rFonts w:eastAsia="Times New Roman" w:cs="Times New Roman"/>
          <w:szCs w:val="22"/>
        </w:rPr>
        <w:t>Tato částka bude uhrazena ze</w:t>
      </w:r>
      <w:r>
        <w:rPr/>
        <w:t xml:space="preserve"> </w:t>
      </w:r>
      <w:r>
        <w:rPr>
          <w:rFonts w:eastAsia="Times New Roman" w:cs="Times New Roman"/>
          <w:szCs w:val="22"/>
        </w:rPr>
        <w:t xml:space="preserve">strany partnera na účet Post Bellum, a to na základě faktury, kterou je Post Bellum oprávněno vystavit po uzavření této smlouvy. 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Smluvní strany se dohodly a společně potvrzují, že výše uvedená částka je konečná a zahrnuje veškerou odměnu za jakoukoli činnost Post Bellum v souladu s touto smlouvou a za převod práv partnerovi.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souhlasí s tím, aby Post Bellum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>
      <w:pPr>
        <w:pStyle w:val="Nadpis1"/>
        <w:widowControl/>
        <w:numPr>
          <w:ilvl w:val="0"/>
          <w:numId w:val="2"/>
        </w:numPr>
        <w:rPr/>
      </w:pPr>
      <w:r>
        <w:rPr/>
        <w:t>Autorská práva a licence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Smluvní strany se dohodly, že vlastnické právo ke všem hmotným i nehmotným výsledkům projektu (včetně všech nahrávek pamětníků, dokumentů a fotografií) bude náležet výhradně Post Bellum. Post Bellum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se zavazuje nepostoupit licenci nebo podlicenci k těmto dílům třetí osobě bez předchozího písemného souhlasu Post Bellum.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Post Bellum může poskytnout licenci nebo podlicenci a postoupit práva k těmto dílům třetí osobě bez souhlasu partnera. 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Partner souhlasí, aby Post Bellum uvádělo dílo na veřejnost pod svým jménem.</w:t>
      </w:r>
    </w:p>
    <w:p>
      <w:pPr>
        <w:pStyle w:val="Nadpis1"/>
        <w:widowControl/>
        <w:numPr>
          <w:ilvl w:val="0"/>
          <w:numId w:val="2"/>
        </w:numPr>
        <w:rPr/>
      </w:pPr>
      <w:r>
        <w:rPr/>
        <w:t>Závěrečná ustanovení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smlouva nabývá platnosti a účinnosti dnem podpisu oběma smluvními stranami a uzavírá se na dobu trvání projektu. 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Smlouva je vyhotovena ve dvou stejnopisech s platností originálu. Každé smluvní straně náleží jeden stejnopis.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Každá ze smluvních stran je oprávněna tuto smlouvu vypovědět v případě, že druhá smluvní strana přes předchozí písemné upozornění nadále neplní povinnosti vyplývající pro ni z této smlouvy. Výpověď nabývá účinnosti dnem následujícím po dni, kdy bylo písemné vyhotovení výpovědi prokazatelně doručeno smluvní straně.</w:t>
      </w:r>
    </w:p>
    <w:p>
      <w:pPr>
        <w:pStyle w:val="Nadpis2"/>
        <w:numPr>
          <w:ilvl w:val="1"/>
          <w:numId w:val="2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>
      <w:pPr>
        <w:pStyle w:val="Normal"/>
        <w:keepNext w:val="true"/>
        <w:spacing w:before="0" w:after="180"/>
        <w:jc w:val="both"/>
        <w:rPr/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tbl>
      <w:tblPr>
        <w:tblStyle w:val="a"/>
        <w:tblW w:w="1017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5"/>
        <w:gridCol w:w="5567"/>
      </w:tblGrid>
      <w:tr>
        <w:trPr/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/>
            </w:pPr>
            <w:r>
              <w:rPr>
                <w:sz w:val="22"/>
                <w:szCs w:val="22"/>
              </w:rPr>
              <w:t xml:space="preserve">V  Praze  dne 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.9.2022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</w:tr>
      <w:tr>
        <w:trPr/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ú. </w:t>
            </w:r>
          </w:p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Jitka Andrysová</w:t>
            </w:r>
          </w:p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vzdělávání Paměti národa Střední Morava, na základě plné moci </w:t>
            </w:r>
          </w:p>
        </w:tc>
        <w:tc>
          <w:tcPr>
            <w:tcW w:w="5567" w:type="dxa"/>
            <w:tcBorders/>
            <w:shd w:fill="auto" w:val="clear"/>
          </w:tcPr>
          <w:p>
            <w:pPr>
              <w:pStyle w:val="Normal"/>
              <w:tabs>
                <w:tab w:val="left" w:pos="9214" w:leader="none"/>
                <w:tab w:val="left" w:pos="9356" w:leader="none"/>
                <w:tab w:val="left" w:pos="10065" w:leader="none"/>
              </w:tabs>
              <w:ind w:right="423" w:hanging="0"/>
              <w:rPr/>
            </w:pPr>
            <w:r>
              <w:rPr>
                <w:b/>
                <w:bCs/>
                <w:sz w:val="22"/>
                <w:szCs w:val="22"/>
              </w:rPr>
              <w:t xml:space="preserve">ZŠ </w:t>
            </w:r>
            <w:r>
              <w:rPr>
                <w:b/>
                <w:bCs/>
                <w:sz w:val="22"/>
                <w:szCs w:val="22"/>
              </w:rPr>
              <w:t xml:space="preserve">Jeseník, p. o. </w:t>
            </w:r>
            <w:r>
              <w:rPr>
                <w:sz w:val="22"/>
                <w:szCs w:val="22"/>
              </w:rPr>
              <w:br/>
              <w:t xml:space="preserve">jméno: Mgr. </w:t>
            </w:r>
            <w:r>
              <w:rPr>
                <w:sz w:val="22"/>
                <w:szCs w:val="22"/>
              </w:rPr>
              <w:t>Dominik Liberda</w:t>
            </w:r>
            <w:r>
              <w:rPr>
                <w:sz w:val="22"/>
                <w:szCs w:val="22"/>
              </w:rPr>
              <w:br/>
              <w:t>funkce: ředitel</w:t>
            </w:r>
            <w:bookmarkStart w:id="3" w:name="_GoBack"/>
            <w:bookmarkEnd w:id="3"/>
            <w:r>
              <w:rPr>
                <w:sz w:val="22"/>
                <w:szCs w:val="22"/>
              </w:rPr>
              <w:t xml:space="preserve"> školy</w:t>
            </w:r>
          </w:p>
        </w:tc>
      </w:tr>
    </w:tbl>
    <w:p>
      <w:pPr>
        <w:pStyle w:val="Normal"/>
        <w:tabs>
          <w:tab w:val="left" w:pos="9214" w:leader="none"/>
          <w:tab w:val="left" w:pos="9356" w:leader="none"/>
          <w:tab w:val="left" w:pos="10065" w:leader="none"/>
        </w:tabs>
        <w:ind w:right="423" w:hanging="0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417" w:right="1133" w:header="0" w:top="1417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0"/>
      <w:tblW w:w="9572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826"/>
      <w:gridCol w:w="1917"/>
      <w:gridCol w:w="3829"/>
    </w:tblGrid>
    <w:tr>
      <w:trPr/>
      <w:tc>
        <w:tcPr>
          <w:tcW w:w="3826" w:type="dxa"/>
          <w:tcBorders/>
          <w:shd w:fill="auto" w:val="clear"/>
          <w:vAlign w:val="bottom"/>
        </w:tcPr>
        <w:p>
          <w:pPr>
            <w:pStyle w:val="Normal"/>
            <w:tabs>
              <w:tab w:val="center" w:pos="4320" w:leader="none"/>
              <w:tab w:val="right" w:pos="8640" w:leader="none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</w:r>
        </w:p>
      </w:tc>
      <w:tc>
        <w:tcPr>
          <w:tcW w:w="1917" w:type="dxa"/>
          <w:tcBorders/>
          <w:shd w:fill="auto" w:val="clear"/>
        </w:tcPr>
        <w:p>
          <w:pPr>
            <w:pStyle w:val="Normal"/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829" w:type="dxa"/>
          <w:tcBorders/>
          <w:shd w:fill="auto" w:val="clear"/>
        </w:tcPr>
        <w:p>
          <w:pPr>
            <w:pStyle w:val="Normal"/>
            <w:tabs>
              <w:tab w:val="center" w:pos="4320" w:leader="none"/>
              <w:tab w:val="right" w:pos="8640" w:leader="none"/>
            </w:tabs>
            <w:jc w:val="right"/>
            <w:rPr>
              <w:color w:val="000000"/>
            </w:rPr>
          </w:pPr>
          <w:r>
            <w:rPr>
              <w:color w:val="000000"/>
            </w:rPr>
          </w:r>
        </w:p>
      </w:tc>
    </w:tr>
  </w:tbl>
  <w:p>
    <w:pPr>
      <w:pStyle w:val="Normal"/>
      <w:tabs>
        <w:tab w:val="center" w:pos="4320" w:leader="none"/>
        <w:tab w:val="right" w:pos="8640" w:leader="none"/>
      </w:tabs>
      <w:rPr>
        <w:color w:val="000000"/>
        <w:sz w:val="8"/>
        <w:szCs w:val="8"/>
      </w:rPr>
    </w:pPr>
    <w:r>
      <w:rPr>
        <w:color w:val="000000"/>
        <w:sz w:val="8"/>
        <w:szCs w:val="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Nadpis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Nadpis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Nadpis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Nadpis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Nadpis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Nadpis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Nadpis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Nadpis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sz w:val="26"/>
        <w:i w:val="false"/>
        <w:b/>
        <w:szCs w:val="26"/>
        <w:rFonts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color w:val="000000"/>
      </w:rPr>
    </w:lvl>
    <w:lvl w:ilvl="2">
      <w:start w:val="1"/>
      <w:numFmt w:val="lowerLetter"/>
      <w:lvlText w:val="(%3)"/>
      <w:lvlJc w:val="left"/>
      <w:pPr>
        <w:ind w:left="1712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color w:val="000000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sz w:val="26"/>
        <w:i w:val="false"/>
        <w:b/>
        <w:szCs w:val="26"/>
        <w:rFonts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color w:val="000000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link w:val="Nadpis1Char"/>
    <w:uiPriority w:val="9"/>
    <w:qFormat/>
    <w:rsid w:val="00fe7a05"/>
    <w:pPr>
      <w:keepNext w:val="true"/>
      <w:keepLines/>
      <w:widowControl w:val="false"/>
      <w:numPr>
        <w:ilvl w:val="0"/>
        <w:numId w:val="1"/>
      </w:numPr>
      <w:suppressAutoHyphens w:val="false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al"/>
    <w:link w:val="Nadpis2Char"/>
    <w:uiPriority w:val="9"/>
    <w:unhideWhenUsed/>
    <w:qFormat/>
    <w:rsid w:val="00e02e0f"/>
    <w:pPr>
      <w:numPr>
        <w:ilvl w:val="1"/>
        <w:numId w:val="1"/>
      </w:numPr>
      <w:suppressAutoHyphens w:val="false"/>
      <w:spacing w:before="0"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al"/>
    <w:link w:val="Nadpis3Char"/>
    <w:uiPriority w:val="9"/>
    <w:unhideWhenUsed/>
    <w:qFormat/>
    <w:rsid w:val="00fe7a05"/>
    <w:pPr>
      <w:numPr>
        <w:ilvl w:val="2"/>
        <w:numId w:val="1"/>
      </w:numPr>
      <w:suppressAutoHyphens w:val="false"/>
      <w:spacing w:before="0"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fe7a05"/>
    <w:pPr>
      <w:numPr>
        <w:ilvl w:val="3"/>
        <w:numId w:val="1"/>
      </w:numPr>
      <w:suppressAutoHyphens w:val="false"/>
      <w:spacing w:before="0"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fe7a05"/>
    <w:pPr>
      <w:numPr>
        <w:ilvl w:val="4"/>
        <w:numId w:val="1"/>
      </w:numPr>
      <w:suppressAutoHyphens w:val="false"/>
      <w:spacing w:before="0"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fe7a05"/>
    <w:pPr>
      <w:numPr>
        <w:ilvl w:val="5"/>
        <w:numId w:val="1"/>
      </w:numPr>
      <w:suppressAutoHyphens w:val="false"/>
      <w:spacing w:before="0"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al"/>
    <w:link w:val="Nadpis7Char"/>
    <w:qFormat/>
    <w:rsid w:val="00fe7a05"/>
    <w:pPr>
      <w:numPr>
        <w:ilvl w:val="6"/>
        <w:numId w:val="1"/>
      </w:numPr>
      <w:suppressAutoHyphens w:val="false"/>
      <w:spacing w:before="0"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al"/>
    <w:link w:val="Nadpis8Char"/>
    <w:qFormat/>
    <w:rsid w:val="00fe7a05"/>
    <w:pPr>
      <w:numPr>
        <w:ilvl w:val="7"/>
        <w:numId w:val="1"/>
      </w:numPr>
      <w:suppressAutoHyphens w:val="false"/>
      <w:spacing w:before="0"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al"/>
    <w:link w:val="Nadpis9Char"/>
    <w:qFormat/>
    <w:rsid w:val="00fe7a05"/>
    <w:pPr>
      <w:numPr>
        <w:ilvl w:val="8"/>
        <w:numId w:val="1"/>
      </w:numPr>
      <w:suppressAutoHyphens w:val="false"/>
      <w:spacing w:before="0"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Helvetica" w:hAnsi="Helvetica" w:eastAsia="Times New Roman" w:cs="Times New Roman"/>
    </w:rPr>
  </w:style>
  <w:style w:type="character" w:styleId="WW8Num2z1" w:customStyle="1">
    <w:name w:val="WW8Num2z1"/>
    <w:qFormat/>
    <w:rPr>
      <w:rFonts w:ascii="Courier" w:hAnsi="Courier" w:cs="Courier"/>
    </w:rPr>
  </w:style>
  <w:style w:type="character" w:styleId="WW8Num2z2" w:customStyle="1">
    <w:name w:val="WW8Num2z2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Wingdings" w:hAnsi="Wingdings" w:cs="Wingdings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Helvetica" w:hAnsi="Helvetica" w:eastAsia="Times New Roman" w:cs="Times New Roman"/>
      <w:color w:val="000000"/>
      <w:sz w:val="22"/>
      <w:szCs w:val="22"/>
      <w:lang w:val="en-US" w:eastAsia="en-US"/>
    </w:rPr>
  </w:style>
  <w:style w:type="character" w:styleId="WW8Num5z1" w:customStyle="1">
    <w:name w:val="WW8Num5z1"/>
    <w:qFormat/>
    <w:rPr>
      <w:rFonts w:ascii="Courier" w:hAnsi="Courier" w:cs="Courier"/>
    </w:rPr>
  </w:style>
  <w:style w:type="character" w:styleId="WW8Num5z2" w:customStyle="1">
    <w:name w:val="WW8Num5z2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Helvetica" w:hAnsi="Helvetica" w:eastAsia="Times New Roman" w:cs="Times New Roman"/>
      <w:sz w:val="21"/>
      <w:szCs w:val="21"/>
    </w:rPr>
  </w:style>
  <w:style w:type="character" w:styleId="WW8Num8z1" w:customStyle="1">
    <w:name w:val="WW8Num8z1"/>
    <w:qFormat/>
    <w:rPr>
      <w:rFonts w:ascii="Wingdings" w:hAnsi="Wingdings" w:cs="Wingdings"/>
    </w:rPr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Helvetica" w:hAnsi="Helvetica" w:eastAsia="Times New Roman" w:cs="Times New Roman"/>
    </w:rPr>
  </w:style>
  <w:style w:type="character" w:styleId="WW8Num10z1" w:customStyle="1">
    <w:name w:val="WW8Num10z1"/>
    <w:qFormat/>
    <w:rPr>
      <w:rFonts w:ascii="Courier" w:hAnsi="Courier" w:cs="Courier"/>
    </w:rPr>
  </w:style>
  <w:style w:type="character" w:styleId="WW8Num10z2" w:customStyle="1">
    <w:name w:val="WW8Num10z2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Helvetica" w:hAnsi="Helvetica" w:eastAsia="Times New Roman" w:cs="Times New Roman"/>
      <w:color w:val="000000"/>
      <w:sz w:val="22"/>
      <w:szCs w:val="22"/>
      <w:lang w:val="en-US" w:eastAsia="en-US"/>
    </w:rPr>
  </w:style>
  <w:style w:type="character" w:styleId="WW8Num11z1" w:customStyle="1">
    <w:name w:val="WW8Num11z1"/>
    <w:qFormat/>
    <w:rPr>
      <w:rFonts w:ascii="Courier" w:hAnsi="Courier" w:cs="Courier"/>
    </w:rPr>
  </w:style>
  <w:style w:type="character" w:styleId="WW8Num11z2" w:customStyle="1">
    <w:name w:val="WW8Num11z2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Helvetica" w:hAnsi="Helvetica" w:eastAsia="Times New Roman" w:cs="Times New Roman"/>
    </w:rPr>
  </w:style>
  <w:style w:type="character" w:styleId="WW8Num12z1" w:customStyle="1">
    <w:name w:val="WW8Num12z1"/>
    <w:qFormat/>
    <w:rPr>
      <w:rFonts w:ascii="Courier" w:hAnsi="Courier" w:cs="Courier"/>
    </w:rPr>
  </w:style>
  <w:style w:type="character" w:styleId="WW8Num12z2" w:customStyle="1">
    <w:name w:val="WW8Num12z2"/>
    <w:qFormat/>
    <w:rPr>
      <w:rFonts w:ascii="Symbol" w:hAnsi="Symbol" w:cs="Symbol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Helvetica" w:hAnsi="Helvetica" w:eastAsia="Times New Roman" w:cs="Times New Roman"/>
      <w:color w:val="00000A"/>
      <w:sz w:val="21"/>
      <w:szCs w:val="21"/>
      <w:lang w:val="cs-CZ" w:eastAsia="cs-CZ"/>
    </w:rPr>
  </w:style>
  <w:style w:type="character" w:styleId="WW8Num14z1" w:customStyle="1">
    <w:name w:val="WW8Num14z1"/>
    <w:qFormat/>
    <w:rPr>
      <w:rFonts w:ascii="Courier" w:hAnsi="Courier" w:cs="Courier"/>
    </w:rPr>
  </w:style>
  <w:style w:type="character" w:styleId="WW8Num14z2" w:customStyle="1">
    <w:name w:val="WW8Num14z2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Helvetica" w:hAnsi="Helvetica" w:eastAsia="Times New Roman" w:cs="Times New Roman"/>
      <w:sz w:val="21"/>
      <w:szCs w:val="21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Standardnpsmoodstavce1" w:customStyle="1">
    <w:name w:val="Standardní písmo odstavce1"/>
    <w:qFormat/>
    <w:rPr/>
  </w:style>
  <w:style w:type="character" w:styleId="Nadpis2Char" w:customStyle="1">
    <w:name w:val="Nadpis 2 Char"/>
    <w:basedOn w:val="DefaultParagraphFont"/>
    <w:link w:val="Nadpis2"/>
    <w:qFormat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Internetovodkaz">
    <w:name w:val="Internetový odkaz"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character" w:styleId="Zdraznn">
    <w:name w:val="Zdůraznění"/>
    <w:qFormat/>
    <w:rsid w:val="007f3486"/>
    <w:rPr>
      <w:rFonts w:ascii="Times New Roman" w:hAnsi="Times New Roman"/>
      <w:i w:val="false"/>
      <w:sz w:val="24"/>
    </w:rPr>
  </w:style>
  <w:style w:type="character" w:styleId="FooterChar" w:customStyle="1">
    <w:name w:val="Footer Char"/>
    <w:qFormat/>
    <w:rPr>
      <w:rFonts w:ascii="Times New Roman" w:hAnsi="Times New Roman" w:eastAsia="Times New Roman" w:cs="Times New Roman"/>
      <w:sz w:val="24"/>
      <w:szCs w:val="24"/>
      <w:lang w:val="cs-CZ"/>
    </w:rPr>
  </w:style>
  <w:style w:type="character" w:styleId="Pagenumber">
    <w:name w:val="page number"/>
    <w:basedOn w:val="Standardnpsmoodstavce1"/>
    <w:qFormat/>
    <w:rPr/>
  </w:style>
  <w:style w:type="character" w:styleId="TextbublinyChar" w:customStyle="1">
    <w:name w:val="Text bubliny Char"/>
    <w:link w:val="Textbubliny"/>
    <w:uiPriority w:val="99"/>
    <w:semiHidden/>
    <w:qFormat/>
    <w:rsid w:val="006e4162"/>
    <w:rPr>
      <w:rFonts w:ascii="Tahoma" w:hAnsi="Tahoma" w:cs="Tahoma"/>
      <w:sz w:val="16"/>
      <w:szCs w:val="16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6e4162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qFormat/>
    <w:rsid w:val="006e4162"/>
    <w:rPr>
      <w:lang w:eastAsia="zh-CN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6e4162"/>
    <w:rPr>
      <w:b/>
      <w:bCs/>
      <w:lang w:eastAsia="zh-CN"/>
    </w:rPr>
  </w:style>
  <w:style w:type="character" w:styleId="Nowrap" w:customStyle="1">
    <w:name w:val="nowrap"/>
    <w:qFormat/>
    <w:rsid w:val="00227095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95696"/>
    <w:rPr>
      <w:sz w:val="24"/>
      <w:szCs w:val="24"/>
      <w:lang w:eastAsia="zh-CN"/>
    </w:rPr>
  </w:style>
  <w:style w:type="character" w:styleId="Nadpis1Char" w:customStyle="1">
    <w:name w:val="Nadpis 1 Char"/>
    <w:basedOn w:val="DefaultParagraphFont"/>
    <w:link w:val="Nadpis1"/>
    <w:qFormat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character" w:styleId="WTextChar" w:customStyle="1">
    <w:name w:val="wText Char"/>
    <w:link w:val="wText"/>
    <w:uiPriority w:val="2"/>
    <w:qFormat/>
    <w:rsid w:val="00fd2fff"/>
    <w:rPr>
      <w:rFonts w:eastAsia="MS Mincho"/>
      <w:sz w:val="22"/>
      <w:szCs w:val="22"/>
      <w:lang w:eastAsia="en-US"/>
    </w:rPr>
  </w:style>
  <w:style w:type="character" w:styleId="Nadpis3Char" w:customStyle="1">
    <w:name w:val="Nadpis 3 Char"/>
    <w:basedOn w:val="DefaultParagraphFont"/>
    <w:link w:val="Nadpis3"/>
    <w:qFormat/>
    <w:rsid w:val="00fe7a05"/>
    <w:rPr>
      <w:rFonts w:eastAsia="MS Mincho" w:cs="Traditional Arabic"/>
      <w:sz w:val="22"/>
      <w:szCs w:val="26"/>
      <w:lang w:val="en-US" w:eastAsia="en-US"/>
    </w:rPr>
  </w:style>
  <w:style w:type="character" w:styleId="Nadpis4Char" w:customStyle="1">
    <w:name w:val="Nadpis 4 Char"/>
    <w:basedOn w:val="DefaultParagraphFont"/>
    <w:link w:val="Nadpis4"/>
    <w:qFormat/>
    <w:rsid w:val="00fe7a05"/>
    <w:rPr>
      <w:rFonts w:eastAsia="MS Mincho" w:cs="Traditional Arabic"/>
      <w:sz w:val="22"/>
      <w:szCs w:val="26"/>
      <w:lang w:val="en-US" w:eastAsia="en-US"/>
    </w:rPr>
  </w:style>
  <w:style w:type="character" w:styleId="Nadpis5Char" w:customStyle="1">
    <w:name w:val="Nadpis 5 Char"/>
    <w:basedOn w:val="DefaultParagraphFont"/>
    <w:link w:val="Nadpis5"/>
    <w:qFormat/>
    <w:rsid w:val="00fe7a05"/>
    <w:rPr>
      <w:rFonts w:eastAsia="MS Mincho" w:cs="Traditional Arabic"/>
      <w:sz w:val="22"/>
      <w:szCs w:val="26"/>
      <w:lang w:val="en-US" w:eastAsia="en-US"/>
    </w:rPr>
  </w:style>
  <w:style w:type="character" w:styleId="Nadpis6Char" w:customStyle="1">
    <w:name w:val="Nadpis 6 Char"/>
    <w:basedOn w:val="DefaultParagraphFont"/>
    <w:link w:val="Nadpis6"/>
    <w:qFormat/>
    <w:rsid w:val="00fe7a05"/>
    <w:rPr>
      <w:rFonts w:eastAsia="MS Mincho" w:cs="Traditional Arabic"/>
      <w:sz w:val="22"/>
      <w:szCs w:val="26"/>
      <w:lang w:val="en-US" w:eastAsia="en-US"/>
    </w:rPr>
  </w:style>
  <w:style w:type="character" w:styleId="Nadpis7Char" w:customStyle="1">
    <w:name w:val="Nadpis 7 Char"/>
    <w:basedOn w:val="DefaultParagraphFont"/>
    <w:link w:val="Nadpis7"/>
    <w:qFormat/>
    <w:rsid w:val="00fe7a05"/>
    <w:rPr>
      <w:rFonts w:eastAsia="MS Mincho" w:cs="Traditional Arabic"/>
      <w:sz w:val="22"/>
      <w:szCs w:val="26"/>
      <w:lang w:val="en-US" w:eastAsia="en-US"/>
    </w:rPr>
  </w:style>
  <w:style w:type="character" w:styleId="Nadpis8Char" w:customStyle="1">
    <w:name w:val="Nadpis 8 Char"/>
    <w:basedOn w:val="DefaultParagraphFont"/>
    <w:link w:val="Nadpis8"/>
    <w:qFormat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styleId="Nadpis9Char" w:customStyle="1">
    <w:name w:val="Nadpis 9 Char"/>
    <w:basedOn w:val="DefaultParagraphFont"/>
    <w:link w:val="Nadpis9"/>
    <w:qFormat/>
    <w:rsid w:val="00fe7a05"/>
    <w:rPr>
      <w:rFonts w:eastAsia="MS Mincho" w:cs="Traditional Arabic"/>
      <w:sz w:val="22"/>
      <w:szCs w:val="26"/>
      <w:lang w:val="en-GB" w:eastAsia="en-US"/>
    </w:rPr>
  </w:style>
  <w:style w:type="character" w:styleId="WCPageNumberChar" w:customStyle="1">
    <w:name w:val="WCPageNumber Char"/>
    <w:basedOn w:val="DefaultParagraphFont"/>
    <w:link w:val="WCPageNumber"/>
    <w:qFormat/>
    <w:rsid w:val="00fe7a05"/>
    <w:rPr>
      <w:sz w:val="24"/>
      <w:szCs w:val="24"/>
      <w:lang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8343e"/>
    <w:rPr>
      <w:color w:val="605E5C"/>
      <w:shd w:fill="E1DFDD" w:val="clear"/>
    </w:rPr>
  </w:style>
  <w:style w:type="character" w:styleId="Zkladntext2Char" w:customStyle="1">
    <w:name w:val="Základní text 2 Char"/>
    <w:basedOn w:val="DefaultParagraphFont"/>
    <w:link w:val="Zkladntext2"/>
    <w:qFormat/>
    <w:rsid w:val="001d5612"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2">
    <w:name w:val="ListLabel 2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20">
    <w:name w:val="ListLabel 20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21">
    <w:name w:val="ListLabel 21"/>
    <w:qFormat/>
    <w:rPr>
      <w:color w:val="000000"/>
    </w:rPr>
  </w:style>
  <w:style w:type="character" w:styleId="ListLabel22">
    <w:name w:val="ListLabel 22"/>
    <w:qFormat/>
    <w:rPr>
      <w:color w:val="000000"/>
    </w:rPr>
  </w:style>
  <w:style w:type="character" w:styleId="ListLabel23">
    <w:name w:val="ListLabel 23"/>
    <w:qFormat/>
    <w:rPr>
      <w:color w:val="000000"/>
    </w:rPr>
  </w:style>
  <w:style w:type="character" w:styleId="ListLabel24">
    <w:name w:val="ListLabel 24"/>
    <w:qFormat/>
    <w:rPr>
      <w:color w:val="000000"/>
    </w:rPr>
  </w:style>
  <w:style w:type="character" w:styleId="ListLabel25">
    <w:name w:val="ListLabel 25"/>
    <w:qFormat/>
    <w:rPr>
      <w:color w:val="000000"/>
    </w:rPr>
  </w:style>
  <w:style w:type="character" w:styleId="ListLabel26">
    <w:name w:val="ListLabel 26"/>
    <w:qFormat/>
    <w:rPr>
      <w:color w:val="000000"/>
    </w:rPr>
  </w:style>
  <w:style w:type="character" w:styleId="ListLabel27">
    <w:name w:val="ListLabel 27"/>
    <w:qFormat/>
    <w:rPr>
      <w:color w:val="000000"/>
    </w:rPr>
  </w:style>
  <w:style w:type="character" w:styleId="ListLabel28">
    <w:name w:val="ListLabel 28"/>
    <w:qFormat/>
    <w:rPr>
      <w:rFonts w:eastAsia="Times New Roman" w:cs="Times New Roman"/>
      <w:szCs w:val="22"/>
      <w:u w:val="single"/>
    </w:rPr>
  </w:style>
  <w:style w:type="character" w:styleId="ListLabel29">
    <w:name w:val="ListLabel 29"/>
    <w:qFormat/>
    <w:rPr>
      <w:color w:val="0000FF"/>
      <w:u w:val="single"/>
    </w:rPr>
  </w:style>
  <w:style w:type="character" w:styleId="ListLabel30">
    <w:name w:val="ListLabel 30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31">
    <w:name w:val="ListLabel 31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color w:val="000000"/>
    </w:rPr>
  </w:style>
  <w:style w:type="character" w:styleId="ListLabel34">
    <w:name w:val="ListLabel 34"/>
    <w:qFormat/>
    <w:rPr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color w:val="000000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color w:val="000000"/>
    </w:rPr>
  </w:style>
  <w:style w:type="character" w:styleId="ListLabel39">
    <w:name w:val="ListLabel 39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40">
    <w:name w:val="ListLabel 40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41">
    <w:name w:val="ListLabel 41"/>
    <w:qFormat/>
    <w:rPr>
      <w:color w:val="000000"/>
    </w:rPr>
  </w:style>
  <w:style w:type="character" w:styleId="ListLabel42">
    <w:name w:val="ListLabel 42"/>
    <w:qFormat/>
    <w:rPr>
      <w:color w:val="000000"/>
    </w:rPr>
  </w:style>
  <w:style w:type="character" w:styleId="ListLabel43">
    <w:name w:val="ListLabel 43"/>
    <w:qFormat/>
    <w:rPr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color w:val="000000"/>
    </w:rPr>
  </w:style>
  <w:style w:type="character" w:styleId="ListLabel46">
    <w:name w:val="ListLabel 46"/>
    <w:qFormat/>
    <w:rPr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rFonts w:eastAsia="Times New Roman" w:cs="Times New Roman"/>
      <w:szCs w:val="22"/>
      <w:u w:val="single"/>
    </w:rPr>
  </w:style>
  <w:style w:type="character" w:styleId="ListLabel49">
    <w:name w:val="ListLabel 49"/>
    <w:qFormat/>
    <w:rPr>
      <w:color w:val="0000FF"/>
      <w:u w:val="single"/>
    </w:rPr>
  </w:style>
  <w:style w:type="character" w:styleId="ListLabel50">
    <w:name w:val="ListLabel 50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51">
    <w:name w:val="ListLabel 51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rFonts w:eastAsia="Times New Roman" w:cs="Times New Roman"/>
      <w:b/>
      <w:i w:val="false"/>
      <w:color w:val="000000"/>
      <w:sz w:val="26"/>
      <w:szCs w:val="26"/>
    </w:rPr>
  </w:style>
  <w:style w:type="character" w:styleId="ListLabel60">
    <w:name w:val="ListLabel 60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ListLabel61">
    <w:name w:val="ListLabel 61"/>
    <w:qFormat/>
    <w:rPr>
      <w:color w:val="000000"/>
    </w:rPr>
  </w:style>
  <w:style w:type="character" w:styleId="ListLabel62">
    <w:name w:val="ListLabel 62"/>
    <w:qFormat/>
    <w:rPr>
      <w:color w:val="000000"/>
    </w:rPr>
  </w:style>
  <w:style w:type="character" w:styleId="ListLabel63">
    <w:name w:val="ListLabel 63"/>
    <w:qFormat/>
    <w:rPr>
      <w:color w:val="000000"/>
    </w:rPr>
  </w:style>
  <w:style w:type="character" w:styleId="ListLabel64">
    <w:name w:val="ListLabel 64"/>
    <w:qFormat/>
    <w:rPr>
      <w:color w:val="000000"/>
    </w:rPr>
  </w:style>
  <w:style w:type="character" w:styleId="ListLabel65">
    <w:name w:val="ListLabel 65"/>
    <w:qFormat/>
    <w:rPr>
      <w:color w:val="000000"/>
    </w:rPr>
  </w:style>
  <w:style w:type="character" w:styleId="ListLabel66">
    <w:name w:val="ListLabel 66"/>
    <w:qFormat/>
    <w:rPr>
      <w:color w:val="000000"/>
    </w:rPr>
  </w:style>
  <w:style w:type="character" w:styleId="ListLabel67">
    <w:name w:val="ListLabel 67"/>
    <w:qFormat/>
    <w:rPr>
      <w:color w:val="000000"/>
    </w:rPr>
  </w:style>
  <w:style w:type="character" w:styleId="ListLabel68">
    <w:name w:val="ListLabel 68"/>
    <w:qFormat/>
    <w:rPr>
      <w:rFonts w:eastAsia="Times New Roman" w:cs="Times New Roman"/>
      <w:szCs w:val="22"/>
      <w:u w:val="single"/>
    </w:rPr>
  </w:style>
  <w:style w:type="character" w:styleId="ListLabel69">
    <w:name w:val="ListLabel 69"/>
    <w:qFormat/>
    <w:rPr>
      <w:color w:val="0000FF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rsid w:val="00932bcd"/>
    <w:pPr>
      <w:suppressLineNumbers/>
      <w:spacing w:before="120" w:after="120"/>
    </w:pPr>
    <w:rPr>
      <w:rFonts w:cs="Mangal"/>
      <w:b/>
      <w:iCs/>
    </w:rPr>
  </w:style>
  <w:style w:type="paragraph" w:styleId="Normlnweb1" w:customStyle="1">
    <w:name w:val="Normální (web)1"/>
    <w:basedOn w:val="Normal"/>
    <w:qFormat/>
    <w:pPr/>
    <w:rPr>
      <w:rFonts w:ascii="Times" w:hAnsi="Times" w:eastAsia="Calibri" w:cs="Times"/>
      <w:sz w:val="20"/>
      <w:szCs w:val="20"/>
      <w:lang w:val="en-US"/>
    </w:rPr>
  </w:style>
  <w:style w:type="paragraph" w:styleId="Default" w:customStyle="1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Zpat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416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6e4162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6e4162"/>
    <w:pPr/>
    <w:rPr>
      <w:b/>
      <w:bCs/>
    </w:rPr>
  </w:style>
  <w:style w:type="paragraph" w:styleId="ListParagraph">
    <w:name w:val="List Paragraph"/>
    <w:basedOn w:val="Normal"/>
    <w:uiPriority w:val="34"/>
    <w:qFormat/>
    <w:rsid w:val="00c051b1"/>
    <w:pPr>
      <w:spacing w:before="0" w:after="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295696"/>
    <w:pPr>
      <w:tabs>
        <w:tab w:val="center" w:pos="4536" w:leader="none"/>
        <w:tab w:val="right" w:pos="9072" w:leader="none"/>
      </w:tabs>
    </w:pPr>
    <w:rPr/>
  </w:style>
  <w:style w:type="paragraph" w:styleId="WText" w:customStyle="1">
    <w:name w:val="wText"/>
    <w:basedOn w:val="Normal"/>
    <w:link w:val="wTextChar"/>
    <w:uiPriority w:val="2"/>
    <w:qFormat/>
    <w:rsid w:val="00fd2fff"/>
    <w:pPr>
      <w:suppressAutoHyphens w:val="false"/>
      <w:spacing w:before="0" w:after="180"/>
      <w:jc w:val="both"/>
    </w:pPr>
    <w:rPr>
      <w:rFonts w:eastAsia="MS Mincho"/>
      <w:sz w:val="22"/>
      <w:szCs w:val="22"/>
      <w:lang w:eastAsia="en-US"/>
    </w:rPr>
  </w:style>
  <w:style w:type="paragraph" w:styleId="WCPageNumber" w:customStyle="1">
    <w:name w:val="WCPageNumber"/>
    <w:link w:val="WCPageNumberChar"/>
    <w:qFormat/>
    <w:rsid w:val="00fe7a0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Revision">
    <w:name w:val="Revision"/>
    <w:uiPriority w:val="99"/>
    <w:semiHidden/>
    <w:qFormat/>
    <w:rsid w:val="00e215f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BodyText2">
    <w:name w:val="Body Text 2"/>
    <w:basedOn w:val="Normal"/>
    <w:link w:val="Zkladntext2Char"/>
    <w:qFormat/>
    <w:rsid w:val="001d5612"/>
    <w:pPr>
      <w:suppressAutoHyphens w:val="false"/>
      <w:spacing w:lineRule="auto" w:line="480" w:before="0" w:after="120"/>
    </w:pPr>
    <w:rPr>
      <w:lang w:eastAsia="cs-CZ"/>
    </w:rPr>
  </w:style>
  <w:style w:type="paragraph" w:styleId="Stednmka1zvraznn21" w:customStyle="1">
    <w:name w:val="Střední mřížka 1 – zvýraznění 21"/>
    <w:basedOn w:val="Normal"/>
    <w:uiPriority w:val="72"/>
    <w:qFormat/>
    <w:rsid w:val="001d5612"/>
    <w:pPr>
      <w:suppressAutoHyphens w:val="false"/>
      <w:ind w:left="708" w:hanging="0"/>
    </w:pPr>
    <w:rPr>
      <w:lang w:eastAsia="cs-CZ"/>
    </w:rPr>
  </w:style>
  <w:style w:type="paragraph" w:styleId="Odstavecseseznamem1" w:customStyle="1">
    <w:name w:val="Odstavec se seznamem1"/>
    <w:basedOn w:val="Normal"/>
    <w:qFormat/>
    <w:rsid w:val="007b56b3"/>
    <w:pPr>
      <w:suppressAutoHyphens w:val="false"/>
      <w:spacing w:before="0" w:after="0"/>
      <w:ind w:left="720" w:hanging="0"/>
      <w:contextualSpacing/>
    </w:pPr>
    <w:rPr>
      <w:lang w:eastAsia="cs-CZ"/>
    </w:rPr>
  </w:style>
  <w:style w:type="paragraph" w:styleId="Podtitul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302fe2"/>
  </w:style>
  <w:style w:type="numbering" w:styleId="WW8Num19" w:customStyle="1">
    <w:name w:val="WW8Num19"/>
    <w:qFormat/>
    <w:rsid w:val="00302fe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ibehynasichsousedu.cz/" TargetMode="External"/><Relationship Id="rId3" Type="http://schemas.openxmlformats.org/officeDocument/2006/relationships/hyperlink" Target="http://www.pametnaroda.cz/" TargetMode="External"/><Relationship Id="rId4" Type="http://schemas.openxmlformats.org/officeDocument/2006/relationships/hyperlink" Target="http://www.pribehynasichsousedu.cz/" TargetMode="External"/><Relationship Id="rId5" Type="http://schemas.openxmlformats.org/officeDocument/2006/relationships/hyperlink" Target="http://www.pametnaroda.cz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LibreOffice/6.0.2.1$Windows_X86_64 LibreOffice_project/f7f06a8f319e4b62f9bc5095aa112a65d2f3ac89</Application>
  <Pages>4</Pages>
  <Words>1482</Words>
  <Characters>8870</Characters>
  <CharactersWithSpaces>10254</CharactersWithSpaces>
  <Paragraphs>86</Paragraphs>
  <Company>PostBellum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2022-01-11T13:16:00Z</dcterms:created>
  <dc:creator>Lenovo</dc:creator>
  <dc:description/>
  <dc:language>cs-CZ</dc:language>
  <cp:lastModifiedBy/>
  <dcterms:modified xsi:type="dcterms:W3CDTF">2022-09-12T12:09:44Z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PostBellum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