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585470" distR="0" simplePos="0" relativeHeight="125829378" behindDoc="0" locked="0" layoutInCell="1" allowOverlap="1">
            <wp:simplePos x="0" y="0"/>
            <wp:positionH relativeFrom="page">
              <wp:posOffset>5752465</wp:posOffset>
            </wp:positionH>
            <wp:positionV relativeFrom="paragraph">
              <wp:posOffset>887095</wp:posOffset>
            </wp:positionV>
            <wp:extent cx="1438910" cy="7406640"/>
            <wp:wrapTight wrapText="left">
              <wp:wrapPolygon>
                <wp:start x="0" y="0"/>
                <wp:lineTo x="21600" y="0"/>
                <wp:lineTo x="21600" y="21600"/>
                <wp:lineTo x="20731" y="21600"/>
                <wp:lineTo x="20731" y="836"/>
                <wp:lineTo x="0" y="836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8910" cy="7406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1036320</wp:posOffset>
                </wp:positionV>
                <wp:extent cx="527050" cy="1371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6.85000000000002pt;margin-top:81.599999999999994pt;width:41.5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0" distR="1127760" simplePos="0" relativeHeight="125829379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908050</wp:posOffset>
                </wp:positionV>
                <wp:extent cx="128270" cy="17081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7.5pt;margin-top:71.5pt;width:10.1pt;height:13.449999999999999pt;z-index:-125829374;mso-wrap-distance-left:0;mso-wrap-distance-top:0.69999999999999996pt;mso-wrap-distance-right:88.799999999999997pt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33985" distR="635" simplePos="0" relativeHeight="125829381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899160</wp:posOffset>
                </wp:positionV>
                <wp:extent cx="1121410" cy="18288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smlouvy kupujícího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8.05000000000001pt;margin-top:70.799999999999997pt;width:88.299999999999997pt;height:14.4pt;z-index:-125829372;mso-wrap-distance-left:10.550000000000001pt;mso-wrap-distance-right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smlouvy kupujícího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1222375</wp:posOffset>
                </wp:positionV>
                <wp:extent cx="2084705" cy="134747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4705" cy="1347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33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Prodávající: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PROFI AUTO CZ, a.s. Kolovratská 1367/15 251 01 Říčany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IČO: 26178559 DIČ: CZ26178559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Jiřím Tovarou, ředitelem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4.75pt;margin-top:96.25pt;width:164.15000000000001pt;height:106.0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Prodávající: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Jiřím Tovarou, ředitelem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4075430</wp:posOffset>
                </wp:positionV>
                <wp:extent cx="6327775" cy="4787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27775" cy="4787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853"/>
                              <w:gridCol w:w="1704"/>
                              <w:gridCol w:w="3408"/>
                            </w:tblGrid>
                            <w:tr>
                              <w:trPr>
                                <w:tblHeader/>
                                <w:trHeight w:val="26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Náhradní díly IVECO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1sad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188 051,-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celkem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188 051,-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7.149999999999999pt;margin-top:320.89999999999998pt;width:498.25pt;height:37.700000000000003pt;z-index:-125829368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853"/>
                        <w:gridCol w:w="1704"/>
                        <w:gridCol w:w="3408"/>
                      </w:tblGrid>
                      <w:tr>
                        <w:trPr>
                          <w:tblHeader/>
                          <w:trHeight w:val="26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Cena v Kč bez DPH</w:t>
                            </w:r>
                          </w:p>
                        </w:tc>
                      </w:tr>
                      <w:tr>
                        <w:trPr>
                          <w:trHeight w:val="24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Náhradní díly IVECO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1sad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188 051,-</w:t>
                            </w:r>
                          </w:p>
                        </w:tc>
                      </w:tr>
                      <w:tr>
                        <w:trPr>
                          <w:trHeight w:val="245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Cena celkem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188 051,-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17"/>
        <w:keepNext w:val="0"/>
        <w:keepLines w:val="0"/>
        <w:widowControl w:val="0"/>
        <w:shd w:val="clear" w:color="auto" w:fill="auto"/>
        <w:tabs>
          <w:tab w:leader="underscore" w:pos="10210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zák. č. 89/2012 Sb„ obě. zákoníku - dálejenjOZ")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SMLOUVA REGISTROVÁNA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č. smlouvy prodávajícího: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16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Kosovská 1122/16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58601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Zastoupený: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ve věcech technických: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682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, mistrem dopravy TR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SMLOUVY: dodávka náhradních dílů na opravu vozidla IVECO RZ 5J5 3327 JÚ 5281 BY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(dále také jako „zboží“)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72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31. 12. 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Třebíč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dní od data jejího doručení.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2" w:left="1095" w:right="518" w:bottom="2681" w:header="164" w:footer="225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465455" distB="12065" distL="0" distR="0" simplePos="0" relativeHeight="125829387" behindDoc="0" locked="0" layoutInCell="1" allowOverlap="1">
            <wp:simplePos x="0" y="0"/>
            <wp:positionH relativeFrom="page">
              <wp:posOffset>862965</wp:posOffset>
            </wp:positionH>
            <wp:positionV relativeFrom="paragraph">
              <wp:posOffset>465455</wp:posOffset>
            </wp:positionV>
            <wp:extent cx="1938655" cy="25590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3865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44830" distB="0" distL="0" distR="0" simplePos="0" relativeHeight="125829388" behindDoc="0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544830</wp:posOffset>
                </wp:positionV>
                <wp:extent cx="868680" cy="1860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94.10000000000002pt;margin-top:42.899999999999999pt;width:68.400000000000006pt;height:14.65pt;z-index:-125829365;mso-wrap-distance-left:0;mso-wrap-distance-top:42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1800" distB="85090" distL="0" distR="0" simplePos="0" relativeHeight="125829390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431800</wp:posOffset>
                </wp:positionV>
                <wp:extent cx="740410" cy="21336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1 0. 10. 2022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83.39999999999998pt;margin-top:34.pt;width:58.299999999999997pt;height:16.800000000000001pt;z-index:-125829363;mso-wrap-distance-left:0;mso-wrap-distance-top:34.pt;mso-wrap-distance-right:0;mso-wrap-distance-bottom:6.700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1 0. 10. 2022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3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left="0" w:right="0" w:bottom="138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12700</wp:posOffset>
                </wp:positionV>
                <wp:extent cx="1182370" cy="506095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prodávajícího Jiří Tovara ředitel společná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5.799999999999997pt;margin-top:1.pt;width:93.099999999999994pt;height:39.8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 Jiří Tovara ředitel společná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 Ing. Radovan Ňeóid ředitel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left="1927" w:right="690" w:bottom="138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AUT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1260" w:line="288" w:lineRule="auto"/>
        <w:ind w:left="0" w:right="0" w:firstLine="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Cenová nabídka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„dodávka náhradních dílů na opravu vozidla IVECO RZ 5J5 3327 JÚ 5281 BY“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1987"/>
        <w:gridCol w:w="7258"/>
      </w:tblGrid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Od: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@&gt;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profiautocz.cz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&gt;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Odesláno: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středa 21. září 2022 10:20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Komu:</w:t>
      </w:r>
    </w:p>
    <w:tbl>
      <w:tblPr>
        <w:tblOverlap w:val="never"/>
        <w:jc w:val="center"/>
        <w:tblLayout w:type="fixed"/>
      </w:tblPr>
      <w:tblGrid>
        <w:gridCol w:w="1987"/>
        <w:gridCol w:w="7258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Kopie: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(PROFI AUTO CZ a.s.)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Předmět: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Nacenění filtr DPF -Iveco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vybiral.vcf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zasílám ceny dílů k výměně filtru DPF+výfukové trubky na vozidlo Iveco Trakker euro 6:</w:t>
      </w:r>
    </w:p>
    <w:tbl>
      <w:tblPr>
        <w:tblOverlap w:val="never"/>
        <w:jc w:val="center"/>
        <w:tblLayout w:type="fixed"/>
      </w:tblPr>
      <w:tblGrid>
        <w:gridCol w:w="1987"/>
        <w:gridCol w:w="7258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filtr DPF -nový díl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5801429215</w:t>
              <w:tab/>
              <w:t>148.265,-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trubka výfuku e6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3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5801864886</w:t>
              <w:tab/>
              <w:t>38.800,-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spona výfuku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7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41201881</w:t>
              <w:tab/>
              <w:t>386,-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spona výfuku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7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41288279</w:t>
              <w:tab/>
              <w:t>600,-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Uvedené ceny jsou bez DPH,poptávané díly jsou skladem.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573" w:left="1422" w:right="1194" w:bottom="2818" w:header="14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8903970</wp:posOffset>
              </wp:positionV>
              <wp:extent cx="30480" cy="6413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09.89999999999998pt;margin-top:701.10000000000002pt;width:2.3999999999999999pt;height:5.0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 (5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8">
    <w:name w:val="Základní text (4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">
    <w:name w:val="Nadpis #2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hlaví nebo zápatí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ind w:left="21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ind w:left="13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30" w:line="341" w:lineRule="auto"/>
      <w:ind w:left="704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FFFFFF"/>
    </w:pPr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FFFFFF"/>
      <w:spacing w:after="220"/>
      <w:ind w:firstLine="6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