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00" w:line="341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710565</wp:posOffset>
                </wp:positionH>
                <wp:positionV relativeFrom="paragraph">
                  <wp:posOffset>50800</wp:posOffset>
                </wp:positionV>
                <wp:extent cx="1578610" cy="38417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78610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silme Vysočiny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950000000000003pt;margin-top:4.pt;width:124.3pt;height:30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Krajská správa a údržba 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silme Vysočiny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40" w:line="34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 číslem: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hanging="35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č.1 KE SMLOUVĚ O DÍLO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388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566" w:left="7724" w:right="955" w:bottom="1996" w:header="138" w:footer="3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„Oprava místních komunikací - Obec Víska“</w:t>
      </w:r>
    </w:p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66" w:left="0" w:right="0" w:bottom="127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framePr w:w="2352" w:h="274" w:wrap="none" w:vAnchor="text" w:hAnchor="page" w:x="113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</w:t>
      </w:r>
    </w:p>
    <w:p>
      <w:pPr>
        <w:pStyle w:val="Style10"/>
        <w:keepNext w:val="0"/>
        <w:keepLines w:val="0"/>
        <w:framePr w:w="2270" w:h="269" w:wrap="none" w:vAnchor="text" w:hAnchor="page" w:x="1144" w:y="4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</w:p>
    <w:p>
      <w:pPr>
        <w:widowControl w:val="0"/>
        <w:spacing w:after="7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66" w:left="1119" w:right="955" w:bottom="127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</w:t>
        <w:br/>
        <w:t>Smluvní strany</w:t>
      </w:r>
    </w:p>
    <w:tbl>
      <w:tblPr>
        <w:tblOverlap w:val="never"/>
        <w:jc w:val="center"/>
        <w:tblLayout w:type="fixed"/>
      </w:tblPr>
      <w:tblGrid>
        <w:gridCol w:w="1915"/>
        <w:gridCol w:w="7574"/>
      </w:tblGrid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Obec Víska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Víska 50_, 583 01 Chotěboř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Ondřej Čapek, starosta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odpovědná jednat jménem objednatele ve věcech technických: Osoba odpovědná jednat jménem objednatele při předání a převzetí prací: Bankovní spojení: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15"/>
        <w:gridCol w:w="7574"/>
      </w:tblGrid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00179671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CZ00179671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Telefon E-mail: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fldChar w:fldCharType="begin"/>
            </w:r>
            <w:r>
              <w:rPr/>
              <w:instrText> HYPERLINK "mailto:viskaou@seznam.cz"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viskaou@seznam.cz</w:t>
            </w:r>
            <w:r>
              <w:fldChar w:fldCharType="end"/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objednatel)</w:t>
      </w:r>
    </w:p>
    <w:p>
      <w:pPr>
        <w:widowControl w:val="0"/>
        <w:spacing w:after="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15"/>
        <w:gridCol w:w="7574"/>
      </w:tblGrid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Ing. Radovan Necid, ředitelem organizace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tabs>
          <w:tab w:pos="7579" w:val="left"/>
        </w:tabs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odpovědná jednat jménem zhotovitele ve věcech technických:</w:t>
        <w:tab/>
        <w:t>vedoucí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cestmistrovství Chotěboř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7992" w:val="left"/>
        </w:tabs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odpovědná jednat jménem zhotovitele při předání a převzetí prací:</w:t>
        <w:tab/>
        <w:t>vedoucí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cestmistrovství Chotěboř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15"/>
        <w:gridCol w:w="7574"/>
      </w:tblGrid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účtu 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15"/>
        <w:gridCol w:w="7574"/>
      </w:tblGrid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15"/>
        <w:gridCol w:w="7574"/>
      </w:tblGrid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Jksusv.cz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zhotovitel)</w:t>
      </w:r>
    </w:p>
    <w:p>
      <w:pPr>
        <w:widowControl w:val="0"/>
        <w:spacing w:after="21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Smluvní strany se dohodly, že jejich závazkový vztah ve smyslu §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2586 a násl. zákona č. 89/2012 Sb., Občanského zákoníku, v platném znění (dále jen „NOZ“)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řídí tímto zákonem a na shora uvedenou zakázku na stavební práce uzavírají dnešního dne měsíce a roku tento Dodatek (dále jen „Dodatek“).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rozsah a cena díla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2.1. Na základě SOD čl. 14.1. se mění čl. 4.1. následovně: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4.1. Cena díla:</w:t>
      </w:r>
    </w:p>
    <w:tbl>
      <w:tblPr>
        <w:tblOverlap w:val="never"/>
        <w:jc w:val="left"/>
        <w:tblLayout w:type="fixed"/>
      </w:tblPr>
      <w:tblGrid>
        <w:gridCol w:w="5904"/>
        <w:gridCol w:w="1387"/>
      </w:tblGrid>
      <w:tr>
        <w:trPr>
          <w:trHeight w:val="84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136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Původní cena dle SOD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136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Vícepráce (práce provedené nad rámec rozpočtu) Nová cena dle Dodatku č.1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467.607,05,-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27.680,-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495.287,05,-</w:t>
            </w:r>
          </w:p>
        </w:tc>
      </w:tr>
    </w:tbl>
    <w:p>
      <w:pPr>
        <w:widowControl w:val="0"/>
        <w:spacing w:after="5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jsou uvedeny bez DPH.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dodatku č.1 je vyčíslení skutečně provedených prací.</w:t>
      </w:r>
      <w:r>
        <w:br w:type="page"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554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Krajská správa</w:t>
        <w:tab/>
        <w:t>-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a údržba silme Vysočiny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2.2. Ostatní ustanovení dle původní SOD zůstávají v platnosti beze změny.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436880" distB="106680" distL="0" distR="0" simplePos="0" relativeHeight="125829380" behindDoc="0" locked="0" layoutInCell="1" allowOverlap="1">
                <wp:simplePos x="0" y="0"/>
                <wp:positionH relativeFrom="page">
                  <wp:posOffset>864870</wp:posOffset>
                </wp:positionH>
                <wp:positionV relativeFrom="paragraph">
                  <wp:posOffset>436880</wp:posOffset>
                </wp:positionV>
                <wp:extent cx="780415" cy="161290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0415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Ve Vísce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68.099999999999994pt;margin-top:34.399999999999999pt;width:61.450000000000003pt;height:12.699999999999999pt;z-index:-125829373;mso-wrap-distance-left:0;mso-wrap-distance-top:34.399999999999999pt;mso-wrap-distance-right:0;mso-wrap-distance-bottom:8.4000000000000004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 Vísce dne: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30200" distB="142875" distL="0" distR="0" simplePos="0" relativeHeight="125829382" behindDoc="0" locked="0" layoutInCell="1" allowOverlap="1">
                <wp:simplePos x="0" y="0"/>
                <wp:positionH relativeFrom="page">
                  <wp:posOffset>1721485</wp:posOffset>
                </wp:positionH>
                <wp:positionV relativeFrom="paragraph">
                  <wp:posOffset>330200</wp:posOffset>
                </wp:positionV>
                <wp:extent cx="374650" cy="231775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4650" cy="231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Q.AO.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35.55000000000001pt;margin-top:26.pt;width:29.5pt;height:18.25pt;z-index:-125829371;mso-wrap-distance-left:0;mso-wrap-distance-top:26.pt;mso-wrap-distance-right:0;mso-wrap-distance-bottom:11.25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Q.AO.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45770" distB="97790" distL="0" distR="0" simplePos="0" relativeHeight="125829384" behindDoc="0" locked="0" layoutInCell="1" allowOverlap="1">
                <wp:simplePos x="0" y="0"/>
                <wp:positionH relativeFrom="page">
                  <wp:posOffset>4318000</wp:posOffset>
                </wp:positionH>
                <wp:positionV relativeFrom="paragraph">
                  <wp:posOffset>445770</wp:posOffset>
                </wp:positionV>
                <wp:extent cx="792480" cy="161290"/>
                <wp:wrapTopAndBottom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248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40.pt;margin-top:35.100000000000001pt;width:62.399999999999999pt;height:12.699999999999999pt;z-index:-125829369;mso-wrap-distance-left:0;mso-wrap-distance-top:35.100000000000001pt;mso-wrap-distance-right:0;mso-wrap-distance-bottom:7.7000000000000002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13080" distB="0" distL="0" distR="0" simplePos="0" relativeHeight="125829386" behindDoc="0" locked="0" layoutInCell="1" allowOverlap="1">
                <wp:simplePos x="0" y="0"/>
                <wp:positionH relativeFrom="page">
                  <wp:posOffset>5452110</wp:posOffset>
                </wp:positionH>
                <wp:positionV relativeFrom="paragraph">
                  <wp:posOffset>513080</wp:posOffset>
                </wp:positionV>
                <wp:extent cx="753110" cy="191770"/>
                <wp:wrapTopAndBottom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311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1 0. 10. 2022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29.30000000000001pt;margin-top:40.399999999999999pt;width:59.299999999999997pt;height:15.1pt;z-index:-125829367;mso-wrap-distance-left:0;mso-wrap-distance-top:40.3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1 0. 10. 2022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3720"/>
        <w:gridCol w:w="5179"/>
      </w:tblGrid>
      <w:tr>
        <w:trPr>
          <w:trHeight w:val="75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Ondřej Čapek, starosta Obec Víska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Ing. Radovan Necid, řeáitel organizace Krajská správa a údržba silnic Vysočiny, příspěvková organizace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64" w:left="1062" w:right="1340" w:bottom="1998" w:header="136" w:footer="3" w:gutter="0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Položkový rozpočet - skutečně provedené práce</w:t>
      </w:r>
      <w:bookmarkEnd w:id="2"/>
      <w:bookmarkEnd w:id="3"/>
    </w:p>
    <w:p>
      <w:pPr>
        <w:pStyle w:val="Style16"/>
        <w:keepNext w:val="0"/>
        <w:keepLines w:val="0"/>
        <w:widowControl w:val="0"/>
        <w:shd w:val="clear" w:color="auto" w:fill="auto"/>
        <w:tabs>
          <w:tab w:pos="1819" w:val="left"/>
          <w:tab w:leader="underscore" w:pos="10877" w:val="left"/>
          <w:tab w:pos="12149" w:val="left"/>
          <w:tab w:pos="13114" w:val="left"/>
        </w:tabs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Stavba :</w:t>
        <w:tab/>
      </w:r>
      <w:r>
        <w:rPr>
          <w:i/>
          <w:iCs/>
          <w:color w:val="000000"/>
          <w:spacing w:val="0"/>
          <w:w w:val="100"/>
          <w:position w:val="0"/>
          <w:sz w:val="18"/>
          <w:szCs w:val="18"/>
          <w:u w:val="single"/>
          <w:shd w:val="clear" w:color="auto" w:fill="auto"/>
          <w:lang w:val="cs-CZ" w:eastAsia="cs-CZ" w:bidi="cs-CZ"/>
        </w:rPr>
        <w:t>Obec víska - Oprava MK 2022</w:t>
      </w:r>
      <w:r>
        <w:rPr>
          <w:i/>
          <w:i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ab/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6"/>
          <w:szCs w:val="16"/>
          <w:u w:val="single"/>
          <w:shd w:val="clear" w:color="auto" w:fill="auto"/>
          <w:lang w:val="cs-CZ" w:eastAsia="cs-CZ" w:bidi="cs-CZ"/>
        </w:rPr>
        <w:t>495 287,05</w:t>
        <w:tab/>
        <w:t>99 499,48</w:t>
        <w:tab/>
        <w:t>573 306,52</w:t>
      </w:r>
    </w:p>
    <w:tbl>
      <w:tblPr>
        <w:tblOverlap w:val="never"/>
        <w:jc w:val="center"/>
        <w:tblLayout w:type="fixed"/>
      </w:tblPr>
      <w:tblGrid>
        <w:gridCol w:w="514"/>
        <w:gridCol w:w="1301"/>
        <w:gridCol w:w="5995"/>
        <w:gridCol w:w="715"/>
        <w:gridCol w:w="1022"/>
        <w:gridCol w:w="1109"/>
        <w:gridCol w:w="1123"/>
        <w:gridCol w:w="1157"/>
        <w:gridCol w:w="1142"/>
      </w:tblGrid>
      <w:tr>
        <w:trPr>
          <w:trHeight w:val="2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Poř. č. pol.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</w:tr>
      <w:tr>
        <w:trPr>
          <w:trHeight w:val="49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DPH 21%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 s 21%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DPH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</w:t>
            </w:r>
          </w:p>
        </w:tc>
      </w:tr>
      <w:tr>
        <w:trPr>
          <w:trHeight w:val="39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a název rozpočtu: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SO01 - Oprava MK - balená, MK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376 544,09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75 873,86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437 177,95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113154113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živičného krytu ti 50 mm pruh š 0,5 m pl do 500 m2 bez překážek v trase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živičného podkladu nebo krytu s naložením na dopravní prostředek plochy do 500 m2 bez překážek v trase pruhu šířky do 0,5 m, tloušťky vrstvy 50 mm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přecho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409,50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2 359,50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181951112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pláně v hornině třídy těžitelnosti I, skupiny 1 až 3 se zhutněním strojně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pláně vyrovnáním výškových rozdílů strojně v hornině třídy těžitelnosti I, skupiny 1 až 3 se zhutněním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Reprofilace stávajícíc nivelety komunikace - doplněním asf. recy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532,750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18 646,25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3 915,71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22 561,96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686E6E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cs-CZ" w:eastAsia="cs-CZ" w:bidi="cs-CZ"/>
              </w:rPr>
              <w:t>um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686E6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686E6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686E6E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RHHMHR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686E6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686E6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686E6E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34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20 596,25</w:t>
              <w:tab/>
              <w:t>4 325,21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Komunikace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569903311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zemních krajnic se zhutněním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zemních krajnic z hornin jakékoliv třídy se zhutněním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krajnic z asf. recyklátu š. cca 25cm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73,250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24 538,75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5 153,14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29 691,89</w:t>
            </w:r>
          </w:p>
        </w:tc>
      </w:tr>
      <w:tr>
        <w:trPr>
          <w:trHeight w:val="8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572221111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Vyspravení výtluků tryskovou metodou směsí kameniva a asfaltové emulze při spotřebě do 1 t na 1 km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Vyspravení výtluků tryskovou metodou směsí kameniva a asfaltové emulze při spotřebě na 1 km komunikace do 1 t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Ošetření pracovních spař asf. emulzí C65B3 a kameniva fr. 2/5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1 785,00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10 285,00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577154121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Asfaltový beton vrstva obrusná ACO 11 (ABS) tř. I tl 60 mm š přes 3 m z nemodifikovaného asfaltu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Asfaltový beton vrstva obrusná ACO 11 (ABS) s rozprostřením a se zhutněním z nemodifikovaného asfaltu v pruhu šířky přes 3 m tř. I, po zhutnění tl. 60 mm Dodá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532,750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277 030,00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58 176,30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335 206,30</w:t>
            </w:r>
          </w:p>
        </w:tc>
      </w:tr>
      <w:tr>
        <w:trPr>
          <w:trHeight w:val="8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577154121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Asfaltový beton vrstva obrusná ACO 11 (ABS) tř. I tl 60 mm š přes 3 m z nemodifikovaného asfaltu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Asfaltový beton vrstva obrusná ACO 11 (ABS) s rozprostřením a se zhutněním z nemodifikovaného asfaltu v pruhu šířky přes 3 m tř. I, po zhutnění tl. 60 mm Dodá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15 730,00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686E6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686E6E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306" w:val="left"/>
              </w:tabs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  <w:tab/>
              <w:t>Komunikace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686E6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686E6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686E6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686E6E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1243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323 068,75</w:t>
              <w:tab/>
              <w:t>65114,44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899331111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Potrubí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Výšková úprava uličního vstupu nebo vpusti do 200 mm zvýšením poklopu Výšková úprava uličního vstupu nebo vpusti do 200 mm zvýšením poklopu Vyrovnání stávajících kanalizačních poklopů do nové nivelety komunikace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2 604,00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15 004,00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899331111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Výšková úprava uličního vstupu nebo vpusti do 200 mm zvýšením poklopu Výšková úprava uličního vstupu nebo vpusti do 200 mm zvýšením poklopu Vyrovnání stávajících kanalizačních poklopů do nové nivelety komunikace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6 200,00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1 302,00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7 502,00</w:t>
            </w:r>
          </w:p>
        </w:tc>
      </w:tr>
    </w:tbl>
    <w:p>
      <w:pPr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6840" w:h="11900" w:orient="landscape"/>
          <w:pgMar w:top="1358" w:left="1321" w:right="1441" w:bottom="1184" w:header="930" w:footer="756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framePr w:w="734" w:h="168" w:wrap="none" w:hAnchor="page" w:x="1845" w:y="3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899431111</w:t>
      </w:r>
    </w:p>
    <w:p>
      <w:pPr>
        <w:pStyle w:val="Style5"/>
        <w:keepNext w:val="0"/>
        <w:keepLines w:val="0"/>
        <w:framePr w:w="734" w:h="187" w:wrap="none" w:hAnchor="page" w:x="1845" w:y="12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899431111</w:t>
      </w:r>
    </w:p>
    <w:p>
      <w:pPr>
        <w:pStyle w:val="Style5"/>
        <w:keepNext w:val="0"/>
        <w:keepLines w:val="0"/>
        <w:framePr w:w="5717" w:h="1805" w:wrap="none" w:hAnchor="page" w:x="3107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Výšková úprava uličního vstupu nebo vpusti do 200 mm zvýšením krycího hrnce, šoupěte nebo hydrantu</w:t>
      </w:r>
    </w:p>
    <w:p>
      <w:pPr>
        <w:pStyle w:val="Style5"/>
        <w:keepNext w:val="0"/>
        <w:keepLines w:val="0"/>
        <w:framePr w:w="5717" w:h="1805" w:wrap="none" w:hAnchor="page" w:x="3107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Výšková úprava uličního vstupu nebo vpusti do 200 mm zvýšením krycího hrnce, šoupěte nebo hydrantu bez úpravy armatur</w:t>
      </w:r>
    </w:p>
    <w:p>
      <w:pPr>
        <w:pStyle w:val="Style5"/>
        <w:keepNext w:val="0"/>
        <w:keepLines w:val="0"/>
        <w:framePr w:w="5717" w:h="1805" w:wrap="none" w:hAnchor="page" w:x="3107" w:y="1"/>
        <w:widowControl w:val="0"/>
        <w:shd w:val="clear" w:color="auto" w:fill="auto"/>
        <w:tabs>
          <w:tab w:leader="underscore" w:pos="3754" w:val="left"/>
          <w:tab w:leader="underscore" w:pos="5611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Vyrovnání stávajíc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ích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vodovodních šoup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ab/>
      </w:r>
    </w:p>
    <w:p>
      <w:pPr>
        <w:pStyle w:val="Style5"/>
        <w:keepNext w:val="0"/>
        <w:keepLines w:val="0"/>
        <w:framePr w:w="5717" w:h="1805" w:wrap="none" w:hAnchor="page" w:x="3107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| Výšková úprava uličního vstupu nebo vpusti do 200 mm zvýšením krycího hrnce, šoupěte nebo hydrantu</w:t>
      </w:r>
    </w:p>
    <w:p>
      <w:pPr>
        <w:pStyle w:val="Style5"/>
        <w:keepNext w:val="0"/>
        <w:keepLines w:val="0"/>
        <w:framePr w:w="5717" w:h="1805" w:wrap="none" w:hAnchor="page" w:x="3107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Výšková úprava uličního vstupu nebo vpusti do 200 mm zvýšením krycího hrnce, šoupěte nebo hydrantu bez úpravy armatur</w:t>
      </w:r>
    </w:p>
    <w:p>
      <w:pPr>
        <w:pStyle w:val="Style5"/>
        <w:keepNext w:val="0"/>
        <w:keepLines w:val="0"/>
        <w:framePr w:w="5717" w:h="1805" w:wrap="none" w:hAnchor="page" w:x="3107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Vyrovnání stávajících vodovodních šoup</w:t>
      </w:r>
    </w:p>
    <w:p>
      <w:pPr>
        <w:pStyle w:val="Style5"/>
        <w:keepNext w:val="0"/>
        <w:keepLines w:val="0"/>
        <w:framePr w:w="331" w:h="187" w:wrap="none" w:hAnchor="page" w:x="9146" w:y="12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</w:p>
    <w:p>
      <w:pPr>
        <w:pStyle w:val="Style5"/>
        <w:keepNext w:val="0"/>
        <w:keepLines w:val="0"/>
        <w:framePr w:w="206" w:h="187" w:wrap="none" w:hAnchor="page" w:x="2397" w:y="21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</w:t>
      </w:r>
    </w:p>
    <w:p>
      <w:pPr>
        <w:pStyle w:val="Style5"/>
        <w:keepNext w:val="0"/>
        <w:keepLines w:val="0"/>
        <w:framePr w:w="1334" w:h="518" w:wrap="none" w:hAnchor="page" w:x="3083" w:y="1988"/>
        <w:widowControl w:val="0"/>
        <w:shd w:val="clear" w:color="auto" w:fill="auto"/>
        <w:bidi w:val="0"/>
        <w:spacing w:before="80" w:after="0" w:line="31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 Přesun hmot HSV T</w:t>
      </w:r>
    </w:p>
    <w:p>
      <w:pPr>
        <w:pStyle w:val="Style5"/>
        <w:keepNext w:val="0"/>
        <w:keepLines w:val="0"/>
        <w:framePr w:w="398" w:h="187" w:wrap="none" w:hAnchor="page" w:x="10456" w:y="3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5,000</w:t>
      </w:r>
    </w:p>
    <w:p>
      <w:pPr>
        <w:pStyle w:val="Style5"/>
        <w:keepNext w:val="0"/>
        <w:keepLines w:val="0"/>
        <w:framePr w:w="398" w:h="187" w:wrap="none" w:hAnchor="page" w:x="10456" w:y="12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2,000</w:t>
      </w:r>
    </w:p>
    <w:p>
      <w:pPr>
        <w:pStyle w:val="Style5"/>
        <w:keepNext w:val="0"/>
        <w:keepLines w:val="0"/>
        <w:framePr w:w="586" w:h="187" w:wrap="none" w:hAnchor="page" w:x="11387" w:y="12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1 120,00</w:t>
      </w:r>
    </w:p>
    <w:p>
      <w:pPr>
        <w:pStyle w:val="Style5"/>
        <w:keepNext w:val="0"/>
        <w:keepLines w:val="0"/>
        <w:framePr w:w="586" w:h="187" w:wrap="none" w:hAnchor="page" w:x="13653" w:y="3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1 176,00</w:t>
      </w:r>
    </w:p>
    <w:p>
      <w:pPr>
        <w:pStyle w:val="Style5"/>
        <w:keepNext w:val="0"/>
        <w:keepLines w:val="0"/>
        <w:framePr w:w="590" w:h="187" w:wrap="none" w:hAnchor="page" w:x="14695" w:y="3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6 776,00</w:t>
      </w:r>
    </w:p>
    <w:p>
      <w:pPr>
        <w:pStyle w:val="Style33"/>
        <w:keepNext w:val="0"/>
        <w:keepLines w:val="0"/>
        <w:framePr w:w="595" w:h="187" w:wrap="none" w:hAnchor="page" w:x="14709" w:y="25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7 791,30</w:t>
      </w:r>
    </w:p>
    <w:p>
      <w:pPr>
        <w:pStyle w:val="Style33"/>
        <w:keepNext w:val="0"/>
        <w:keepLines w:val="0"/>
        <w:framePr w:w="566" w:h="192" w:wrap="none" w:hAnchor="page" w:x="13668" w:y="25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1 352,21</w:t>
      </w:r>
    </w:p>
    <w:p>
      <w:pPr>
        <w:pStyle w:val="Style33"/>
        <w:keepNext w:val="0"/>
        <w:keepLines w:val="0"/>
        <w:framePr w:w="398" w:h="187" w:wrap="none" w:hAnchor="page" w:x="11580" w:y="25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65,20</w:t>
      </w:r>
    </w:p>
    <w:p>
      <w:pPr>
        <w:pStyle w:val="Style33"/>
        <w:keepNext w:val="0"/>
        <w:keepLines w:val="0"/>
        <w:framePr w:w="475" w:h="187" w:wrap="none" w:hAnchor="page" w:x="10380" w:y="25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98,759</w:t>
      </w:r>
    </w:p>
    <w:p>
      <w:pPr>
        <w:pStyle w:val="Style33"/>
        <w:keepNext w:val="0"/>
        <w:keepLines w:val="0"/>
        <w:framePr w:w="192" w:h="187" w:wrap="none" w:hAnchor="page" w:x="1649" w:y="2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</w:t>
      </w:r>
    </w:p>
    <w:p>
      <w:pPr>
        <w:pStyle w:val="Style33"/>
        <w:keepNext w:val="0"/>
        <w:keepLines w:val="0"/>
        <w:framePr w:w="5818" w:h="566" w:wrap="none" w:hAnchor="page" w:x="3122" w:y="2367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pozemní komunikace s krytem z kamene, monolitickým betonovým nebo živičným</w:t>
      </w:r>
    </w:p>
    <w:p>
      <w:pPr>
        <w:pStyle w:val="Style33"/>
        <w:keepNext w:val="0"/>
        <w:keepLines w:val="0"/>
        <w:framePr w:w="5818" w:h="566" w:wrap="none" w:hAnchor="page" w:x="3122" w:y="2367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komunikace s krytem z kameniva, monolitickým betonovým nebo živičným</w:t>
      </w:r>
    </w:p>
    <w:p>
      <w:pPr>
        <w:widowControl w:val="0"/>
        <w:spacing w:line="360" w:lineRule="exact"/>
      </w:pPr>
      <w:r>
        <w:drawing>
          <wp:anchor distT="362585" distB="0" distL="0" distR="0" simplePos="0" relativeHeight="62914692" behindDoc="1" locked="0" layoutInCell="1" allowOverlap="1">
            <wp:simplePos x="0" y="0"/>
            <wp:positionH relativeFrom="page">
              <wp:posOffset>857250</wp:posOffset>
            </wp:positionH>
            <wp:positionV relativeFrom="margin">
              <wp:posOffset>1864995</wp:posOffset>
            </wp:positionV>
            <wp:extent cx="8924290" cy="3425825"/>
            <wp:wrapNone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924290" cy="34258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1385" w:left="1350" w:right="1436" w:bottom="1385" w:header="957" w:footer="95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3441700</wp:posOffset>
              </wp:positionH>
              <wp:positionV relativeFrom="page">
                <wp:posOffset>9823450</wp:posOffset>
              </wp:positionV>
              <wp:extent cx="643255" cy="8509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3255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71.pt;margin-top:773.5pt;width:50.649999999999999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747395</wp:posOffset>
              </wp:positionH>
              <wp:positionV relativeFrom="page">
                <wp:posOffset>9787890</wp:posOffset>
              </wp:positionV>
              <wp:extent cx="5257800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5780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850000000000001pt;margin-top:770.70000000000005pt;width:414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Základní text (2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Základní text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Nadpis #1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686698"/>
      <w:sz w:val="28"/>
      <w:szCs w:val="28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Jiné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4">
    <w:name w:val="Nadpis #2_"/>
    <w:basedOn w:val="DefaultParagraphFont"/>
    <w:link w:val="Style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4">
    <w:name w:val="Titulek obrázku_"/>
    <w:basedOn w:val="DefaultParagraphFont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  <w:spacing w:line="295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spacing w:line="28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Základní text"/>
    <w:basedOn w:val="Normal"/>
    <w:link w:val="CharStyle11"/>
    <w:pPr>
      <w:widowControl w:val="0"/>
      <w:shd w:val="clear" w:color="auto" w:fill="FFFFFF"/>
      <w:spacing w:after="21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86698"/>
      <w:sz w:val="28"/>
      <w:szCs w:val="28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8">
    <w:name w:val="Jiné"/>
    <w:basedOn w:val="Normal"/>
    <w:link w:val="CharStyle1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3">
    <w:name w:val="Nadpis #2"/>
    <w:basedOn w:val="Normal"/>
    <w:link w:val="CharStyle24"/>
    <w:pPr>
      <w:widowControl w:val="0"/>
      <w:shd w:val="clear" w:color="auto" w:fill="FFFFFF"/>
      <w:spacing w:after="360"/>
      <w:jc w:val="center"/>
      <w:outlineLvl w:val="1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3">
    <w:name w:val="Titulek obrázku"/>
    <w:basedOn w:val="Normal"/>
    <w:link w:val="CharStyle3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/Relationships>
</file>