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5881C786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391F0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91F0A" w:rsidRPr="00D1465D">
        <w:rPr>
          <w:rFonts w:ascii="Arial" w:hAnsi="Arial" w:cs="Arial"/>
          <w:b/>
          <w:color w:val="auto"/>
          <w:sz w:val="24"/>
          <w:szCs w:val="24"/>
        </w:rPr>
        <w:t>4500041671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1542F206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58AC0CEC" w:rsidR="00DB7CC4" w:rsidRPr="00AD58CC" w:rsidRDefault="00D1465D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D5F7901" w:rsidR="00DB7CC4" w:rsidRPr="00AD58CC" w:rsidRDefault="00E16230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74FA12BC" w:rsidR="00DB7CC4" w:rsidRPr="00AD58CC" w:rsidRDefault="00D1465D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nábř. Edvarda Beneše 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2B9B13C0" w:rsidR="00DB7CC4" w:rsidRPr="00AD58CC" w:rsidRDefault="00D1465D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sz w:val="22"/>
                <w:szCs w:val="22"/>
              </w:rPr>
              <w:t>CZ</w:t>
            </w:r>
            <w:r w:rsidR="00E1623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0"/>
            </w:tblGrid>
            <w:tr w:rsidR="00D1465D" w:rsidRPr="00D1465D" w14:paraId="42915ED4" w14:textId="77777777" w:rsidTr="00D1465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20BB0A93" w14:textId="6B4A73CF" w:rsidR="00D1465D" w:rsidRPr="00D1465D" w:rsidRDefault="004B6C13" w:rsidP="00CB62B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Mgr. Tomáš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Nalejvač</w:t>
                  </w:r>
                  <w:proofErr w:type="spellEnd"/>
                </w:p>
              </w:tc>
            </w:tr>
            <w:tr w:rsidR="00D1465D" w:rsidRPr="00D1465D" w14:paraId="4F8E57B1" w14:textId="77777777" w:rsidTr="00D146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1A4722" w14:textId="04105289" w:rsidR="00D1465D" w:rsidRPr="00AD58CC" w:rsidRDefault="00CB62BA" w:rsidP="00CB62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38EB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  <w:p w14:paraId="5BBE93B1" w14:textId="524FDAF9" w:rsidR="00D1465D" w:rsidRPr="00AD58CC" w:rsidRDefault="00CB62BA" w:rsidP="00CB62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38EB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  <w:p w14:paraId="5DEFB20C" w14:textId="0401AFEB" w:rsidR="00D1465D" w:rsidRPr="00D1465D" w:rsidRDefault="00CB62BA" w:rsidP="00CB62B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38EB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</w:tbl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513FCDDD" w:rsidR="00D80593" w:rsidRPr="00C45BAF" w:rsidRDefault="00D1465D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597B14E6" w:rsidR="00BD5463" w:rsidRPr="00C45BAF" w:rsidRDefault="004E48E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AD58CC" w:rsidRPr="003461A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  <w:r w:rsidR="00AD58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689552B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hyperlink r:id="rId9" w:history="1">
              <w:r w:rsidR="00AD58CC" w:rsidRPr="00AD58CC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posta@vlada.cz</w:t>
              </w:r>
            </w:hyperlink>
            <w:r w:rsidR="00AD58C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5E124A8A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D14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D1465D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726D5AD3" w:rsidR="00DB7CC4" w:rsidRPr="00AD58CC" w:rsidRDefault="000C1435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58CC">
              <w:rPr>
                <w:rFonts w:ascii="Arial" w:hAnsi="Arial" w:cs="Arial"/>
                <w:bCs/>
                <w:sz w:val="22"/>
                <w:szCs w:val="22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05FA045E" w:rsidR="00DB7CC4" w:rsidRPr="00C45BAF" w:rsidRDefault="000C1435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2CB68C7F" w:rsidR="00DB7CC4" w:rsidRPr="00C45BAF" w:rsidRDefault="000C1435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110A3159" w:rsidR="00DB7CC4" w:rsidRPr="00C45BAF" w:rsidRDefault="00980978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54E4E708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C14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C1435">
              <w:rPr>
                <w:rFonts w:ascii="Arial" w:hAnsi="Arial" w:cs="Arial"/>
                <w:sz w:val="22"/>
                <w:szCs w:val="22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69975A6" w:rsidR="00DB7CC4" w:rsidRPr="00C45BAF" w:rsidRDefault="000C1435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UniCredit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Bank Czech Republic,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C750E" w14:textId="31C9C8FF" w:rsidR="00980978" w:rsidRPr="00980978" w:rsidRDefault="00F438EB" w:rsidP="009809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12D36372" w14:textId="6870731B" w:rsidR="00980978" w:rsidRPr="00980978" w:rsidRDefault="00F438EB" w:rsidP="009809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6C13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980978" w:rsidRPr="009809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D90A2F" w14:textId="77777777" w:rsidR="00980978" w:rsidRPr="00980978" w:rsidRDefault="00980978" w:rsidP="0098097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</w:p>
          <w:p w14:paraId="13F801E1" w14:textId="17726836" w:rsidR="00DB7CC4" w:rsidRPr="00C45BAF" w:rsidRDefault="00F438EB" w:rsidP="00980978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4AEC0462" w:rsidR="00904149" w:rsidRDefault="0098097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IDFont+F1" w:hAnsi="CIDFont+F1" w:cs="CIDFont+F1"/>
                <w:sz w:val="22"/>
                <w:szCs w:val="22"/>
              </w:rPr>
              <w:t>UniCredit</w:t>
            </w:r>
            <w:proofErr w:type="spellEnd"/>
            <w:r>
              <w:rPr>
                <w:rFonts w:ascii="CIDFont+F1" w:hAnsi="CIDFont+F1" w:cs="CIDFont+F1"/>
                <w:sz w:val="22"/>
                <w:szCs w:val="22"/>
              </w:rPr>
              <w:t xml:space="preserve"> Bank Czech Republic, účet č.: 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1814086E" w:rsidR="00596938" w:rsidRDefault="004E48E3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0" w:history="1">
              <w:r w:rsidR="00980978" w:rsidRPr="003461AD">
                <w:rPr>
                  <w:rStyle w:val="Hypertextovodkaz"/>
                  <w:rFonts w:ascii="CIDFont+F1" w:hAnsi="CIDFont+F1" w:cs="CIDFont+F1"/>
                  <w:sz w:val="22"/>
                  <w:szCs w:val="22"/>
                </w:rPr>
                <w:t>www.zatisicatering.cz</w:t>
              </w:r>
            </w:hyperlink>
            <w:r w:rsidR="00980978">
              <w:rPr>
                <w:rFonts w:ascii="CIDFont+F1" w:hAnsi="CIDFont+F1" w:cs="CIDFont+F1"/>
                <w:sz w:val="22"/>
                <w:szCs w:val="22"/>
              </w:rPr>
              <w:t xml:space="preserve"> 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3EFBDB84" w:rsidR="008375BA" w:rsidRDefault="00F438EB" w:rsidP="00F438EB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4B6C13">
              <w:rPr>
                <w:rFonts w:ascii="CIDFont+F1" w:hAnsi="CIDFont+F1" w:cs="CIDFont+F1"/>
                <w:sz w:val="22"/>
                <w:szCs w:val="22"/>
              </w:rPr>
              <w:t>xxx</w:t>
            </w:r>
            <w:proofErr w:type="spellEnd"/>
            <w:r w:rsidR="00980978">
              <w:rPr>
                <w:rFonts w:ascii="CIDFont+F1" w:hAnsi="CIDFont+F1" w:cs="CIDFont+F1"/>
                <w:sz w:val="22"/>
                <w:szCs w:val="22"/>
              </w:rPr>
              <w:t xml:space="preserve"> 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111B9CD" w:rsidR="00C75D62" w:rsidRDefault="0098097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CIDFont+F1" w:hAnsi="CIDFont+F1" w:cs="CIDFont+F1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458FDA8" w:rsidR="001F582E" w:rsidRPr="00980978" w:rsidRDefault="00980978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80978">
              <w:rPr>
                <w:rFonts w:ascii="Arial" w:eastAsia="Arial" w:hAnsi="Arial" w:cs="Arial"/>
                <w:sz w:val="22"/>
                <w:szCs w:val="22"/>
              </w:rPr>
              <w:t>Řešení energetické chudoby: Přístup EU &amp; sdílení osvědčených postupů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F98D79" w14:textId="3ED20BA9" w:rsidR="004467AF" w:rsidRPr="003E7A01" w:rsidRDefault="003E7A01" w:rsidP="003E7A01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členy delegací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(3 x během dne pro 200 účastníků)</w:t>
            </w:r>
          </w:p>
          <w:p w14:paraId="11DB8F1F" w14:textId="34D770E3" w:rsidR="003E7A01" w:rsidRPr="003E7A01" w:rsidRDefault="003E7A01" w:rsidP="003E7A01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Bufetový oběd B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(1x během dne pro 200 účastníků)</w:t>
            </w:r>
          </w:p>
          <w:p w14:paraId="7B7EF303" w14:textId="35ECDBEA" w:rsidR="003E7A01" w:rsidRPr="003E7A01" w:rsidRDefault="003E7A01" w:rsidP="003E7A01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Bufetový oběd C pro organizátory (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 xml:space="preserve">1x během dne pro 20 osob </w:t>
            </w:r>
            <w:r w:rsidR="00C90E1A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>organizátoři a tlumočníci</w:t>
            </w: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6A1B92AC" w14:textId="5ABD8336" w:rsidR="003E7A01" w:rsidRPr="003E7A01" w:rsidRDefault="003E7A01" w:rsidP="003E7A01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dle principu 1 člen personálu na 10 účastníků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>, tj. pro 220 osob</w:t>
            </w:r>
          </w:p>
          <w:p w14:paraId="4DDD62E7" w14:textId="618D0A7E" w:rsidR="003E7A01" w:rsidRPr="00C8774B" w:rsidRDefault="003E7A01" w:rsidP="003E7A01">
            <w:pPr>
              <w:pStyle w:val="Zkladntext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</w:t>
            </w:r>
            <w:r w:rsidR="00A45CE5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3E7A01">
              <w:rPr>
                <w:rFonts w:ascii="Arial" w:hAnsi="Arial" w:cs="Arial"/>
                <w:sz w:val="22"/>
                <w:szCs w:val="22"/>
                <w:lang w:eastAsia="en-US"/>
              </w:rPr>
              <w:t>áře</w:t>
            </w:r>
            <w:r w:rsidR="00266B3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220 osob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E0600" w14:textId="77777777" w:rsidR="00860432" w:rsidRDefault="005A3D9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  <w:p w14:paraId="01AACA8F" w14:textId="77777777" w:rsidR="005A3D94" w:rsidRDefault="005A3D9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května 1640/65</w:t>
            </w:r>
          </w:p>
          <w:p w14:paraId="003D6948" w14:textId="6D14FDFD" w:rsidR="005A3D94" w:rsidRPr="00C45BAF" w:rsidRDefault="005A3D9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140 21, Praha 4 - Nusle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3FD2AD04" w:rsidR="00DB7CC4" w:rsidRPr="008D0CF8" w:rsidRDefault="003E7A01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24.</w:t>
            </w:r>
            <w:r w:rsidR="008B68E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10. 2022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3F9FBC1" w:rsidR="008D0CF8" w:rsidRPr="008D0CF8" w:rsidRDefault="008B68E1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24. 10. 2022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56A1117D" w:rsidR="00860432" w:rsidRPr="008D0CF8" w:rsidRDefault="00266B3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220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164465E3" w:rsidR="00E64714" w:rsidRPr="008D0CF8" w:rsidRDefault="00266B35" w:rsidP="00A45CE5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31</w:t>
            </w:r>
            <w:r w:rsidR="00A45CE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200, 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780186F" w:rsidR="00E64714" w:rsidRPr="008D0CF8" w:rsidRDefault="008B68E1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358</w:t>
            </w:r>
            <w:r w:rsidR="00D22FA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336</w:t>
            </w:r>
            <w:r w:rsidR="00D22FA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 00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FE216" w14:textId="2C25AF90" w:rsidR="00E64714" w:rsidRDefault="00C90E1A" w:rsidP="00C90E1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Coffee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break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proběhne 3 x během akce v časech 8:00 – 9:30, 11:00 – 11:30, 15:00 – 15:15</w:t>
            </w:r>
            <w:r w:rsidR="00A45CE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v prostorách Foyer Kongresového sálu 1 A formou koktejlových stolů</w:t>
            </w:r>
          </w:p>
          <w:p w14:paraId="2B996888" w14:textId="77777777" w:rsidR="00C90E1A" w:rsidRDefault="00C90E1A" w:rsidP="00C90E1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5138B8D2" w14:textId="43D0D3F0" w:rsidR="00C90E1A" w:rsidRPr="008D0CF8" w:rsidRDefault="00C90E1A" w:rsidP="00C90E1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Bufetový oběd B (pro účastníky) a C (pro organizátory) bude poskytován v čase 13:00 – 14:00</w:t>
            </w:r>
            <w:r w:rsidR="00A45CE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v prostorách Foyer Kongresového sálu 1 A formou koktejlových stolů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4C6228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4B6C13">
        <w:rPr>
          <w:rFonts w:ascii="Arial" w:hAnsi="Arial" w:cs="Arial"/>
          <w:sz w:val="22"/>
          <w:szCs w:val="22"/>
        </w:rPr>
        <w:t>27. 9. 2022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08B84DB7" w:rsidR="00DE4E72" w:rsidRDefault="00415AD8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Ing. Markéta Krčmářová</w:t>
      </w:r>
      <w:r w:rsidR="004B6C13">
        <w:rPr>
          <w:rFonts w:ascii="Arial" w:hAnsi="Arial"/>
          <w:sz w:val="22"/>
          <w:szCs w:val="22"/>
        </w:rPr>
        <w:t xml:space="preserve">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  <w:r w:rsidR="004B6C13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A3D94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A3D94" w:rsidSect="004467AF">
      <w:headerReference w:type="default" r:id="rId11"/>
      <w:footerReference w:type="default" r:id="rId12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3569" w14:textId="77777777" w:rsidR="004E48E3" w:rsidRDefault="004E48E3" w:rsidP="004852F1">
      <w:r>
        <w:separator/>
      </w:r>
    </w:p>
  </w:endnote>
  <w:endnote w:type="continuationSeparator" w:id="0">
    <w:p w14:paraId="0091CE91" w14:textId="77777777" w:rsidR="004E48E3" w:rsidRDefault="004E48E3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0D7513D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4B6C13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4B6C13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0801" w14:textId="77777777" w:rsidR="004E48E3" w:rsidRDefault="004E48E3" w:rsidP="004852F1">
      <w:r>
        <w:separator/>
      </w:r>
    </w:p>
  </w:footnote>
  <w:footnote w:type="continuationSeparator" w:id="0">
    <w:p w14:paraId="34851A5D" w14:textId="77777777" w:rsidR="004E48E3" w:rsidRDefault="004E48E3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4E4A401D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</w:t>
    </w:r>
    <w:r w:rsidR="00D1465D">
      <w:rPr>
        <w:rFonts w:ascii="Arial" w:hAnsi="Arial" w:cs="Arial"/>
        <w:b/>
        <w:iCs/>
        <w:sz w:val="32"/>
        <w:szCs w:val="32"/>
      </w:rPr>
      <w:t xml:space="preserve">á objednávka 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317C"/>
    <w:multiLevelType w:val="hybridMultilevel"/>
    <w:tmpl w:val="1E4EDFC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F47BD"/>
    <w:multiLevelType w:val="hybridMultilevel"/>
    <w:tmpl w:val="B6A0AE5A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67B5A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1435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6B35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1F0A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E7A01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5AD8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2DD2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6C13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48E3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83A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3D94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2EBE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39D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68E1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0978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E5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09E5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8CC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0E1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B62BA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465D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2FAC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230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96B01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8EB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96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isicater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vlada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718C-4E5C-44B0-8110-D5775D50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43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7</cp:revision>
  <cp:lastPrinted>2022-09-23T07:49:00Z</cp:lastPrinted>
  <dcterms:created xsi:type="dcterms:W3CDTF">2022-10-06T09:25:00Z</dcterms:created>
  <dcterms:modified xsi:type="dcterms:W3CDTF">2022-10-07T15:57:00Z</dcterms:modified>
</cp:coreProperties>
</file>