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95F37" w14:textId="77777777" w:rsidR="00C242EC" w:rsidRPr="00E1138E" w:rsidRDefault="00C242EC" w:rsidP="00C005E0">
      <w:pPr>
        <w:pStyle w:val="Normln1"/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bCs/>
          <w:sz w:val="28"/>
          <w:szCs w:val="22"/>
        </w:rPr>
      </w:pPr>
      <w:r w:rsidRPr="002370C4">
        <w:rPr>
          <w:rFonts w:ascii="Arial" w:eastAsia="Calibri" w:hAnsi="Arial" w:cs="Arial"/>
          <w:b/>
          <w:bCs/>
          <w:sz w:val="28"/>
          <w:szCs w:val="22"/>
        </w:rPr>
        <w:t xml:space="preserve">Dílčí </w:t>
      </w:r>
      <w:r w:rsidRPr="00E1138E">
        <w:rPr>
          <w:rFonts w:ascii="Arial" w:eastAsia="Calibri" w:hAnsi="Arial" w:cs="Arial"/>
          <w:b/>
          <w:bCs/>
          <w:sz w:val="28"/>
          <w:szCs w:val="22"/>
        </w:rPr>
        <w:t xml:space="preserve">specifikace č. </w:t>
      </w:r>
      <w:r w:rsidR="00D8749A">
        <w:rPr>
          <w:rFonts w:ascii="Arial" w:eastAsia="Calibri" w:hAnsi="Arial" w:cs="Arial"/>
          <w:b/>
          <w:bCs/>
          <w:sz w:val="28"/>
          <w:szCs w:val="22"/>
        </w:rPr>
        <w:t>3</w:t>
      </w:r>
    </w:p>
    <w:p w14:paraId="667C333B" w14:textId="77777777" w:rsidR="00C242EC" w:rsidRPr="00E1138E" w:rsidRDefault="00C242EC" w:rsidP="00C242EC">
      <w:pPr>
        <w:jc w:val="center"/>
        <w:rPr>
          <w:rFonts w:ascii="Arial" w:hAnsi="Arial" w:cs="Arial"/>
          <w:sz w:val="22"/>
          <w:szCs w:val="22"/>
        </w:rPr>
      </w:pPr>
      <w:r w:rsidRPr="00E1138E">
        <w:rPr>
          <w:rFonts w:ascii="Arial" w:eastAsia="Calibri" w:hAnsi="Arial" w:cs="Arial"/>
          <w:sz w:val="22"/>
          <w:szCs w:val="22"/>
        </w:rPr>
        <w:t>ve smyslu odst. 4.2. Smlouvy o poskytování nadsta</w:t>
      </w:r>
      <w:r w:rsidRPr="00E1138E">
        <w:rPr>
          <w:rFonts w:ascii="Arial" w:hAnsi="Arial" w:cs="Arial"/>
          <w:bCs/>
          <w:sz w:val="22"/>
          <w:szCs w:val="22"/>
        </w:rPr>
        <w:t>vbových</w:t>
      </w:r>
      <w:r w:rsidRPr="00E1138E">
        <w:rPr>
          <w:rFonts w:ascii="Arial" w:eastAsia="Calibri" w:hAnsi="Arial" w:cs="Arial"/>
          <w:sz w:val="22"/>
          <w:szCs w:val="22"/>
        </w:rPr>
        <w:t xml:space="preserve"> služeb e-infrastruktury CESNET</w:t>
      </w:r>
      <w:r w:rsidRPr="00E1138E">
        <w:rPr>
          <w:rFonts w:ascii="Arial" w:hAnsi="Arial" w:cs="Arial"/>
          <w:sz w:val="22"/>
          <w:szCs w:val="22"/>
        </w:rPr>
        <w:t xml:space="preserve"> </w:t>
      </w:r>
    </w:p>
    <w:p w14:paraId="37C7B220" w14:textId="77777777" w:rsidR="00C86FEC" w:rsidRPr="00E1138E" w:rsidRDefault="00C242EC" w:rsidP="00C005E0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E1138E">
        <w:rPr>
          <w:rFonts w:ascii="Arial" w:eastAsia="Calibri" w:hAnsi="Arial" w:cs="Arial"/>
          <w:sz w:val="22"/>
          <w:szCs w:val="22"/>
        </w:rPr>
        <w:t xml:space="preserve">č. </w:t>
      </w:r>
      <w:r w:rsidRPr="00E1138E">
        <w:rPr>
          <w:rFonts w:ascii="Arial" w:hAnsi="Arial" w:cs="Arial"/>
          <w:sz w:val="22"/>
          <w:szCs w:val="22"/>
        </w:rPr>
        <w:t>99/</w:t>
      </w:r>
      <w:r w:rsidR="00D8749A">
        <w:rPr>
          <w:rFonts w:ascii="Arial" w:hAnsi="Arial" w:cs="Arial"/>
          <w:sz w:val="22"/>
          <w:szCs w:val="22"/>
        </w:rPr>
        <w:t>056</w:t>
      </w:r>
      <w:r w:rsidR="00D8749A" w:rsidRPr="00E1138E">
        <w:rPr>
          <w:rFonts w:ascii="Arial" w:hAnsi="Arial" w:cs="Arial"/>
          <w:sz w:val="22"/>
          <w:szCs w:val="22"/>
        </w:rPr>
        <w:t xml:space="preserve"> </w:t>
      </w:r>
      <w:r w:rsidRPr="00E1138E">
        <w:rPr>
          <w:rFonts w:ascii="Arial" w:hAnsi="Arial" w:cs="Arial"/>
          <w:sz w:val="22"/>
          <w:szCs w:val="22"/>
        </w:rPr>
        <w:t>– 2022</w:t>
      </w:r>
      <w:r w:rsidR="00BA0C08" w:rsidRPr="00E1138E">
        <w:rPr>
          <w:rFonts w:ascii="Arial" w:hAnsi="Arial" w:cs="Arial"/>
          <w:sz w:val="22"/>
          <w:szCs w:val="22"/>
        </w:rPr>
        <w:t xml:space="preserve"> (dále jen „Smlouva“)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2706"/>
        <w:gridCol w:w="1276"/>
        <w:gridCol w:w="5185"/>
      </w:tblGrid>
      <w:tr w:rsidR="000E44DF" w:rsidRPr="00500714" w14:paraId="434918DC" w14:textId="77777777" w:rsidTr="7CE0B553">
        <w:trPr>
          <w:trHeight w:val="344"/>
        </w:trPr>
        <w:tc>
          <w:tcPr>
            <w:tcW w:w="461" w:type="dxa"/>
            <w:shd w:val="clear" w:color="auto" w:fill="D9D9D9" w:themeFill="background1" w:themeFillShade="D9"/>
          </w:tcPr>
          <w:p w14:paraId="49449F47" w14:textId="77777777" w:rsidR="000E44DF" w:rsidRPr="00E1138E" w:rsidRDefault="000E44DF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1138E">
              <w:rPr>
                <w:rFonts w:ascii="Arial" w:hAnsi="Arial" w:cs="Arial"/>
                <w:sz w:val="22"/>
                <w:szCs w:val="22"/>
              </w:rPr>
              <w:t>A.</w:t>
            </w:r>
          </w:p>
        </w:tc>
        <w:tc>
          <w:tcPr>
            <w:tcW w:w="2782" w:type="dxa"/>
            <w:shd w:val="clear" w:color="auto" w:fill="D9D9D9" w:themeFill="background1" w:themeFillShade="D9"/>
          </w:tcPr>
          <w:p w14:paraId="5131D892" w14:textId="77777777" w:rsidR="000E44DF" w:rsidRPr="00E1138E" w:rsidRDefault="000E44DF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1138E">
              <w:rPr>
                <w:rFonts w:ascii="Arial" w:eastAsia="Calibri" w:hAnsi="Arial" w:cs="Arial"/>
                <w:bCs/>
                <w:sz w:val="22"/>
                <w:szCs w:val="22"/>
              </w:rPr>
              <w:t>Označení / název služby</w:t>
            </w:r>
          </w:p>
        </w:tc>
        <w:tc>
          <w:tcPr>
            <w:tcW w:w="6611" w:type="dxa"/>
            <w:gridSpan w:val="2"/>
            <w:shd w:val="clear" w:color="auto" w:fill="D9D9D9" w:themeFill="background1" w:themeFillShade="D9"/>
          </w:tcPr>
          <w:p w14:paraId="6B4B7900" w14:textId="77777777" w:rsidR="000E44DF" w:rsidRPr="00500714" w:rsidRDefault="009D4E9C" w:rsidP="008251E7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E1138E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CESNET OCRE</w:t>
            </w:r>
          </w:p>
        </w:tc>
      </w:tr>
      <w:tr w:rsidR="000E44DF" w:rsidRPr="00500714" w14:paraId="3123A54A" w14:textId="77777777" w:rsidTr="7CE0B553">
        <w:trPr>
          <w:trHeight w:val="344"/>
        </w:trPr>
        <w:tc>
          <w:tcPr>
            <w:tcW w:w="461" w:type="dxa"/>
            <w:vMerge w:val="restart"/>
            <w:shd w:val="clear" w:color="auto" w:fill="D9D9D9" w:themeFill="background1" w:themeFillShade="D9"/>
          </w:tcPr>
          <w:p w14:paraId="0D090CB5" w14:textId="77777777" w:rsidR="000E44DF" w:rsidRPr="00500714" w:rsidRDefault="000E44DF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00714">
              <w:rPr>
                <w:rFonts w:ascii="Arial" w:hAnsi="Arial" w:cs="Arial"/>
                <w:sz w:val="22"/>
                <w:szCs w:val="22"/>
              </w:rPr>
              <w:t>B.</w:t>
            </w:r>
          </w:p>
        </w:tc>
        <w:tc>
          <w:tcPr>
            <w:tcW w:w="2782" w:type="dxa"/>
            <w:vMerge w:val="restart"/>
            <w:shd w:val="clear" w:color="auto" w:fill="D9D9D9" w:themeFill="background1" w:themeFillShade="D9"/>
          </w:tcPr>
          <w:p w14:paraId="21F77511" w14:textId="77777777" w:rsidR="000E44DF" w:rsidRPr="00500714" w:rsidRDefault="000E44DF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00714">
              <w:rPr>
                <w:rFonts w:ascii="Arial" w:hAnsi="Arial" w:cs="Arial"/>
                <w:sz w:val="22"/>
                <w:szCs w:val="22"/>
              </w:rPr>
              <w:t>Smluvní strany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5D72411" w14:textId="77777777" w:rsidR="000E44DF" w:rsidRPr="00500714" w:rsidRDefault="000E44DF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00714">
              <w:rPr>
                <w:rFonts w:ascii="Arial" w:hAnsi="Arial" w:cs="Arial"/>
                <w:sz w:val="22"/>
                <w:szCs w:val="22"/>
              </w:rPr>
              <w:t>Sdružení:</w:t>
            </w:r>
          </w:p>
        </w:tc>
        <w:tc>
          <w:tcPr>
            <w:tcW w:w="5335" w:type="dxa"/>
            <w:shd w:val="clear" w:color="auto" w:fill="auto"/>
          </w:tcPr>
          <w:p w14:paraId="1B9138C7" w14:textId="77777777" w:rsidR="000E44DF" w:rsidRPr="00500714" w:rsidRDefault="000E44DF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00714">
              <w:rPr>
                <w:rFonts w:ascii="Arial" w:hAnsi="Arial" w:cs="Arial"/>
                <w:sz w:val="22"/>
                <w:szCs w:val="22"/>
              </w:rPr>
              <w:t>CESNET, zájmové sdružení právnických osob</w:t>
            </w:r>
          </w:p>
          <w:p w14:paraId="76560A46" w14:textId="77777777" w:rsidR="000E44DF" w:rsidRPr="00500714" w:rsidRDefault="000E44DF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00714">
              <w:rPr>
                <w:rFonts w:ascii="Arial" w:hAnsi="Arial" w:cs="Arial"/>
                <w:sz w:val="22"/>
                <w:szCs w:val="22"/>
              </w:rPr>
              <w:t>Zikova 1903/4, 160 00 Praha 6</w:t>
            </w:r>
          </w:p>
          <w:p w14:paraId="39F218C5" w14:textId="77777777" w:rsidR="000E44DF" w:rsidRPr="00500714" w:rsidRDefault="000E44DF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00714">
              <w:rPr>
                <w:rFonts w:ascii="Arial" w:hAnsi="Arial" w:cs="Arial"/>
                <w:sz w:val="22"/>
                <w:szCs w:val="22"/>
              </w:rPr>
              <w:t>IČO: 63839172</w:t>
            </w:r>
          </w:p>
        </w:tc>
      </w:tr>
      <w:tr w:rsidR="000E44DF" w:rsidRPr="00500714" w14:paraId="7B1E1855" w14:textId="77777777" w:rsidTr="7CE0B553">
        <w:trPr>
          <w:trHeight w:val="343"/>
        </w:trPr>
        <w:tc>
          <w:tcPr>
            <w:tcW w:w="461" w:type="dxa"/>
            <w:vMerge/>
          </w:tcPr>
          <w:p w14:paraId="672A6659" w14:textId="77777777" w:rsidR="000E44DF" w:rsidRPr="00500714" w:rsidRDefault="000E44DF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2" w:type="dxa"/>
            <w:vMerge/>
          </w:tcPr>
          <w:p w14:paraId="0A37501D" w14:textId="77777777" w:rsidR="000E44DF" w:rsidRPr="00500714" w:rsidRDefault="000E44DF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EB66EC8" w14:textId="77777777" w:rsidR="000E44DF" w:rsidRPr="00316172" w:rsidRDefault="000E44DF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16172">
              <w:rPr>
                <w:rFonts w:ascii="Arial" w:hAnsi="Arial" w:cs="Arial"/>
                <w:sz w:val="22"/>
                <w:szCs w:val="22"/>
              </w:rPr>
              <w:t>Účastník:</w:t>
            </w:r>
          </w:p>
        </w:tc>
        <w:tc>
          <w:tcPr>
            <w:tcW w:w="5335" w:type="dxa"/>
            <w:shd w:val="clear" w:color="auto" w:fill="auto"/>
          </w:tcPr>
          <w:p w14:paraId="6DD83129" w14:textId="77777777" w:rsidR="00E1138E" w:rsidRPr="00316172" w:rsidRDefault="00E1138E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16172">
              <w:rPr>
                <w:rFonts w:ascii="Arial" w:hAnsi="Arial" w:cs="Arial"/>
                <w:sz w:val="22"/>
                <w:szCs w:val="22"/>
              </w:rPr>
              <w:t>Národní muzeum</w:t>
            </w:r>
          </w:p>
          <w:p w14:paraId="0A5A0761" w14:textId="77777777" w:rsidR="000E44DF" w:rsidRPr="00316172" w:rsidRDefault="000E44DF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16172">
              <w:rPr>
                <w:rFonts w:ascii="Arial" w:hAnsi="Arial" w:cs="Arial"/>
                <w:sz w:val="22"/>
                <w:szCs w:val="22"/>
              </w:rPr>
              <w:t xml:space="preserve">Sídlo: </w:t>
            </w:r>
            <w:r w:rsidR="00E1138E" w:rsidRPr="00316172">
              <w:rPr>
                <w:rFonts w:ascii="Arial" w:hAnsi="Arial" w:cs="Arial"/>
                <w:sz w:val="22"/>
                <w:szCs w:val="22"/>
              </w:rPr>
              <w:t>Václavské náměstí 1700/68, 11000 Praha 1</w:t>
            </w:r>
          </w:p>
          <w:p w14:paraId="4B2B5C37" w14:textId="77777777" w:rsidR="00C005E0" w:rsidRPr="00316172" w:rsidRDefault="000E44DF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16172">
              <w:rPr>
                <w:rFonts w:ascii="Arial" w:hAnsi="Arial" w:cs="Arial"/>
                <w:sz w:val="22"/>
                <w:szCs w:val="22"/>
              </w:rPr>
              <w:t xml:space="preserve">IČO: </w:t>
            </w:r>
            <w:r w:rsidR="00E1138E" w:rsidRPr="00316172">
              <w:rPr>
                <w:rFonts w:ascii="Arial" w:hAnsi="Arial" w:cs="Arial"/>
                <w:sz w:val="22"/>
                <w:szCs w:val="22"/>
              </w:rPr>
              <w:t>00023272</w:t>
            </w:r>
          </w:p>
        </w:tc>
      </w:tr>
      <w:tr w:rsidR="000E44DF" w:rsidRPr="00500714" w14:paraId="14592341" w14:textId="77777777" w:rsidTr="7CE0B553">
        <w:tc>
          <w:tcPr>
            <w:tcW w:w="461" w:type="dxa"/>
            <w:shd w:val="clear" w:color="auto" w:fill="D9D9D9" w:themeFill="background1" w:themeFillShade="D9"/>
          </w:tcPr>
          <w:p w14:paraId="10E643BF" w14:textId="77777777" w:rsidR="000E44DF" w:rsidRPr="00500714" w:rsidRDefault="000E44DF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00714">
              <w:rPr>
                <w:rFonts w:ascii="Arial" w:hAnsi="Arial" w:cs="Arial"/>
                <w:sz w:val="22"/>
                <w:szCs w:val="22"/>
              </w:rPr>
              <w:t>C.</w:t>
            </w:r>
          </w:p>
        </w:tc>
        <w:tc>
          <w:tcPr>
            <w:tcW w:w="2782" w:type="dxa"/>
            <w:shd w:val="clear" w:color="auto" w:fill="D9D9D9" w:themeFill="background1" w:themeFillShade="D9"/>
          </w:tcPr>
          <w:p w14:paraId="497284B3" w14:textId="77777777" w:rsidR="000E44DF" w:rsidRPr="00500714" w:rsidRDefault="00207EA9" w:rsidP="008251E7">
            <w:pPr>
              <w:spacing w:before="6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500714">
              <w:rPr>
                <w:rFonts w:ascii="Arial" w:eastAsia="Calibri" w:hAnsi="Arial" w:cs="Arial"/>
                <w:bCs/>
                <w:sz w:val="22"/>
                <w:szCs w:val="22"/>
              </w:rPr>
              <w:t>Předmět</w:t>
            </w:r>
            <w:r w:rsidR="000E44DF" w:rsidRPr="00500714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 w:rsidR="00E813E4">
              <w:rPr>
                <w:rFonts w:ascii="Arial" w:eastAsia="Calibri" w:hAnsi="Arial" w:cs="Arial"/>
                <w:bCs/>
                <w:sz w:val="22"/>
                <w:szCs w:val="22"/>
              </w:rPr>
              <w:t xml:space="preserve">/ obsah </w:t>
            </w:r>
            <w:r w:rsidR="000E44DF" w:rsidRPr="00500714">
              <w:rPr>
                <w:rFonts w:ascii="Arial" w:eastAsia="Calibri" w:hAnsi="Arial" w:cs="Arial"/>
                <w:bCs/>
                <w:sz w:val="22"/>
                <w:szCs w:val="22"/>
              </w:rPr>
              <w:t>služby</w:t>
            </w:r>
          </w:p>
        </w:tc>
        <w:tc>
          <w:tcPr>
            <w:tcW w:w="6611" w:type="dxa"/>
            <w:gridSpan w:val="2"/>
            <w:shd w:val="clear" w:color="auto" w:fill="auto"/>
          </w:tcPr>
          <w:p w14:paraId="16C038D6" w14:textId="326767C8" w:rsidR="00FF0186" w:rsidRPr="00FF0186" w:rsidRDefault="00FF0186" w:rsidP="00FF0186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186">
              <w:rPr>
                <w:rFonts w:ascii="Arial" w:hAnsi="Arial" w:cs="Arial"/>
                <w:sz w:val="22"/>
                <w:szCs w:val="22"/>
              </w:rPr>
              <w:t xml:space="preserve">Sdružení GÉANT, jehož je Sdružení členem, </w:t>
            </w:r>
            <w:r>
              <w:rPr>
                <w:rFonts w:ascii="Arial" w:hAnsi="Arial" w:cs="Arial"/>
                <w:sz w:val="22"/>
                <w:szCs w:val="22"/>
              </w:rPr>
              <w:t xml:space="preserve">v rámci realizace projektu </w:t>
            </w:r>
            <w:r w:rsidRPr="00FF0186">
              <w:rPr>
                <w:rFonts w:ascii="Arial" w:hAnsi="Arial" w:cs="Arial"/>
                <w:sz w:val="22"/>
                <w:szCs w:val="22"/>
              </w:rPr>
              <w:t xml:space="preserve">OCRE – Open </w:t>
            </w:r>
            <w:proofErr w:type="spellStart"/>
            <w:r w:rsidRPr="00FF0186">
              <w:rPr>
                <w:rFonts w:ascii="Arial" w:hAnsi="Arial" w:cs="Arial"/>
                <w:sz w:val="22"/>
                <w:szCs w:val="22"/>
              </w:rPr>
              <w:t>Clouds</w:t>
            </w:r>
            <w:proofErr w:type="spellEnd"/>
            <w:r w:rsidRPr="00FF018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F0186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FF018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F0186">
              <w:rPr>
                <w:rFonts w:ascii="Arial" w:hAnsi="Arial" w:cs="Arial"/>
                <w:sz w:val="22"/>
                <w:szCs w:val="22"/>
              </w:rPr>
              <w:t>Research</w:t>
            </w:r>
            <w:proofErr w:type="spellEnd"/>
            <w:r w:rsidRPr="00FF018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F0186">
              <w:rPr>
                <w:rFonts w:ascii="Arial" w:hAnsi="Arial" w:cs="Arial"/>
                <w:sz w:val="22"/>
                <w:szCs w:val="22"/>
              </w:rPr>
              <w:t>Environments</w:t>
            </w:r>
            <w:proofErr w:type="spellEnd"/>
            <w:r w:rsidRPr="00FF0186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F964E5">
              <w:t>xxxxxxxxxxxxx</w:t>
            </w:r>
            <w:proofErr w:type="spellEnd"/>
            <w:r w:rsidR="00E47F58"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vypsal </w:t>
            </w:r>
            <w:r w:rsidRPr="00FF0186">
              <w:rPr>
                <w:rFonts w:ascii="Arial" w:hAnsi="Arial" w:cs="Arial"/>
                <w:sz w:val="22"/>
                <w:szCs w:val="22"/>
              </w:rPr>
              <w:t>jako centrální zadavatel formou otevřeného řízení celoevropskou veřejnou zakázku (dále jen „</w:t>
            </w: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FF0186">
              <w:rPr>
                <w:rFonts w:ascii="Arial" w:hAnsi="Arial" w:cs="Arial"/>
                <w:sz w:val="22"/>
                <w:szCs w:val="22"/>
              </w:rPr>
              <w:t xml:space="preserve">eřejná zakázka“), jejímž výsledkem je uzavření rámcových smluv (dále jen „Rámcové smlouvy OCRE“) s předními světovými poskytovateli cloudových </w:t>
            </w:r>
            <w:proofErr w:type="spellStart"/>
            <w:r w:rsidRPr="00FF0186">
              <w:rPr>
                <w:rFonts w:ascii="Arial" w:hAnsi="Arial" w:cs="Arial"/>
                <w:sz w:val="22"/>
                <w:szCs w:val="22"/>
              </w:rPr>
              <w:t>IaaS</w:t>
            </w:r>
            <w:proofErr w:type="spellEnd"/>
            <w:r w:rsidRPr="00FF0186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FF0186">
              <w:rPr>
                <w:rFonts w:ascii="Arial" w:hAnsi="Arial" w:cs="Arial"/>
                <w:sz w:val="22"/>
                <w:szCs w:val="22"/>
              </w:rPr>
              <w:t>PaaS</w:t>
            </w:r>
            <w:proofErr w:type="spellEnd"/>
            <w:r w:rsidRPr="00FF0186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FF0186">
              <w:rPr>
                <w:rFonts w:ascii="Arial" w:hAnsi="Arial" w:cs="Arial"/>
                <w:sz w:val="22"/>
                <w:szCs w:val="22"/>
              </w:rPr>
              <w:t>SaaS</w:t>
            </w:r>
            <w:proofErr w:type="spellEnd"/>
            <w:r w:rsidRPr="00FF0186">
              <w:rPr>
                <w:rFonts w:ascii="Arial" w:hAnsi="Arial" w:cs="Arial"/>
                <w:sz w:val="22"/>
                <w:szCs w:val="22"/>
              </w:rPr>
              <w:t xml:space="preserve"> služeb (</w:t>
            </w:r>
            <w:proofErr w:type="spellStart"/>
            <w:r w:rsidRPr="00FF0186">
              <w:rPr>
                <w:rFonts w:ascii="Arial" w:hAnsi="Arial" w:cs="Arial"/>
                <w:sz w:val="22"/>
                <w:szCs w:val="22"/>
              </w:rPr>
              <w:t>Infrastructure</w:t>
            </w:r>
            <w:proofErr w:type="spellEnd"/>
            <w:r w:rsidRPr="00FF0186">
              <w:rPr>
                <w:rFonts w:ascii="Arial" w:hAnsi="Arial" w:cs="Arial"/>
                <w:sz w:val="22"/>
                <w:szCs w:val="22"/>
              </w:rPr>
              <w:t xml:space="preserve"> as a </w:t>
            </w:r>
            <w:proofErr w:type="spellStart"/>
            <w:r w:rsidRPr="00FF0186">
              <w:rPr>
                <w:rFonts w:ascii="Arial" w:hAnsi="Arial" w:cs="Arial"/>
                <w:sz w:val="22"/>
                <w:szCs w:val="22"/>
              </w:rPr>
              <w:t>Service</w:t>
            </w:r>
            <w:proofErr w:type="spellEnd"/>
            <w:r w:rsidRPr="00FF0186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FF0186">
              <w:rPr>
                <w:rFonts w:ascii="Arial" w:hAnsi="Arial" w:cs="Arial"/>
                <w:sz w:val="22"/>
                <w:szCs w:val="22"/>
              </w:rPr>
              <w:t>Platform</w:t>
            </w:r>
            <w:proofErr w:type="spellEnd"/>
            <w:r w:rsidRPr="00FF0186">
              <w:rPr>
                <w:rFonts w:ascii="Arial" w:hAnsi="Arial" w:cs="Arial"/>
                <w:sz w:val="22"/>
                <w:szCs w:val="22"/>
              </w:rPr>
              <w:t xml:space="preserve"> as a </w:t>
            </w:r>
            <w:proofErr w:type="spellStart"/>
            <w:r w:rsidRPr="00FF0186">
              <w:rPr>
                <w:rFonts w:ascii="Arial" w:hAnsi="Arial" w:cs="Arial"/>
                <w:sz w:val="22"/>
                <w:szCs w:val="22"/>
              </w:rPr>
              <w:t>Service</w:t>
            </w:r>
            <w:proofErr w:type="spellEnd"/>
            <w:r w:rsidRPr="00FF0186">
              <w:rPr>
                <w:rFonts w:ascii="Arial" w:hAnsi="Arial" w:cs="Arial"/>
                <w:sz w:val="22"/>
                <w:szCs w:val="22"/>
              </w:rPr>
              <w:t xml:space="preserve"> / Software as a </w:t>
            </w:r>
            <w:proofErr w:type="spellStart"/>
            <w:r w:rsidRPr="00FF0186">
              <w:rPr>
                <w:rFonts w:ascii="Arial" w:hAnsi="Arial" w:cs="Arial"/>
                <w:sz w:val="22"/>
                <w:szCs w:val="22"/>
              </w:rPr>
              <w:t>Service</w:t>
            </w:r>
            <w:proofErr w:type="spellEnd"/>
            <w:r w:rsidRPr="00FF0186">
              <w:rPr>
                <w:rFonts w:ascii="Arial" w:hAnsi="Arial" w:cs="Arial"/>
                <w:sz w:val="22"/>
                <w:szCs w:val="22"/>
              </w:rPr>
              <w:t>, pro účely této Dílčí specifikace také jako „cloudové služby“).</w:t>
            </w:r>
          </w:p>
          <w:p w14:paraId="2BD247BF" w14:textId="688A388E" w:rsidR="00404DBE" w:rsidRPr="00500714" w:rsidRDefault="00FF0186" w:rsidP="00FF018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186">
              <w:rPr>
                <w:rFonts w:ascii="Arial" w:hAnsi="Arial" w:cs="Arial"/>
                <w:sz w:val="22"/>
                <w:szCs w:val="22"/>
              </w:rPr>
              <w:t xml:space="preserve">Cíle a informace o předmětu zakázky OCRE jsou uvedeny společně s dalšími souvisejícími informacemi v oznámení, kterým GÉANT zadávací řízení zahajoval </w:t>
            </w:r>
            <w:r w:rsidR="00EF0B5C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C56B44">
              <w:rPr>
                <w:rFonts w:ascii="Arial" w:hAnsi="Arial" w:cs="Arial"/>
                <w:sz w:val="22"/>
                <w:szCs w:val="22"/>
              </w:rPr>
              <w:t>xxxxxxxxxxxxxxxxxxxxxxxxxx</w:t>
            </w:r>
            <w:proofErr w:type="spellEnd"/>
            <w:r w:rsidR="00EF0B5C">
              <w:rPr>
                <w:rFonts w:ascii="Arial" w:hAnsi="Arial" w:cs="Arial"/>
                <w:sz w:val="22"/>
                <w:szCs w:val="22"/>
              </w:rPr>
              <w:t>)</w:t>
            </w:r>
            <w:r w:rsidR="00C56B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F0186">
              <w:rPr>
                <w:rFonts w:ascii="Arial" w:hAnsi="Arial" w:cs="Arial"/>
                <w:sz w:val="22"/>
                <w:szCs w:val="22"/>
              </w:rPr>
              <w:t>Rámcové smlouvy OCRE umožňují účastníkům e-infrastruktury CESNET využívat cloudových služeb komerčních cloudových poskytovatelů za výhodnějších technických, ekonomických, organizačních a právních podmínek.</w:t>
            </w:r>
          </w:p>
        </w:tc>
      </w:tr>
      <w:tr w:rsidR="000E44DF" w:rsidRPr="00500714" w14:paraId="65FB2C04" w14:textId="77777777" w:rsidTr="7CE0B553">
        <w:tc>
          <w:tcPr>
            <w:tcW w:w="461" w:type="dxa"/>
            <w:shd w:val="clear" w:color="auto" w:fill="D9D9D9" w:themeFill="background1" w:themeFillShade="D9"/>
          </w:tcPr>
          <w:p w14:paraId="5F4050BB" w14:textId="77777777" w:rsidR="000E44DF" w:rsidRPr="00500714" w:rsidRDefault="000E44DF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00714">
              <w:rPr>
                <w:rFonts w:ascii="Arial" w:hAnsi="Arial" w:cs="Arial"/>
                <w:sz w:val="22"/>
                <w:szCs w:val="22"/>
              </w:rPr>
              <w:t>D.</w:t>
            </w:r>
          </w:p>
        </w:tc>
        <w:tc>
          <w:tcPr>
            <w:tcW w:w="2782" w:type="dxa"/>
            <w:shd w:val="clear" w:color="auto" w:fill="D9D9D9" w:themeFill="background1" w:themeFillShade="D9"/>
          </w:tcPr>
          <w:p w14:paraId="7D301E4E" w14:textId="77777777" w:rsidR="000E44DF" w:rsidRPr="00500714" w:rsidRDefault="00404DBE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Informační stránky služby</w:t>
            </w:r>
          </w:p>
        </w:tc>
        <w:tc>
          <w:tcPr>
            <w:tcW w:w="6611" w:type="dxa"/>
            <w:gridSpan w:val="2"/>
            <w:shd w:val="clear" w:color="auto" w:fill="auto"/>
          </w:tcPr>
          <w:p w14:paraId="58BA568D" w14:textId="30C02942" w:rsidR="000E44DF" w:rsidRPr="00500714" w:rsidRDefault="00EF0B5C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xxxxxxxxxxxxxxxxxxxxxxx</w:t>
            </w:r>
            <w:proofErr w:type="spellEnd"/>
          </w:p>
        </w:tc>
      </w:tr>
      <w:tr w:rsidR="00E813E4" w:rsidRPr="00500714" w14:paraId="349144B1" w14:textId="77777777" w:rsidTr="7CE0B553">
        <w:tc>
          <w:tcPr>
            <w:tcW w:w="461" w:type="dxa"/>
            <w:shd w:val="clear" w:color="auto" w:fill="D9D9D9" w:themeFill="background1" w:themeFillShade="D9"/>
          </w:tcPr>
          <w:p w14:paraId="272353FF" w14:textId="77777777" w:rsidR="00E813E4" w:rsidRPr="00500714" w:rsidRDefault="00E813E4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E.</w:t>
            </w:r>
          </w:p>
        </w:tc>
        <w:tc>
          <w:tcPr>
            <w:tcW w:w="2782" w:type="dxa"/>
            <w:shd w:val="clear" w:color="auto" w:fill="D9D9D9" w:themeFill="background1" w:themeFillShade="D9"/>
          </w:tcPr>
          <w:p w14:paraId="0068DD3A" w14:textId="77777777" w:rsidR="00E813E4" w:rsidRDefault="00E813E4" w:rsidP="00991794">
            <w:pPr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Popis služby</w:t>
            </w:r>
          </w:p>
        </w:tc>
        <w:tc>
          <w:tcPr>
            <w:tcW w:w="6611" w:type="dxa"/>
            <w:gridSpan w:val="2"/>
            <w:shd w:val="clear" w:color="auto" w:fill="auto"/>
          </w:tcPr>
          <w:p w14:paraId="2AABEBA9" w14:textId="77777777" w:rsidR="00FF0186" w:rsidRPr="00FF0186" w:rsidRDefault="00FF0186" w:rsidP="00FF0186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186">
              <w:rPr>
                <w:rFonts w:ascii="Arial" w:hAnsi="Arial" w:cs="Arial"/>
                <w:sz w:val="22"/>
                <w:szCs w:val="22"/>
              </w:rPr>
              <w:t xml:space="preserve">Sdružení na základě písemného pokynu Účastníka, obsahujícího </w:t>
            </w:r>
            <w:r w:rsidRPr="00FF0186">
              <w:rPr>
                <w:rFonts w:ascii="Arial" w:hAnsi="Arial" w:cs="Arial"/>
                <w:bCs/>
                <w:sz w:val="22"/>
                <w:szCs w:val="22"/>
              </w:rPr>
              <w:t>specifikaci</w:t>
            </w:r>
            <w:r w:rsidRPr="00FF0186">
              <w:rPr>
                <w:rFonts w:ascii="Arial" w:hAnsi="Arial" w:cs="Arial"/>
                <w:sz w:val="22"/>
                <w:szCs w:val="22"/>
              </w:rPr>
              <w:t xml:space="preserve"> požadované cloudové služby, realizuje v souladu se zadávacími podmínkami </w:t>
            </w: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FF0186">
              <w:rPr>
                <w:rFonts w:ascii="Arial" w:hAnsi="Arial" w:cs="Arial"/>
                <w:sz w:val="22"/>
                <w:szCs w:val="22"/>
              </w:rPr>
              <w:t xml:space="preserve">eřejné zakázky a příslušnou legislativou pořízení cloudových služeb od </w:t>
            </w:r>
            <w:r>
              <w:rPr>
                <w:rFonts w:ascii="Arial" w:hAnsi="Arial" w:cs="Arial"/>
                <w:sz w:val="22"/>
                <w:szCs w:val="22"/>
              </w:rPr>
              <w:t xml:space="preserve">příslušného </w:t>
            </w:r>
            <w:r w:rsidRPr="00FF0186">
              <w:rPr>
                <w:rFonts w:ascii="Arial" w:hAnsi="Arial" w:cs="Arial"/>
                <w:sz w:val="22"/>
                <w:szCs w:val="22"/>
              </w:rPr>
              <w:t>dodavatel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FF0186">
              <w:rPr>
                <w:rFonts w:ascii="Arial" w:hAnsi="Arial" w:cs="Arial"/>
                <w:sz w:val="22"/>
                <w:szCs w:val="22"/>
              </w:rPr>
              <w:t xml:space="preserve"> dle uzavřených Rámcových smluv OCRE. Rámcové smlouvy OCRE jsou účinné do 30. 11. 2024, až do tohoto dne lze na základě nich čerpat cloudové služby prostřednictvím dílčích smluv, tzv. „Call-</w:t>
            </w:r>
            <w:proofErr w:type="spellStart"/>
            <w:r w:rsidRPr="00FF0186">
              <w:rPr>
                <w:rFonts w:ascii="Arial" w:hAnsi="Arial" w:cs="Arial"/>
                <w:sz w:val="22"/>
                <w:szCs w:val="22"/>
              </w:rPr>
              <w:t>Off</w:t>
            </w:r>
            <w:proofErr w:type="spellEnd"/>
            <w:r w:rsidRPr="00FF0186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FF0186">
              <w:rPr>
                <w:rFonts w:ascii="Arial" w:hAnsi="Arial" w:cs="Arial"/>
                <w:sz w:val="22"/>
                <w:szCs w:val="22"/>
              </w:rPr>
              <w:t>Agreements</w:t>
            </w:r>
            <w:proofErr w:type="spellEnd"/>
            <w:r w:rsidRPr="00FF0186">
              <w:rPr>
                <w:rFonts w:ascii="Arial" w:hAnsi="Arial" w:cs="Arial"/>
                <w:sz w:val="22"/>
                <w:szCs w:val="22"/>
              </w:rPr>
              <w:t>“, které mohou být uzavřeny na maximální dobu 4 let (nejdéle je tedy možné čerpat cloudovou službu do 30. 11. 2028). Stranou Call-</w:t>
            </w:r>
            <w:proofErr w:type="spellStart"/>
            <w:r w:rsidRPr="00FF0186">
              <w:rPr>
                <w:rFonts w:ascii="Arial" w:hAnsi="Arial" w:cs="Arial"/>
                <w:sz w:val="22"/>
                <w:szCs w:val="22"/>
              </w:rPr>
              <w:t>Off</w:t>
            </w:r>
            <w:proofErr w:type="spellEnd"/>
            <w:r w:rsidRPr="00FF0186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FF0186">
              <w:rPr>
                <w:rFonts w:ascii="Arial" w:hAnsi="Arial" w:cs="Arial"/>
                <w:sz w:val="22"/>
                <w:szCs w:val="22"/>
              </w:rPr>
              <w:t>Agreement</w:t>
            </w:r>
            <w:proofErr w:type="spellEnd"/>
            <w:r w:rsidRPr="00FF0186">
              <w:rPr>
                <w:rFonts w:ascii="Arial" w:hAnsi="Arial" w:cs="Arial"/>
                <w:sz w:val="22"/>
                <w:szCs w:val="22"/>
              </w:rPr>
              <w:t xml:space="preserve"> bude dodavatel dle příslušné Rámcové smlouvy OCRE a Sdružení. Cloudová služba bude Účastníkovi následně poskytnuta v souladu se Smlouvou a touto </w:t>
            </w:r>
            <w:r>
              <w:rPr>
                <w:rFonts w:ascii="Arial" w:hAnsi="Arial" w:cs="Arial"/>
                <w:sz w:val="22"/>
                <w:szCs w:val="22"/>
              </w:rPr>
              <w:t>Dílčí specifikací</w:t>
            </w:r>
            <w:r w:rsidRPr="00FF018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FE06F1C" w14:textId="77777777" w:rsidR="00E813E4" w:rsidRDefault="00FF0186" w:rsidP="00FF0186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186">
              <w:rPr>
                <w:rFonts w:ascii="Arial" w:hAnsi="Arial" w:cs="Arial"/>
                <w:sz w:val="22"/>
                <w:szCs w:val="22"/>
              </w:rPr>
              <w:t xml:space="preserve">V České republice bylo vybráno 12 oprávněných dodavatelů pro konkrétní technologie a služby: </w:t>
            </w:r>
            <w:proofErr w:type="spellStart"/>
            <w:r w:rsidRPr="00FF0186">
              <w:rPr>
                <w:rFonts w:ascii="Arial" w:hAnsi="Arial" w:cs="Arial"/>
                <w:sz w:val="22"/>
                <w:szCs w:val="22"/>
              </w:rPr>
              <w:t>Rackspace</w:t>
            </w:r>
            <w:proofErr w:type="spellEnd"/>
            <w:r w:rsidRPr="00FF0186">
              <w:rPr>
                <w:rFonts w:ascii="Arial" w:hAnsi="Arial" w:cs="Arial"/>
                <w:sz w:val="22"/>
                <w:szCs w:val="22"/>
              </w:rPr>
              <w:t xml:space="preserve"> – Amazon AWS, </w:t>
            </w:r>
            <w:proofErr w:type="spellStart"/>
            <w:r w:rsidRPr="00FF0186">
              <w:rPr>
                <w:rFonts w:ascii="Arial" w:hAnsi="Arial" w:cs="Arial"/>
                <w:sz w:val="22"/>
                <w:szCs w:val="22"/>
              </w:rPr>
              <w:t>CloudFerro</w:t>
            </w:r>
            <w:proofErr w:type="spellEnd"/>
            <w:r w:rsidRPr="00FF018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FF0186">
              <w:rPr>
                <w:rFonts w:ascii="Arial" w:hAnsi="Arial" w:cs="Arial"/>
                <w:sz w:val="22"/>
                <w:szCs w:val="22"/>
              </w:rPr>
              <w:t>CloudSigma</w:t>
            </w:r>
            <w:proofErr w:type="spellEnd"/>
            <w:r w:rsidRPr="00FF0186">
              <w:rPr>
                <w:rFonts w:ascii="Arial" w:hAnsi="Arial" w:cs="Arial"/>
                <w:sz w:val="22"/>
                <w:szCs w:val="22"/>
              </w:rPr>
              <w:t xml:space="preserve">, VSHN – </w:t>
            </w:r>
            <w:proofErr w:type="spellStart"/>
            <w:r w:rsidRPr="00FF0186">
              <w:rPr>
                <w:rFonts w:ascii="Arial" w:hAnsi="Arial" w:cs="Arial"/>
                <w:sz w:val="22"/>
                <w:szCs w:val="22"/>
              </w:rPr>
              <w:t>Exoscale</w:t>
            </w:r>
            <w:proofErr w:type="spellEnd"/>
            <w:r w:rsidRPr="00FF018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FF0186">
              <w:rPr>
                <w:rFonts w:ascii="Arial" w:hAnsi="Arial" w:cs="Arial"/>
                <w:sz w:val="22"/>
                <w:szCs w:val="22"/>
              </w:rPr>
              <w:t>AppXite</w:t>
            </w:r>
            <w:proofErr w:type="spellEnd"/>
            <w:r w:rsidRPr="00FF0186">
              <w:rPr>
                <w:rFonts w:ascii="Arial" w:hAnsi="Arial" w:cs="Arial"/>
                <w:sz w:val="22"/>
                <w:szCs w:val="22"/>
              </w:rPr>
              <w:t xml:space="preserve"> – IBM, </w:t>
            </w:r>
            <w:proofErr w:type="spellStart"/>
            <w:r w:rsidRPr="00FF0186">
              <w:rPr>
                <w:rFonts w:ascii="Arial" w:hAnsi="Arial" w:cs="Arial"/>
                <w:sz w:val="22"/>
                <w:szCs w:val="22"/>
              </w:rPr>
              <w:t>Revolgy</w:t>
            </w:r>
            <w:proofErr w:type="spellEnd"/>
            <w:r w:rsidRPr="00FF0186">
              <w:rPr>
                <w:rFonts w:ascii="Arial" w:hAnsi="Arial" w:cs="Arial"/>
                <w:sz w:val="22"/>
                <w:szCs w:val="22"/>
              </w:rPr>
              <w:t xml:space="preserve"> – Google, </w:t>
            </w:r>
            <w:proofErr w:type="spellStart"/>
            <w:r w:rsidRPr="00FF0186">
              <w:rPr>
                <w:rFonts w:ascii="Arial" w:hAnsi="Arial" w:cs="Arial"/>
                <w:sz w:val="22"/>
                <w:szCs w:val="22"/>
              </w:rPr>
              <w:t>SoftwareONE</w:t>
            </w:r>
            <w:proofErr w:type="spellEnd"/>
            <w:r w:rsidRPr="00FF0186">
              <w:rPr>
                <w:rFonts w:ascii="Arial" w:hAnsi="Arial" w:cs="Arial"/>
                <w:sz w:val="22"/>
                <w:szCs w:val="22"/>
              </w:rPr>
              <w:t xml:space="preserve"> – Microsoft Azure, T-Systems, </w:t>
            </w:r>
            <w:proofErr w:type="spellStart"/>
            <w:r w:rsidRPr="00FF0186">
              <w:rPr>
                <w:rFonts w:ascii="Arial" w:hAnsi="Arial" w:cs="Arial"/>
                <w:sz w:val="22"/>
                <w:szCs w:val="22"/>
              </w:rPr>
              <w:t>Quistor</w:t>
            </w:r>
            <w:proofErr w:type="spellEnd"/>
            <w:r w:rsidRPr="00FF0186">
              <w:rPr>
                <w:rFonts w:ascii="Arial" w:hAnsi="Arial" w:cs="Arial"/>
                <w:sz w:val="22"/>
                <w:szCs w:val="22"/>
              </w:rPr>
              <w:t xml:space="preserve"> – Oracle, Orange, </w:t>
            </w:r>
            <w:proofErr w:type="spellStart"/>
            <w:r w:rsidRPr="00FF0186">
              <w:rPr>
                <w:rFonts w:ascii="Arial" w:hAnsi="Arial" w:cs="Arial"/>
                <w:sz w:val="22"/>
                <w:szCs w:val="22"/>
              </w:rPr>
              <w:t>Safespring</w:t>
            </w:r>
            <w:proofErr w:type="spellEnd"/>
            <w:r w:rsidRPr="00FF0186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FF0186">
              <w:rPr>
                <w:rFonts w:ascii="Arial" w:hAnsi="Arial" w:cs="Arial"/>
                <w:sz w:val="22"/>
                <w:szCs w:val="22"/>
              </w:rPr>
              <w:t>Setcor</w:t>
            </w:r>
            <w:proofErr w:type="spellEnd"/>
            <w:r w:rsidRPr="00FF018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B3FF1FC" w14:textId="7B69639A" w:rsidR="0026151B" w:rsidRDefault="0026151B" w:rsidP="0026151B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Katalog dodavatelů a jimi nabízených cloudových služeb pro Českou republiku je uveden 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stránkách.</w:t>
            </w:r>
            <w:r w:rsidR="00EF0B5C">
              <w:rPr>
                <w:rFonts w:ascii="Arial" w:hAnsi="Arial" w:cs="Arial"/>
                <w:sz w:val="22"/>
                <w:szCs w:val="22"/>
              </w:rPr>
              <w:t>xxxxxxxxxxxxxxxxxxxxxxxx</w:t>
            </w:r>
            <w:proofErr w:type="spellEnd"/>
          </w:p>
          <w:p w14:paraId="5DAB6C7B" w14:textId="77777777" w:rsidR="00E1138E" w:rsidRDefault="00E1138E" w:rsidP="0026151B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EB378F" w14:textId="77777777" w:rsidR="00316172" w:rsidRDefault="00316172" w:rsidP="0026151B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457ECE" w14:textId="77777777" w:rsidR="00991794" w:rsidRDefault="00991794" w:rsidP="00991794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Cloudové služby mohou být čerpány jedním z následujících způsob:</w:t>
            </w:r>
          </w:p>
          <w:p w14:paraId="7F9B695D" w14:textId="77777777" w:rsidR="00991794" w:rsidRDefault="00991794" w:rsidP="00991794">
            <w:pPr>
              <w:numPr>
                <w:ilvl w:val="0"/>
                <w:numId w:val="22"/>
              </w:num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Přímým pořízením konkrétní služby (od jednoho konkrétního dodavatele, pokud neexistuje více dodavatelů dané cloudové služby, popř. na základě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minitendru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mezi více dodavateli dané konkrétní cloudové služby). Tato forma vyžaduje zdůvodnění Účastníka, z jakého důvodu je nutné pořízení konkrétní cloudové služby (např. z důvodu již používané dané cloudové služby).</w:t>
            </w:r>
          </w:p>
          <w:p w14:paraId="06B90246" w14:textId="77777777" w:rsidR="00991794" w:rsidRDefault="00991794" w:rsidP="00991794">
            <w:pPr>
              <w:numPr>
                <w:ilvl w:val="0"/>
                <w:numId w:val="22"/>
              </w:num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Prostřednictvím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minitendru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„od stolu“ </w:t>
            </w:r>
            <w:r w:rsidR="00CA4BEF">
              <w:rPr>
                <w:rFonts w:ascii="Arial" w:hAnsi="Arial" w:cs="Arial"/>
                <w:sz w:val="22"/>
                <w:szCs w:val="22"/>
              </w:rPr>
              <w:t xml:space="preserve">(mini desktop </w:t>
            </w:r>
            <w:proofErr w:type="spellStart"/>
            <w:r w:rsidR="00CA4BEF">
              <w:rPr>
                <w:rFonts w:ascii="Arial" w:hAnsi="Arial" w:cs="Arial"/>
                <w:sz w:val="22"/>
                <w:szCs w:val="22"/>
              </w:rPr>
              <w:t>competition</w:t>
            </w:r>
            <w:proofErr w:type="spellEnd"/>
            <w:r w:rsidR="00CA4BEF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- tj. bez oslovení dodavatelů, pouze na základě údajů uvedených v nabídkách dodavatelů na uzavření Rámcových smluv</w:t>
            </w:r>
            <w:r w:rsidR="00CA4BE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BF0F8AC" w14:textId="77777777" w:rsidR="00991794" w:rsidRDefault="00991794" w:rsidP="00991794">
            <w:pPr>
              <w:numPr>
                <w:ilvl w:val="0"/>
                <w:numId w:val="22"/>
              </w:num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Prostřednictvím standardního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minitendru</w:t>
            </w:r>
            <w:proofErr w:type="spellEnd"/>
            <w:r w:rsidR="00CA4BEF">
              <w:rPr>
                <w:rFonts w:ascii="Arial" w:hAnsi="Arial" w:cs="Arial"/>
                <w:sz w:val="22"/>
                <w:szCs w:val="22"/>
              </w:rPr>
              <w:t xml:space="preserve"> (v případě, kdy Účastník nechce nebo není schopen definovat požadavky na konkrétní cloudovou službu).</w:t>
            </w:r>
          </w:p>
        </w:tc>
      </w:tr>
      <w:tr w:rsidR="00E813E4" w:rsidRPr="00500714" w14:paraId="54191AB7" w14:textId="77777777" w:rsidTr="7CE0B553">
        <w:tc>
          <w:tcPr>
            <w:tcW w:w="461" w:type="dxa"/>
            <w:shd w:val="clear" w:color="auto" w:fill="D9D9D9" w:themeFill="background1" w:themeFillShade="D9"/>
          </w:tcPr>
          <w:p w14:paraId="495EB510" w14:textId="77777777" w:rsidR="00E813E4" w:rsidRPr="00500714" w:rsidRDefault="00E813E4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F.</w:t>
            </w:r>
          </w:p>
        </w:tc>
        <w:tc>
          <w:tcPr>
            <w:tcW w:w="2782" w:type="dxa"/>
            <w:shd w:val="clear" w:color="auto" w:fill="D9D9D9" w:themeFill="background1" w:themeFillShade="D9"/>
          </w:tcPr>
          <w:p w14:paraId="0AFEA281" w14:textId="77777777" w:rsidR="00E813E4" w:rsidRPr="00E813E4" w:rsidRDefault="00D875A4" w:rsidP="00991794">
            <w:pPr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  <w:r w:rsidRPr="00E813E4">
              <w:rPr>
                <w:rFonts w:ascii="Arial" w:hAnsi="Arial" w:cs="Arial"/>
                <w:sz w:val="22"/>
                <w:szCs w:val="22"/>
              </w:rPr>
              <w:t xml:space="preserve">Organizační / technické podmínky </w:t>
            </w:r>
            <w:r w:rsidR="00991794">
              <w:rPr>
                <w:rFonts w:ascii="Arial" w:hAnsi="Arial" w:cs="Arial"/>
                <w:sz w:val="22"/>
                <w:szCs w:val="22"/>
              </w:rPr>
              <w:t>čerpání</w:t>
            </w:r>
            <w:r w:rsidRPr="00E813E4">
              <w:rPr>
                <w:rFonts w:ascii="Arial" w:hAnsi="Arial" w:cs="Arial"/>
                <w:sz w:val="22"/>
                <w:szCs w:val="22"/>
              </w:rPr>
              <w:t xml:space="preserve"> služby</w:t>
            </w:r>
          </w:p>
        </w:tc>
        <w:tc>
          <w:tcPr>
            <w:tcW w:w="6611" w:type="dxa"/>
            <w:gridSpan w:val="2"/>
            <w:shd w:val="clear" w:color="auto" w:fill="auto"/>
          </w:tcPr>
          <w:p w14:paraId="09750C32" w14:textId="77777777" w:rsidR="00991794" w:rsidRPr="00991794" w:rsidRDefault="00991794" w:rsidP="00991794">
            <w:pPr>
              <w:pStyle w:val="Normln1"/>
              <w:spacing w:before="1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91794">
              <w:rPr>
                <w:rFonts w:ascii="Arial" w:eastAsia="Calibri" w:hAnsi="Arial" w:cs="Arial"/>
                <w:sz w:val="22"/>
                <w:szCs w:val="22"/>
              </w:rPr>
              <w:t>Účastník zajistí:</w:t>
            </w:r>
          </w:p>
          <w:p w14:paraId="1D95BFEA" w14:textId="77777777" w:rsidR="00991794" w:rsidRPr="00991794" w:rsidRDefault="00991794" w:rsidP="00991794">
            <w:pPr>
              <w:pStyle w:val="Normln1"/>
              <w:numPr>
                <w:ilvl w:val="0"/>
                <w:numId w:val="21"/>
              </w:numPr>
              <w:spacing w:before="60"/>
              <w:ind w:left="714" w:hanging="35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91794">
              <w:rPr>
                <w:rFonts w:ascii="Arial" w:eastAsia="Calibri" w:hAnsi="Arial" w:cs="Arial"/>
                <w:sz w:val="22"/>
                <w:szCs w:val="22"/>
              </w:rPr>
              <w:t>Definice požadavků a zdůvodnění požadavků v potřebném rozsahu pro realizaci pořízení cloudové služby</w:t>
            </w:r>
          </w:p>
          <w:p w14:paraId="60CB7A9A" w14:textId="77777777" w:rsidR="00991794" w:rsidRPr="00991794" w:rsidRDefault="00991794" w:rsidP="00991794">
            <w:pPr>
              <w:pStyle w:val="Normln1"/>
              <w:numPr>
                <w:ilvl w:val="0"/>
                <w:numId w:val="21"/>
              </w:numPr>
              <w:spacing w:before="60"/>
              <w:ind w:left="714" w:hanging="35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91794">
              <w:rPr>
                <w:rFonts w:ascii="Arial" w:eastAsia="Calibri" w:hAnsi="Arial" w:cs="Arial"/>
                <w:sz w:val="22"/>
                <w:szCs w:val="22"/>
              </w:rPr>
              <w:t>Součinnost pro zřízení a poskytování cloudové služby dle pokynů a požadavků Sdružení</w:t>
            </w:r>
          </w:p>
          <w:p w14:paraId="1F4F8341" w14:textId="77777777" w:rsidR="00991794" w:rsidRPr="00991794" w:rsidRDefault="00991794" w:rsidP="00991794">
            <w:pPr>
              <w:pStyle w:val="Normln1"/>
              <w:spacing w:before="1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91794">
              <w:rPr>
                <w:rFonts w:ascii="Arial" w:eastAsia="Calibri" w:hAnsi="Arial" w:cs="Arial"/>
                <w:sz w:val="22"/>
                <w:szCs w:val="22"/>
              </w:rPr>
              <w:t xml:space="preserve">Sdružení zajistí: </w:t>
            </w:r>
          </w:p>
          <w:p w14:paraId="3113F677" w14:textId="77777777" w:rsidR="00991794" w:rsidRPr="00991794" w:rsidRDefault="00991794" w:rsidP="00991794">
            <w:pPr>
              <w:pStyle w:val="Normln1"/>
              <w:numPr>
                <w:ilvl w:val="0"/>
                <w:numId w:val="21"/>
              </w:numPr>
              <w:spacing w:before="60"/>
              <w:ind w:left="714" w:hanging="35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91794">
              <w:rPr>
                <w:rFonts w:ascii="Arial" w:eastAsia="Calibri" w:hAnsi="Arial" w:cs="Arial"/>
                <w:sz w:val="22"/>
                <w:szCs w:val="22"/>
              </w:rPr>
              <w:t xml:space="preserve">Na základě požadavků Účastníka realizuje pořízení </w:t>
            </w:r>
            <w:proofErr w:type="spellStart"/>
            <w:r w:rsidRPr="00991794">
              <w:rPr>
                <w:rFonts w:ascii="Arial" w:eastAsia="Calibri" w:hAnsi="Arial" w:cs="Arial"/>
                <w:sz w:val="22"/>
                <w:szCs w:val="22"/>
              </w:rPr>
              <w:t>cludové</w:t>
            </w:r>
            <w:proofErr w:type="spellEnd"/>
            <w:r w:rsidRPr="00991794">
              <w:rPr>
                <w:rFonts w:ascii="Arial" w:eastAsia="Calibri" w:hAnsi="Arial" w:cs="Arial"/>
                <w:sz w:val="22"/>
                <w:szCs w:val="22"/>
              </w:rPr>
              <w:t xml:space="preserve"> služby</w:t>
            </w:r>
          </w:p>
          <w:p w14:paraId="23F7687B" w14:textId="77777777" w:rsidR="00991794" w:rsidRPr="00991794" w:rsidRDefault="00991794" w:rsidP="00991794">
            <w:pPr>
              <w:pStyle w:val="Normln1"/>
              <w:numPr>
                <w:ilvl w:val="0"/>
                <w:numId w:val="21"/>
              </w:numPr>
              <w:spacing w:before="60"/>
              <w:ind w:left="714" w:hanging="35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91794">
              <w:rPr>
                <w:rFonts w:ascii="Arial" w:eastAsia="Calibri" w:hAnsi="Arial" w:cs="Arial"/>
                <w:sz w:val="22"/>
                <w:szCs w:val="22"/>
              </w:rPr>
              <w:t>Nezbytnou součinnost pro zřízení a provoz cloudové služby dle pokynů Účastníka</w:t>
            </w:r>
          </w:p>
          <w:p w14:paraId="6202E2A4" w14:textId="77777777" w:rsidR="00991794" w:rsidRPr="00991794" w:rsidRDefault="00991794" w:rsidP="00991794">
            <w:pPr>
              <w:pStyle w:val="Normln1"/>
              <w:numPr>
                <w:ilvl w:val="0"/>
                <w:numId w:val="21"/>
              </w:numPr>
              <w:spacing w:before="60"/>
              <w:ind w:left="714" w:hanging="35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91794">
              <w:rPr>
                <w:rFonts w:ascii="Arial" w:eastAsia="Calibri" w:hAnsi="Arial" w:cs="Arial"/>
                <w:sz w:val="22"/>
                <w:szCs w:val="22"/>
              </w:rPr>
              <w:t xml:space="preserve">Pravidelný </w:t>
            </w:r>
            <w:r w:rsidR="00E1138E">
              <w:rPr>
                <w:rFonts w:ascii="Arial" w:eastAsia="Calibri" w:hAnsi="Arial" w:cs="Arial"/>
                <w:sz w:val="22"/>
                <w:szCs w:val="22"/>
              </w:rPr>
              <w:t xml:space="preserve">kvartální </w:t>
            </w:r>
            <w:r w:rsidRPr="00991794">
              <w:rPr>
                <w:rFonts w:ascii="Arial" w:eastAsia="Calibri" w:hAnsi="Arial" w:cs="Arial"/>
                <w:sz w:val="22"/>
                <w:szCs w:val="22"/>
              </w:rPr>
              <w:t xml:space="preserve">reporting čerpání cloudové služby </w:t>
            </w:r>
          </w:p>
          <w:p w14:paraId="507A4191" w14:textId="77777777" w:rsidR="00E813E4" w:rsidRDefault="00991794" w:rsidP="004020CF">
            <w:pPr>
              <w:spacing w:before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91794">
              <w:rPr>
                <w:rFonts w:ascii="Arial" w:eastAsia="Calibri" w:hAnsi="Arial" w:cs="Arial"/>
                <w:sz w:val="22"/>
                <w:szCs w:val="22"/>
              </w:rPr>
              <w:t>Realizace pořízení a čerpání cloudové služby bude prováděná na základě písemných pokynů Technického kontaktu Účastníka, odeslaných na Technický kontakt Sdružení. Písemný pokyn musí obsahovat minimálně: definici rozsahu a druhu požadované cloudové služby, resp. konkrétní specifikaci cloudové služby; požadavek na termín pro zahájení čerpání cloudové</w:t>
            </w:r>
            <w:r w:rsidR="004020CF">
              <w:rPr>
                <w:rFonts w:ascii="Arial" w:eastAsia="Calibri" w:hAnsi="Arial" w:cs="Arial"/>
                <w:sz w:val="22"/>
                <w:szCs w:val="22"/>
              </w:rPr>
              <w:t xml:space="preserve"> služby a </w:t>
            </w:r>
            <w:r w:rsidRPr="00991794">
              <w:rPr>
                <w:rFonts w:ascii="Arial" w:eastAsia="Calibri" w:hAnsi="Arial" w:cs="Arial"/>
                <w:sz w:val="22"/>
                <w:szCs w:val="22"/>
              </w:rPr>
              <w:t>celkovou dobu jejího čerpání; případné další informace, které Účastník vyhodnotí jako nezbytné pro pořízení cl</w:t>
            </w:r>
            <w:r w:rsidR="00500C23">
              <w:rPr>
                <w:rFonts w:ascii="Arial" w:eastAsia="Calibri" w:hAnsi="Arial" w:cs="Arial"/>
                <w:sz w:val="22"/>
                <w:szCs w:val="22"/>
              </w:rPr>
              <w:t>o</w:t>
            </w:r>
            <w:r w:rsidRPr="00991794">
              <w:rPr>
                <w:rFonts w:ascii="Arial" w:eastAsia="Calibri" w:hAnsi="Arial" w:cs="Arial"/>
                <w:sz w:val="22"/>
                <w:szCs w:val="22"/>
              </w:rPr>
              <w:t>udové služby.</w:t>
            </w:r>
          </w:p>
          <w:p w14:paraId="6A05A809" w14:textId="77777777" w:rsidR="00316172" w:rsidRDefault="00316172" w:rsidP="00D8749A">
            <w:pPr>
              <w:spacing w:before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43867EF" w14:textId="77777777" w:rsidR="00D8749A" w:rsidRPr="00991794" w:rsidRDefault="00D8749A" w:rsidP="00D8749A">
            <w:pPr>
              <w:spacing w:before="60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D8749A">
              <w:rPr>
                <w:rFonts w:ascii="Arial" w:eastAsia="Calibri" w:hAnsi="Arial" w:cs="Arial"/>
                <w:sz w:val="22"/>
                <w:szCs w:val="22"/>
              </w:rPr>
              <w:t xml:space="preserve">Podmínky </w:t>
            </w:r>
            <w:r>
              <w:rPr>
                <w:rFonts w:ascii="Arial" w:eastAsia="Calibri" w:hAnsi="Arial" w:cs="Arial"/>
                <w:sz w:val="22"/>
                <w:szCs w:val="22"/>
              </w:rPr>
              <w:t>cloudových</w:t>
            </w:r>
            <w:r w:rsidRPr="00D8749A">
              <w:rPr>
                <w:rFonts w:ascii="Arial" w:eastAsia="Calibri" w:hAnsi="Arial" w:cs="Arial"/>
                <w:sz w:val="22"/>
                <w:szCs w:val="22"/>
              </w:rPr>
              <w:t xml:space="preserve"> služeb se řídí podmínkami konkrétních dodavatelů užívaných služeb. Případné zpracování osobních údajů provádí dodavatelé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cloudových </w:t>
            </w:r>
            <w:r w:rsidRPr="00D8749A">
              <w:rPr>
                <w:rFonts w:ascii="Arial" w:eastAsia="Calibri" w:hAnsi="Arial" w:cs="Arial"/>
                <w:sz w:val="22"/>
                <w:szCs w:val="22"/>
              </w:rPr>
              <w:t>služeb dle jimi stanovených podmínek.</w:t>
            </w:r>
          </w:p>
        </w:tc>
      </w:tr>
      <w:tr w:rsidR="00771FA3" w:rsidRPr="00500714" w14:paraId="4395AC1F" w14:textId="77777777" w:rsidTr="7CE0B553">
        <w:trPr>
          <w:trHeight w:val="252"/>
        </w:trPr>
        <w:tc>
          <w:tcPr>
            <w:tcW w:w="461" w:type="dxa"/>
            <w:vMerge w:val="restart"/>
            <w:shd w:val="clear" w:color="auto" w:fill="D9D9D9" w:themeFill="background1" w:themeFillShade="D9"/>
          </w:tcPr>
          <w:p w14:paraId="56D43842" w14:textId="77777777" w:rsidR="00771FA3" w:rsidRPr="00500714" w:rsidRDefault="00991794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771FA3" w:rsidRPr="0050071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82" w:type="dxa"/>
            <w:vMerge w:val="restart"/>
            <w:shd w:val="clear" w:color="auto" w:fill="D9D9D9" w:themeFill="background1" w:themeFillShade="D9"/>
          </w:tcPr>
          <w:p w14:paraId="2094D717" w14:textId="77777777" w:rsidR="00771FA3" w:rsidRPr="00500714" w:rsidRDefault="00771FA3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00714">
              <w:rPr>
                <w:rFonts w:ascii="Arial" w:hAnsi="Arial" w:cs="Arial"/>
                <w:sz w:val="22"/>
                <w:szCs w:val="22"/>
              </w:rPr>
              <w:t>Technické kontakty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8BD5E08" w14:textId="77777777" w:rsidR="00771FA3" w:rsidRPr="00500714" w:rsidRDefault="00771FA3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00714">
              <w:rPr>
                <w:rFonts w:ascii="Arial" w:hAnsi="Arial" w:cs="Arial"/>
                <w:sz w:val="22"/>
                <w:szCs w:val="22"/>
              </w:rPr>
              <w:t>Sdružení:</w:t>
            </w:r>
          </w:p>
        </w:tc>
        <w:tc>
          <w:tcPr>
            <w:tcW w:w="5335" w:type="dxa"/>
            <w:shd w:val="clear" w:color="auto" w:fill="auto"/>
          </w:tcPr>
          <w:p w14:paraId="0592C000" w14:textId="59354A92" w:rsidR="00771FA3" w:rsidRPr="00500714" w:rsidRDefault="00EF0B5C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xxxxxxxxxxxxxx</w:t>
            </w:r>
            <w:proofErr w:type="spellEnd"/>
          </w:p>
        </w:tc>
      </w:tr>
      <w:tr w:rsidR="00771FA3" w:rsidRPr="00500714" w14:paraId="31C1AFC4" w14:textId="77777777" w:rsidTr="7CE0B553">
        <w:trPr>
          <w:trHeight w:val="252"/>
        </w:trPr>
        <w:tc>
          <w:tcPr>
            <w:tcW w:w="461" w:type="dxa"/>
            <w:vMerge/>
          </w:tcPr>
          <w:p w14:paraId="5A39BBE3" w14:textId="77777777" w:rsidR="00771FA3" w:rsidRPr="00500714" w:rsidRDefault="00771FA3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2" w:type="dxa"/>
            <w:vMerge/>
          </w:tcPr>
          <w:p w14:paraId="41C8F396" w14:textId="77777777" w:rsidR="00771FA3" w:rsidRPr="00500714" w:rsidRDefault="00771FA3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A2813F0" w14:textId="77777777" w:rsidR="00771FA3" w:rsidRPr="00500714" w:rsidRDefault="00771FA3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00714">
              <w:rPr>
                <w:rFonts w:ascii="Arial" w:hAnsi="Arial" w:cs="Arial"/>
                <w:sz w:val="22"/>
                <w:szCs w:val="22"/>
              </w:rPr>
              <w:t>Účastník:</w:t>
            </w:r>
          </w:p>
        </w:tc>
        <w:tc>
          <w:tcPr>
            <w:tcW w:w="5335" w:type="dxa"/>
            <w:shd w:val="clear" w:color="auto" w:fill="auto"/>
          </w:tcPr>
          <w:p w14:paraId="184F6E51" w14:textId="5D3891D6" w:rsidR="00771FA3" w:rsidRPr="00500714" w:rsidRDefault="00EF0B5C" w:rsidP="008251E7">
            <w:pPr>
              <w:pStyle w:val="Normln1"/>
              <w:spacing w:before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xxxxxxxxxxx</w:t>
            </w:r>
            <w:proofErr w:type="spellEnd"/>
          </w:p>
          <w:p w14:paraId="689E7CD0" w14:textId="676FA5E8" w:rsidR="00771FA3" w:rsidRPr="00500714" w:rsidRDefault="00EF0B5C" w:rsidP="008251E7">
            <w:pPr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xxxxxxxxxxxx</w:t>
            </w:r>
            <w:proofErr w:type="spellEnd"/>
          </w:p>
          <w:p w14:paraId="1880847C" w14:textId="73BAECBB" w:rsidR="00771FA3" w:rsidRPr="00500714" w:rsidRDefault="00771FA3" w:rsidP="008251E7">
            <w:pPr>
              <w:pStyle w:val="Normln1"/>
              <w:spacing w:before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7CE0B553">
              <w:rPr>
                <w:rFonts w:ascii="Arial" w:eastAsia="Calibri" w:hAnsi="Arial" w:cs="Arial"/>
                <w:sz w:val="22"/>
                <w:szCs w:val="22"/>
              </w:rPr>
              <w:t xml:space="preserve">E-mail: </w:t>
            </w:r>
            <w:proofErr w:type="spellStart"/>
            <w:r w:rsidR="004B518F">
              <w:rPr>
                <w:rFonts w:ascii="Arial" w:eastAsia="Calibri" w:hAnsi="Arial" w:cs="Arial"/>
                <w:sz w:val="22"/>
                <w:szCs w:val="22"/>
              </w:rPr>
              <w:t>xxxxxxxxxxxxxxx</w:t>
            </w:r>
            <w:proofErr w:type="spellEnd"/>
          </w:p>
        </w:tc>
      </w:tr>
      <w:tr w:rsidR="00771FA3" w:rsidRPr="00500714" w14:paraId="030618F7" w14:textId="77777777" w:rsidTr="7CE0B553">
        <w:tc>
          <w:tcPr>
            <w:tcW w:w="461" w:type="dxa"/>
            <w:shd w:val="clear" w:color="auto" w:fill="D9D9D9" w:themeFill="background1" w:themeFillShade="D9"/>
          </w:tcPr>
          <w:p w14:paraId="2C212B45" w14:textId="77777777" w:rsidR="00771FA3" w:rsidRPr="00500714" w:rsidRDefault="00E813E4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771FA3" w:rsidRPr="0050071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82" w:type="dxa"/>
            <w:shd w:val="clear" w:color="auto" w:fill="D9D9D9" w:themeFill="background1" w:themeFillShade="D9"/>
          </w:tcPr>
          <w:p w14:paraId="27136292" w14:textId="77777777" w:rsidR="00771FA3" w:rsidRPr="00500714" w:rsidRDefault="00771FA3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00714">
              <w:rPr>
                <w:rFonts w:ascii="Arial" w:hAnsi="Arial" w:cs="Arial"/>
                <w:sz w:val="22"/>
                <w:szCs w:val="22"/>
              </w:rPr>
              <w:t>Datum zahájení služby</w:t>
            </w:r>
          </w:p>
        </w:tc>
        <w:tc>
          <w:tcPr>
            <w:tcW w:w="6611" w:type="dxa"/>
            <w:gridSpan w:val="2"/>
            <w:shd w:val="clear" w:color="auto" w:fill="auto"/>
          </w:tcPr>
          <w:p w14:paraId="07E13EA5" w14:textId="5FD88ED6" w:rsidR="00771FA3" w:rsidRPr="00F56568" w:rsidRDefault="00F56568" w:rsidP="7CE0B55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7CE0B553">
              <w:rPr>
                <w:rFonts w:ascii="Arial" w:hAnsi="Arial" w:cs="Arial"/>
                <w:sz w:val="22"/>
                <w:szCs w:val="22"/>
              </w:rPr>
              <w:t xml:space="preserve">Den přístupu </w:t>
            </w:r>
            <w:r w:rsidR="00B77BE2" w:rsidRPr="7CE0B553">
              <w:rPr>
                <w:rFonts w:ascii="Arial" w:hAnsi="Arial" w:cs="Arial"/>
                <w:sz w:val="22"/>
                <w:szCs w:val="22"/>
              </w:rPr>
              <w:t xml:space="preserve">(zahájení čerpání) </w:t>
            </w:r>
            <w:r w:rsidRPr="7CE0B553">
              <w:rPr>
                <w:rFonts w:ascii="Arial" w:hAnsi="Arial" w:cs="Arial"/>
                <w:sz w:val="22"/>
                <w:szCs w:val="22"/>
              </w:rPr>
              <w:t>k vybrané cloudové službě.</w:t>
            </w:r>
          </w:p>
          <w:p w14:paraId="6243A9E2" w14:textId="03C41799" w:rsidR="00771FA3" w:rsidRPr="00F56568" w:rsidRDefault="18FE41C1" w:rsidP="7CE0B553">
            <w:pPr>
              <w:spacing w:before="60"/>
            </w:pPr>
            <w:r w:rsidRPr="7CE0B553">
              <w:rPr>
                <w:rFonts w:ascii="Arial" w:hAnsi="Arial" w:cs="Arial"/>
                <w:sz w:val="22"/>
                <w:szCs w:val="22"/>
              </w:rPr>
              <w:t>1.10.2022</w:t>
            </w:r>
          </w:p>
        </w:tc>
      </w:tr>
      <w:tr w:rsidR="00771FA3" w:rsidRPr="00500714" w14:paraId="4FBF5A91" w14:textId="77777777" w:rsidTr="7CE0B553">
        <w:tc>
          <w:tcPr>
            <w:tcW w:w="461" w:type="dxa"/>
            <w:shd w:val="clear" w:color="auto" w:fill="D9D9D9" w:themeFill="background1" w:themeFillShade="D9"/>
          </w:tcPr>
          <w:p w14:paraId="4992E976" w14:textId="77777777" w:rsidR="00771FA3" w:rsidRPr="00500714" w:rsidRDefault="00E813E4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771FA3" w:rsidRPr="0050071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82" w:type="dxa"/>
            <w:shd w:val="clear" w:color="auto" w:fill="D9D9D9" w:themeFill="background1" w:themeFillShade="D9"/>
          </w:tcPr>
          <w:p w14:paraId="5B61378A" w14:textId="77777777" w:rsidR="00771FA3" w:rsidRPr="00500714" w:rsidRDefault="00771FA3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00714">
              <w:rPr>
                <w:rFonts w:ascii="Arial" w:hAnsi="Arial" w:cs="Arial"/>
                <w:sz w:val="22"/>
                <w:szCs w:val="22"/>
              </w:rPr>
              <w:t>Doba poskytování služby</w:t>
            </w:r>
          </w:p>
        </w:tc>
        <w:tc>
          <w:tcPr>
            <w:tcW w:w="6611" w:type="dxa"/>
            <w:gridSpan w:val="2"/>
            <w:shd w:val="clear" w:color="auto" w:fill="auto"/>
          </w:tcPr>
          <w:p w14:paraId="04BBD865" w14:textId="15D63B54" w:rsidR="00771FA3" w:rsidRPr="00500714" w:rsidRDefault="00F56568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F56568">
              <w:rPr>
                <w:rFonts w:ascii="Arial" w:hAnsi="Arial" w:cs="Arial"/>
                <w:sz w:val="22"/>
                <w:szCs w:val="22"/>
              </w:rPr>
              <w:t xml:space="preserve">oba určitá </w:t>
            </w:r>
            <w:r w:rsidR="00D756A7"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="000959E3">
              <w:rPr>
                <w:rFonts w:ascii="Arial" w:hAnsi="Arial" w:cs="Arial"/>
                <w:sz w:val="22"/>
                <w:szCs w:val="22"/>
              </w:rPr>
              <w:t>28</w:t>
            </w:r>
            <w:r w:rsidR="0042760E">
              <w:rPr>
                <w:rFonts w:ascii="Arial" w:hAnsi="Arial" w:cs="Arial"/>
                <w:sz w:val="22"/>
                <w:szCs w:val="22"/>
              </w:rPr>
              <w:t>.2.</w:t>
            </w:r>
            <w:r w:rsidR="00D756A7">
              <w:rPr>
                <w:rFonts w:ascii="Arial" w:hAnsi="Arial" w:cs="Arial"/>
                <w:sz w:val="22"/>
                <w:szCs w:val="22"/>
              </w:rPr>
              <w:t xml:space="preserve">2026 </w:t>
            </w:r>
            <w:r w:rsidRPr="00F56568">
              <w:rPr>
                <w:rFonts w:ascii="Arial" w:hAnsi="Arial" w:cs="Arial"/>
                <w:sz w:val="22"/>
                <w:szCs w:val="22"/>
              </w:rPr>
              <w:t>s výpovědní dobou „dle obchodních podmínek konkrétního dodavatele požadované služby“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77BE2" w:rsidRPr="00500714" w14:paraId="6064AFC1" w14:textId="77777777" w:rsidTr="7CE0B553">
        <w:trPr>
          <w:trHeight w:val="139"/>
        </w:trPr>
        <w:tc>
          <w:tcPr>
            <w:tcW w:w="461" w:type="dxa"/>
            <w:shd w:val="clear" w:color="auto" w:fill="D9D9D9" w:themeFill="background1" w:themeFillShade="D9"/>
          </w:tcPr>
          <w:p w14:paraId="77CBA36E" w14:textId="77777777" w:rsidR="00B77BE2" w:rsidRPr="00500714" w:rsidRDefault="00B77BE2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K</w:t>
            </w:r>
            <w:r w:rsidRPr="0050071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82" w:type="dxa"/>
            <w:shd w:val="clear" w:color="auto" w:fill="D9D9D9" w:themeFill="background1" w:themeFillShade="D9"/>
          </w:tcPr>
          <w:p w14:paraId="03492230" w14:textId="77777777" w:rsidR="00B77BE2" w:rsidRPr="00500714" w:rsidRDefault="00B77BE2" w:rsidP="0060150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00714">
              <w:rPr>
                <w:rFonts w:ascii="Arial" w:hAnsi="Arial" w:cs="Arial"/>
                <w:sz w:val="22"/>
                <w:szCs w:val="22"/>
              </w:rPr>
              <w:t>Cena</w:t>
            </w:r>
          </w:p>
        </w:tc>
        <w:tc>
          <w:tcPr>
            <w:tcW w:w="6611" w:type="dxa"/>
            <w:gridSpan w:val="2"/>
            <w:shd w:val="clear" w:color="auto" w:fill="auto"/>
          </w:tcPr>
          <w:p w14:paraId="53F58AE4" w14:textId="77777777" w:rsidR="00D8749A" w:rsidRPr="00500714" w:rsidRDefault="00D8749A" w:rsidP="002F5346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49A">
              <w:rPr>
                <w:rFonts w:ascii="Arial" w:hAnsi="Arial" w:cs="Arial"/>
                <w:sz w:val="22"/>
                <w:szCs w:val="22"/>
              </w:rPr>
              <w:t>Rámcové smlouvy poskytují</w:t>
            </w:r>
            <w:r w:rsidR="002F53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F5346">
              <w:rPr>
                <w:rFonts w:ascii="Arial" w:hAnsi="Arial" w:cs="Arial"/>
                <w:sz w:val="22"/>
                <w:szCs w:val="22"/>
              </w:rPr>
              <w:t>slevy z ceníkových cen </w:t>
            </w:r>
            <w:r w:rsidRPr="00D8749A">
              <w:rPr>
                <w:rFonts w:ascii="Arial" w:hAnsi="Arial" w:cs="Arial"/>
                <w:sz w:val="22"/>
                <w:szCs w:val="22"/>
              </w:rPr>
              <w:t xml:space="preserve">poskytovatelů cloudových služeb dle Rámcových smluv OCRE. 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D8749A">
              <w:rPr>
                <w:rFonts w:ascii="Arial" w:hAnsi="Arial" w:cs="Arial"/>
                <w:sz w:val="22"/>
                <w:szCs w:val="22"/>
              </w:rPr>
              <w:t>eálné náklady na pořízení a čerpání cloudov</w:t>
            </w:r>
            <w:r>
              <w:rPr>
                <w:rFonts w:ascii="Arial" w:hAnsi="Arial" w:cs="Arial"/>
                <w:sz w:val="22"/>
                <w:szCs w:val="22"/>
              </w:rPr>
              <w:t xml:space="preserve">ých služeb </w:t>
            </w:r>
            <w:r w:rsidRPr="00D8749A">
              <w:rPr>
                <w:rFonts w:ascii="Arial" w:hAnsi="Arial" w:cs="Arial"/>
                <w:sz w:val="22"/>
                <w:szCs w:val="22"/>
              </w:rPr>
              <w:t>budou Účastníkovi přefakturovány v souladu se Smlouvou</w:t>
            </w:r>
            <w:r>
              <w:rPr>
                <w:rFonts w:ascii="Arial" w:hAnsi="Arial" w:cs="Arial"/>
                <w:sz w:val="22"/>
                <w:szCs w:val="22"/>
              </w:rPr>
              <w:t xml:space="preserve"> na základě reálně spotřeby cloudových služeb</w:t>
            </w:r>
            <w:r w:rsidRPr="00D8749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16172">
              <w:rPr>
                <w:rFonts w:ascii="Arial" w:hAnsi="Arial" w:cs="Arial"/>
                <w:sz w:val="22"/>
                <w:szCs w:val="22"/>
              </w:rPr>
              <w:t>Sdružení, jakožto centrální zadavatel je oprávněno si za své služby (zajištění předmětných Služeb) účtovat odměnu ve formě provize z ceny zajištěných Služeb, která však nesmí překročit 2 %.</w:t>
            </w:r>
          </w:p>
        </w:tc>
      </w:tr>
      <w:tr w:rsidR="00771FA3" w:rsidRPr="00500714" w14:paraId="0FF7683E" w14:textId="77777777" w:rsidTr="7CE0B553">
        <w:trPr>
          <w:trHeight w:val="42"/>
        </w:trPr>
        <w:tc>
          <w:tcPr>
            <w:tcW w:w="461" w:type="dxa"/>
            <w:shd w:val="clear" w:color="auto" w:fill="D9D9D9" w:themeFill="background1" w:themeFillShade="D9"/>
          </w:tcPr>
          <w:p w14:paraId="6F767B18" w14:textId="77777777" w:rsidR="00771FA3" w:rsidRPr="00500714" w:rsidRDefault="00E813E4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771FA3" w:rsidRPr="0050071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82" w:type="dxa"/>
            <w:shd w:val="clear" w:color="auto" w:fill="D9D9D9" w:themeFill="background1" w:themeFillShade="D9"/>
          </w:tcPr>
          <w:p w14:paraId="1B1C8844" w14:textId="77777777" w:rsidR="00771FA3" w:rsidRPr="00500714" w:rsidRDefault="00771FA3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00714">
              <w:rPr>
                <w:rFonts w:ascii="Arial" w:hAnsi="Arial" w:cs="Arial"/>
                <w:sz w:val="22"/>
                <w:szCs w:val="22"/>
              </w:rPr>
              <w:t>Platební podmínky</w:t>
            </w:r>
          </w:p>
        </w:tc>
        <w:tc>
          <w:tcPr>
            <w:tcW w:w="6611" w:type="dxa"/>
            <w:gridSpan w:val="2"/>
            <w:shd w:val="clear" w:color="auto" w:fill="auto"/>
          </w:tcPr>
          <w:p w14:paraId="757516B1" w14:textId="77777777" w:rsidR="00771FA3" w:rsidRPr="00500714" w:rsidRDefault="00B77BE2" w:rsidP="00B77BE2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7BE2">
              <w:rPr>
                <w:rFonts w:ascii="Arial" w:hAnsi="Arial" w:cs="Arial"/>
                <w:sz w:val="22"/>
                <w:szCs w:val="22"/>
              </w:rPr>
              <w:t xml:space="preserve">Platby za Služby podle této </w:t>
            </w:r>
            <w:r>
              <w:rPr>
                <w:rFonts w:ascii="Arial" w:hAnsi="Arial" w:cs="Arial"/>
                <w:sz w:val="22"/>
                <w:szCs w:val="22"/>
              </w:rPr>
              <w:t>Dílčí s</w:t>
            </w:r>
            <w:r w:rsidRPr="00B77BE2">
              <w:rPr>
                <w:rFonts w:ascii="Arial" w:hAnsi="Arial" w:cs="Arial"/>
                <w:sz w:val="22"/>
                <w:szCs w:val="22"/>
              </w:rPr>
              <w:t>pecifikace budou hrazeny čtvrtletně zpětně. Fakturace bude probíhat ve měně dle dohody smluvních stran. Fakturovaná částka</w:t>
            </w:r>
            <w:r>
              <w:rPr>
                <w:rFonts w:ascii="Arial" w:hAnsi="Arial" w:cs="Arial"/>
                <w:sz w:val="22"/>
                <w:szCs w:val="22"/>
              </w:rPr>
              <w:t xml:space="preserve"> za</w:t>
            </w:r>
            <w:r w:rsidRPr="00B77BE2">
              <w:rPr>
                <w:rFonts w:ascii="Arial" w:hAnsi="Arial" w:cs="Arial"/>
                <w:sz w:val="22"/>
                <w:szCs w:val="22"/>
              </w:rPr>
              <w:t xml:space="preserve"> Služby se může lišit od ceníkové ceny v cizí měně kurzovým rozdílem ke dni fakturace Sdružením.</w:t>
            </w:r>
          </w:p>
        </w:tc>
      </w:tr>
      <w:tr w:rsidR="00E813E4" w:rsidRPr="00500714" w14:paraId="42AC8D61" w14:textId="77777777" w:rsidTr="7CE0B553">
        <w:trPr>
          <w:trHeight w:val="42"/>
        </w:trPr>
        <w:tc>
          <w:tcPr>
            <w:tcW w:w="461" w:type="dxa"/>
            <w:shd w:val="clear" w:color="auto" w:fill="D9D9D9" w:themeFill="background1" w:themeFillShade="D9"/>
          </w:tcPr>
          <w:p w14:paraId="0987B131" w14:textId="77777777" w:rsidR="00E813E4" w:rsidRPr="00500714" w:rsidRDefault="00E813E4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M.</w:t>
            </w:r>
          </w:p>
        </w:tc>
        <w:tc>
          <w:tcPr>
            <w:tcW w:w="2782" w:type="dxa"/>
            <w:shd w:val="clear" w:color="auto" w:fill="D9D9D9" w:themeFill="background1" w:themeFillShade="D9"/>
          </w:tcPr>
          <w:p w14:paraId="18FD17E7" w14:textId="77777777" w:rsidR="00E813E4" w:rsidRPr="00500714" w:rsidRDefault="00E813E4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813E4">
              <w:rPr>
                <w:rFonts w:ascii="Arial" w:hAnsi="Arial" w:cs="Arial"/>
                <w:sz w:val="22"/>
                <w:szCs w:val="22"/>
              </w:rPr>
              <w:t>Smluvní úroveň služeb</w:t>
            </w:r>
          </w:p>
        </w:tc>
        <w:tc>
          <w:tcPr>
            <w:tcW w:w="6611" w:type="dxa"/>
            <w:gridSpan w:val="2"/>
            <w:shd w:val="clear" w:color="auto" w:fill="auto"/>
          </w:tcPr>
          <w:p w14:paraId="70EA7C89" w14:textId="77777777" w:rsidR="00E813E4" w:rsidRPr="00500714" w:rsidRDefault="00CD61CA" w:rsidP="00CD61CA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61CA">
              <w:rPr>
                <w:rFonts w:ascii="Arial" w:hAnsi="Arial" w:cs="Arial"/>
                <w:sz w:val="22"/>
                <w:szCs w:val="22"/>
              </w:rPr>
              <w:t>Poskytovaná úroveň cl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CD61CA">
              <w:rPr>
                <w:rFonts w:ascii="Arial" w:hAnsi="Arial" w:cs="Arial"/>
                <w:sz w:val="22"/>
                <w:szCs w:val="22"/>
              </w:rPr>
              <w:t>udových služeb se řídí podmínkami konkrétních dodavatelů požadovaných cloudových služeb. Sdružení neodpovídá za jakoukoliv újmu, která byla nebo by mohla být Účastníkovi způsobena v souvislosti s využíváním cloudových služeb, nad rámec podmínek poskytovatelů těchto cloudových služeb. Účastník nemá nárok požadovat od Sdružení náhradu jakékoliv újmy a jiných nákladů mu vzniklých v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CD61CA">
              <w:rPr>
                <w:rFonts w:ascii="Arial" w:hAnsi="Arial" w:cs="Arial"/>
                <w:sz w:val="22"/>
                <w:szCs w:val="22"/>
              </w:rPr>
              <w:t>souvislosti s nedostupností cloudových služeb.</w:t>
            </w:r>
          </w:p>
        </w:tc>
      </w:tr>
      <w:tr w:rsidR="00E813E4" w:rsidRPr="00500714" w14:paraId="00339E9D" w14:textId="77777777" w:rsidTr="7CE0B553">
        <w:trPr>
          <w:trHeight w:val="42"/>
        </w:trPr>
        <w:tc>
          <w:tcPr>
            <w:tcW w:w="461" w:type="dxa"/>
            <w:shd w:val="clear" w:color="auto" w:fill="D9D9D9" w:themeFill="background1" w:themeFillShade="D9"/>
          </w:tcPr>
          <w:p w14:paraId="7974278F" w14:textId="77777777" w:rsidR="00E813E4" w:rsidRPr="00500714" w:rsidRDefault="00E813E4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2782" w:type="dxa"/>
            <w:shd w:val="clear" w:color="auto" w:fill="D9D9D9" w:themeFill="background1" w:themeFillShade="D9"/>
          </w:tcPr>
          <w:p w14:paraId="0842AA7E" w14:textId="77777777" w:rsidR="00E813E4" w:rsidRPr="00500714" w:rsidRDefault="00E813E4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813E4">
              <w:rPr>
                <w:rFonts w:ascii="Arial" w:hAnsi="Arial" w:cs="Arial"/>
                <w:sz w:val="22"/>
                <w:szCs w:val="22"/>
              </w:rPr>
              <w:t>Exit strategie</w:t>
            </w:r>
          </w:p>
        </w:tc>
        <w:tc>
          <w:tcPr>
            <w:tcW w:w="6611" w:type="dxa"/>
            <w:gridSpan w:val="2"/>
            <w:shd w:val="clear" w:color="auto" w:fill="auto"/>
          </w:tcPr>
          <w:p w14:paraId="4EFB0FC7" w14:textId="77777777" w:rsidR="00E813E4" w:rsidRPr="00500714" w:rsidRDefault="00E813E4" w:rsidP="00E1138E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Účastník bere na vědomí, že v případě ukončení poskytování Služby dle této Dílčí specifikace Účastník ztratí přístup k</w:t>
            </w:r>
            <w:r w:rsidR="00D8749A">
              <w:rPr>
                <w:rFonts w:ascii="Arial" w:hAnsi="Arial" w:cs="Arial"/>
                <w:sz w:val="22"/>
                <w:szCs w:val="22"/>
              </w:rPr>
              <w:t xml:space="preserve"> poskytovaným cloudovým službám. Exit strategie se řídí podmínkami konkrétních dodavatelů užívaných služeb. </w:t>
            </w:r>
          </w:p>
        </w:tc>
      </w:tr>
    </w:tbl>
    <w:p w14:paraId="419A43FD" w14:textId="08F534EA" w:rsidR="00FD7A76" w:rsidRPr="000918AA" w:rsidRDefault="00C005E0" w:rsidP="00C005E0">
      <w:pPr>
        <w:widowControl/>
        <w:suppressAutoHyphens w:val="0"/>
        <w:spacing w:before="120" w:line="276" w:lineRule="auto"/>
        <w:ind w:left="709" w:hanging="709"/>
        <w:jc w:val="both"/>
        <w:rPr>
          <w:rFonts w:ascii="Arial" w:eastAsia="Times New Roman" w:hAnsi="Arial" w:cs="Arial"/>
          <w:snapToGrid w:val="0"/>
          <w:sz w:val="22"/>
          <w:szCs w:val="22"/>
        </w:rPr>
      </w:pPr>
      <w:r w:rsidRPr="000918AA">
        <w:rPr>
          <w:rFonts w:ascii="Arial" w:eastAsia="Times New Roman" w:hAnsi="Arial" w:cs="Arial"/>
          <w:snapToGrid w:val="0"/>
          <w:sz w:val="22"/>
          <w:szCs w:val="22"/>
        </w:rPr>
        <w:t xml:space="preserve">Pozn.: Tato dílčí specifikace nabývá platnosti dnem podpisu poslední smluvní strany a účinnosti dnem uveřejnění v registru smluv podle zák. č. 340/2015 Sb., o zvláštních podmínkách účinnosti některých smluv, uveřejňování těchto smluv a o registru smluv (zákon o registru smluv). Splnění této zákonné povinnosti zajistí Účastník. </w:t>
      </w:r>
    </w:p>
    <w:p w14:paraId="72A3D3EC" w14:textId="77777777" w:rsidR="00C005E0" w:rsidRPr="00C005E0" w:rsidRDefault="00C005E0" w:rsidP="00C005E0">
      <w:pPr>
        <w:widowControl/>
        <w:suppressAutoHyphens w:val="0"/>
        <w:spacing w:before="120" w:line="276" w:lineRule="auto"/>
        <w:jc w:val="both"/>
        <w:rPr>
          <w:rFonts w:ascii="Arial" w:eastAsia="Times New Roman" w:hAnsi="Arial" w:cs="Arial"/>
          <w:snapToGrid w:val="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75"/>
        <w:gridCol w:w="1134"/>
        <w:gridCol w:w="4075"/>
      </w:tblGrid>
      <w:tr w:rsidR="00FD7A76" w:rsidRPr="002370C4" w14:paraId="008507CA" w14:textId="77777777" w:rsidTr="7CE0B553">
        <w:trPr>
          <w:trHeight w:val="1131"/>
          <w:jc w:val="center"/>
        </w:trPr>
        <w:tc>
          <w:tcPr>
            <w:tcW w:w="4075" w:type="dxa"/>
            <w:tcBorders>
              <w:bottom w:val="single" w:sz="4" w:space="0" w:color="auto"/>
            </w:tcBorders>
            <w:shd w:val="clear" w:color="auto" w:fill="auto"/>
          </w:tcPr>
          <w:p w14:paraId="768C103A" w14:textId="77777777" w:rsidR="00FD7A76" w:rsidRPr="002370C4" w:rsidRDefault="00FD7A76" w:rsidP="00F305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70C4">
              <w:rPr>
                <w:rFonts w:ascii="Arial" w:hAnsi="Arial" w:cs="Arial"/>
                <w:sz w:val="22"/>
                <w:szCs w:val="22"/>
              </w:rPr>
              <w:t>Za Sdružení</w:t>
            </w:r>
          </w:p>
          <w:p w14:paraId="70155DF6" w14:textId="77777777" w:rsidR="00FD7A76" w:rsidRPr="002370C4" w:rsidRDefault="00FD7A76" w:rsidP="00F3057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70C4">
              <w:rPr>
                <w:rFonts w:ascii="Arial" w:hAnsi="Arial" w:cs="Arial"/>
                <w:sz w:val="22"/>
                <w:szCs w:val="22"/>
              </w:rPr>
              <w:t>Datum: viz digitální podpis</w:t>
            </w:r>
          </w:p>
          <w:p w14:paraId="0D0B940D" w14:textId="77777777" w:rsidR="006320E4" w:rsidRPr="002370C4" w:rsidRDefault="006320E4" w:rsidP="00F3057E">
            <w:pPr>
              <w:jc w:val="both"/>
              <w:rPr>
                <w:rFonts w:ascii="Arial" w:hAnsi="Arial" w:cs="Arial"/>
              </w:rPr>
            </w:pPr>
          </w:p>
          <w:p w14:paraId="0E27B00A" w14:textId="77777777" w:rsidR="006320E4" w:rsidRDefault="006320E4" w:rsidP="00F305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061E4C" w14:textId="77777777" w:rsidR="001E2DA3" w:rsidRPr="002370C4" w:rsidRDefault="001E2DA3" w:rsidP="00F305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EAFD9C" w14:textId="77777777" w:rsidR="00FD7A76" w:rsidRPr="002370C4" w:rsidRDefault="00FD7A76" w:rsidP="00F305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94D5A5" w14:textId="3298FB07" w:rsidR="00FD7A76" w:rsidRPr="002370C4" w:rsidRDefault="00FD7A76" w:rsidP="00F305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DEEC669" w14:textId="77777777" w:rsidR="00FD7A76" w:rsidRPr="002370C4" w:rsidRDefault="00FD7A76" w:rsidP="00F305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  <w:shd w:val="clear" w:color="auto" w:fill="auto"/>
          </w:tcPr>
          <w:p w14:paraId="7AEF3452" w14:textId="77777777" w:rsidR="00FD7A76" w:rsidRPr="002370C4" w:rsidRDefault="00FD7A76" w:rsidP="00F3057E">
            <w:pPr>
              <w:rPr>
                <w:rFonts w:ascii="Arial" w:hAnsi="Arial" w:cs="Arial"/>
                <w:sz w:val="22"/>
                <w:szCs w:val="22"/>
              </w:rPr>
            </w:pPr>
            <w:r w:rsidRPr="002370C4">
              <w:rPr>
                <w:rFonts w:ascii="Arial" w:hAnsi="Arial" w:cs="Arial"/>
                <w:sz w:val="22"/>
                <w:szCs w:val="22"/>
              </w:rPr>
              <w:t>za Účastníka</w:t>
            </w:r>
          </w:p>
          <w:p w14:paraId="6F7AE295" w14:textId="77777777" w:rsidR="00FD7A76" w:rsidRPr="002370C4" w:rsidRDefault="00FD7A76" w:rsidP="00F3057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70C4">
              <w:rPr>
                <w:rFonts w:ascii="Arial" w:hAnsi="Arial" w:cs="Arial"/>
                <w:sz w:val="22"/>
                <w:szCs w:val="22"/>
              </w:rPr>
              <w:t>Datum: viz digitální podpis</w:t>
            </w:r>
          </w:p>
          <w:p w14:paraId="3656B9AB" w14:textId="77777777" w:rsidR="00FD7A76" w:rsidRPr="002370C4" w:rsidRDefault="00FD7A76" w:rsidP="00F30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7A76" w:rsidRPr="002370C4" w14:paraId="192B3344" w14:textId="77777777" w:rsidTr="7CE0B553">
        <w:trPr>
          <w:trHeight w:val="281"/>
          <w:jc w:val="center"/>
        </w:trPr>
        <w:tc>
          <w:tcPr>
            <w:tcW w:w="4075" w:type="dxa"/>
            <w:tcBorders>
              <w:top w:val="single" w:sz="4" w:space="0" w:color="auto"/>
            </w:tcBorders>
            <w:shd w:val="clear" w:color="auto" w:fill="auto"/>
          </w:tcPr>
          <w:p w14:paraId="1BE7C015" w14:textId="77777777" w:rsidR="00FD7A76" w:rsidRPr="002370C4" w:rsidRDefault="00FD7A76" w:rsidP="00F30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70C4">
              <w:rPr>
                <w:rFonts w:ascii="Arial" w:hAnsi="Arial" w:cs="Arial"/>
                <w:sz w:val="22"/>
                <w:szCs w:val="22"/>
              </w:rPr>
              <w:t>Ing. Jakub Papírník</w:t>
            </w:r>
          </w:p>
          <w:p w14:paraId="17F9BD3B" w14:textId="77777777" w:rsidR="00FD7A76" w:rsidRPr="002370C4" w:rsidRDefault="00FD7A76" w:rsidP="00F30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70C4">
              <w:rPr>
                <w:rFonts w:ascii="Arial" w:hAnsi="Arial" w:cs="Arial"/>
                <w:sz w:val="22"/>
                <w:szCs w:val="22"/>
              </w:rPr>
              <w:t xml:space="preserve">ředitel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14:paraId="45FB0818" w14:textId="77777777" w:rsidR="00FD7A76" w:rsidRPr="002370C4" w:rsidRDefault="00FD7A76" w:rsidP="00F30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  <w:shd w:val="clear" w:color="auto" w:fill="auto"/>
          </w:tcPr>
          <w:p w14:paraId="592224D4" w14:textId="44EFB9A3" w:rsidR="00FD7A76" w:rsidRPr="002370C4" w:rsidRDefault="4A00B711" w:rsidP="00F30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7CE0B553">
              <w:rPr>
                <w:rFonts w:ascii="Arial" w:hAnsi="Arial" w:cs="Arial"/>
                <w:sz w:val="22"/>
                <w:szCs w:val="22"/>
              </w:rPr>
              <w:t>Ing. Martin Souček, Ph.D.</w:t>
            </w:r>
          </w:p>
          <w:p w14:paraId="036FC45C" w14:textId="3E69EE7B" w:rsidR="4A00B711" w:rsidRDefault="4A00B711" w:rsidP="7CE0B5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7CE0B553">
              <w:rPr>
                <w:rFonts w:ascii="Arial" w:hAnsi="Arial" w:cs="Arial"/>
                <w:sz w:val="22"/>
                <w:szCs w:val="22"/>
              </w:rPr>
              <w:t>ředitel ODIS NM</w:t>
            </w:r>
          </w:p>
          <w:p w14:paraId="049F31CB" w14:textId="77777777" w:rsidR="00FD7A76" w:rsidRPr="002370C4" w:rsidRDefault="00FD7A76" w:rsidP="00F30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128261" w14:textId="77777777" w:rsidR="00BA0C08" w:rsidRPr="002370C4" w:rsidRDefault="00BA0C08" w:rsidP="00FD7A76">
      <w:pPr>
        <w:widowControl/>
        <w:suppressAutoHyphens w:val="0"/>
        <w:spacing w:after="200"/>
        <w:jc w:val="both"/>
        <w:rPr>
          <w:rFonts w:ascii="Arial" w:eastAsia="Times New Roman" w:hAnsi="Arial" w:cs="Arial"/>
          <w:snapToGrid w:val="0"/>
          <w:sz w:val="22"/>
          <w:szCs w:val="22"/>
          <w:u w:val="single"/>
        </w:rPr>
      </w:pPr>
    </w:p>
    <w:sectPr w:rsidR="00BA0C08" w:rsidRPr="002370C4" w:rsidSect="000918AA">
      <w:headerReference w:type="default" r:id="rId11"/>
      <w:footerReference w:type="default" r:id="rId12"/>
      <w:pgSz w:w="11906" w:h="16838" w:code="9"/>
      <w:pgMar w:top="1418" w:right="1134" w:bottom="993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0C6B1" w14:textId="77777777" w:rsidR="00DA23E1" w:rsidRDefault="00DA23E1" w:rsidP="007338A6">
      <w:r>
        <w:separator/>
      </w:r>
    </w:p>
  </w:endnote>
  <w:endnote w:type="continuationSeparator" w:id="0">
    <w:p w14:paraId="70B71EDA" w14:textId="77777777" w:rsidR="00DA23E1" w:rsidRDefault="00DA23E1" w:rsidP="007338A6">
      <w:r>
        <w:continuationSeparator/>
      </w:r>
    </w:p>
  </w:endnote>
  <w:endnote w:type="continuationNotice" w:id="1">
    <w:p w14:paraId="552A05FD" w14:textId="77777777" w:rsidR="00DA23E1" w:rsidRDefault="00DA23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D8B6" w14:textId="77777777" w:rsidR="0067186D" w:rsidRDefault="006718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649B6" w14:textId="77777777" w:rsidR="00DA23E1" w:rsidRDefault="00DA23E1" w:rsidP="007338A6">
      <w:r>
        <w:separator/>
      </w:r>
    </w:p>
  </w:footnote>
  <w:footnote w:type="continuationSeparator" w:id="0">
    <w:p w14:paraId="5A0792CA" w14:textId="77777777" w:rsidR="00DA23E1" w:rsidRDefault="00DA23E1" w:rsidP="007338A6">
      <w:r>
        <w:continuationSeparator/>
      </w:r>
    </w:p>
  </w:footnote>
  <w:footnote w:type="continuationNotice" w:id="1">
    <w:p w14:paraId="172349B7" w14:textId="77777777" w:rsidR="00DA23E1" w:rsidRDefault="00DA23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D97A0" w14:textId="77777777" w:rsidR="00051BF3" w:rsidRDefault="00EC2EA9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D25CEE8" wp14:editId="07777777">
          <wp:simplePos x="0" y="0"/>
          <wp:positionH relativeFrom="column">
            <wp:posOffset>0</wp:posOffset>
          </wp:positionH>
          <wp:positionV relativeFrom="paragraph">
            <wp:posOffset>-429895</wp:posOffset>
          </wp:positionV>
          <wp:extent cx="1619885" cy="887095"/>
          <wp:effectExtent l="0" t="0" r="0" b="0"/>
          <wp:wrapNone/>
          <wp:docPr id="1" name="Picture 1" descr="cesnet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snet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66A495E"/>
    <w:multiLevelType w:val="hybridMultilevel"/>
    <w:tmpl w:val="16FAB3E4"/>
    <w:lvl w:ilvl="0" w:tplc="05A87572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1244D"/>
    <w:multiLevelType w:val="hybridMultilevel"/>
    <w:tmpl w:val="8E140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B7B1A"/>
    <w:multiLevelType w:val="hybridMultilevel"/>
    <w:tmpl w:val="B59A4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E3C62"/>
    <w:multiLevelType w:val="hybridMultilevel"/>
    <w:tmpl w:val="984870A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8E255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EB14D2"/>
    <w:multiLevelType w:val="hybridMultilevel"/>
    <w:tmpl w:val="F3E42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1025A"/>
    <w:multiLevelType w:val="hybridMultilevel"/>
    <w:tmpl w:val="0BD64F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43B83"/>
    <w:multiLevelType w:val="hybridMultilevel"/>
    <w:tmpl w:val="8E2E23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739EE"/>
    <w:multiLevelType w:val="hybridMultilevel"/>
    <w:tmpl w:val="A064C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A610F"/>
    <w:multiLevelType w:val="hybridMultilevel"/>
    <w:tmpl w:val="A2809B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50FA2"/>
    <w:multiLevelType w:val="singleLevel"/>
    <w:tmpl w:val="5106E3E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4C0342D4"/>
    <w:multiLevelType w:val="hybridMultilevel"/>
    <w:tmpl w:val="FF0C2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C16A5"/>
    <w:multiLevelType w:val="hybridMultilevel"/>
    <w:tmpl w:val="A62C6152"/>
    <w:lvl w:ilvl="0" w:tplc="315E5B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38B4C66"/>
    <w:multiLevelType w:val="hybridMultilevel"/>
    <w:tmpl w:val="B838F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4681F"/>
    <w:multiLevelType w:val="hybridMultilevel"/>
    <w:tmpl w:val="52889E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C90FA12">
      <w:numFmt w:val="bullet"/>
      <w:lvlText w:val="-"/>
      <w:lvlJc w:val="left"/>
      <w:pPr>
        <w:ind w:left="2340" w:hanging="360"/>
      </w:pPr>
      <w:rPr>
        <w:rFonts w:ascii="Times New Roman" w:eastAsia="DejaVu Sans" w:hAnsi="Times New Roman" w:cs="Times New Roman" w:hint="default"/>
      </w:rPr>
    </w:lvl>
    <w:lvl w:ilvl="3" w:tplc="858003A8">
      <w:numFmt w:val="bullet"/>
      <w:lvlText w:val="•"/>
      <w:lvlJc w:val="left"/>
      <w:pPr>
        <w:ind w:left="3228" w:hanging="708"/>
      </w:pPr>
      <w:rPr>
        <w:rFonts w:ascii="Arial" w:eastAsia="Calibri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20AE3"/>
    <w:multiLevelType w:val="multilevel"/>
    <w:tmpl w:val="8A487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0077AA9"/>
    <w:multiLevelType w:val="singleLevel"/>
    <w:tmpl w:val="5106E3E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704D76B5"/>
    <w:multiLevelType w:val="hybridMultilevel"/>
    <w:tmpl w:val="D0AAC71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362E4"/>
    <w:multiLevelType w:val="hybridMultilevel"/>
    <w:tmpl w:val="D8F836F6"/>
    <w:lvl w:ilvl="0" w:tplc="E7F8CC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C90FA12">
      <w:numFmt w:val="bullet"/>
      <w:lvlText w:val="-"/>
      <w:lvlJc w:val="left"/>
      <w:pPr>
        <w:ind w:left="2340" w:hanging="360"/>
      </w:pPr>
      <w:rPr>
        <w:rFonts w:ascii="Times New Roman" w:eastAsia="DejaVu Sans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7"/>
  </w:num>
  <w:num w:numId="5">
    <w:abstractNumId w:val="19"/>
  </w:num>
  <w:num w:numId="6">
    <w:abstractNumId w:val="10"/>
  </w:num>
  <w:num w:numId="7">
    <w:abstractNumId w:val="13"/>
  </w:num>
  <w:num w:numId="8">
    <w:abstractNumId w:val="15"/>
  </w:num>
  <w:num w:numId="9">
    <w:abstractNumId w:val="11"/>
    <w:lvlOverride w:ilvl="0">
      <w:startOverride w:val="1"/>
    </w:lvlOverride>
  </w:num>
  <w:num w:numId="10">
    <w:abstractNumId w:val="17"/>
    <w:lvlOverride w:ilvl="0">
      <w:startOverride w:val="1"/>
    </w:lvlOverride>
  </w:num>
  <w:num w:numId="11">
    <w:abstractNumId w:val="4"/>
  </w:num>
  <w:num w:numId="12">
    <w:abstractNumId w:val="9"/>
  </w:num>
  <w:num w:numId="13">
    <w:abstractNumId w:val="16"/>
  </w:num>
  <w:num w:numId="14">
    <w:abstractNumId w:val="9"/>
  </w:num>
  <w:num w:numId="15">
    <w:abstractNumId w:val="3"/>
  </w:num>
  <w:num w:numId="16">
    <w:abstractNumId w:val="12"/>
  </w:num>
  <w:num w:numId="17">
    <w:abstractNumId w:val="1"/>
  </w:num>
  <w:num w:numId="18">
    <w:abstractNumId w:val="6"/>
  </w:num>
  <w:num w:numId="19">
    <w:abstractNumId w:val="2"/>
  </w:num>
  <w:num w:numId="20">
    <w:abstractNumId w:val="6"/>
  </w:num>
  <w:num w:numId="21">
    <w:abstractNumId w:val="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A6"/>
    <w:rsid w:val="000066E4"/>
    <w:rsid w:val="000068F3"/>
    <w:rsid w:val="00010767"/>
    <w:rsid w:val="00011051"/>
    <w:rsid w:val="0001271A"/>
    <w:rsid w:val="00021FC8"/>
    <w:rsid w:val="00025275"/>
    <w:rsid w:val="00033AD9"/>
    <w:rsid w:val="00035303"/>
    <w:rsid w:val="0004577B"/>
    <w:rsid w:val="000465D7"/>
    <w:rsid w:val="0005016B"/>
    <w:rsid w:val="00051BF3"/>
    <w:rsid w:val="000562DA"/>
    <w:rsid w:val="00061D1F"/>
    <w:rsid w:val="000620A6"/>
    <w:rsid w:val="00084357"/>
    <w:rsid w:val="000918AA"/>
    <w:rsid w:val="00091930"/>
    <w:rsid w:val="00092098"/>
    <w:rsid w:val="00092D65"/>
    <w:rsid w:val="0009418A"/>
    <w:rsid w:val="000959E3"/>
    <w:rsid w:val="000A2F3B"/>
    <w:rsid w:val="000B1C80"/>
    <w:rsid w:val="000B56B6"/>
    <w:rsid w:val="000B5D97"/>
    <w:rsid w:val="000C10AB"/>
    <w:rsid w:val="000C1F32"/>
    <w:rsid w:val="000C4A7C"/>
    <w:rsid w:val="000C5DFF"/>
    <w:rsid w:val="000D2054"/>
    <w:rsid w:val="000D5E86"/>
    <w:rsid w:val="000E0E94"/>
    <w:rsid w:val="000E44DF"/>
    <w:rsid w:val="000E59F1"/>
    <w:rsid w:val="000F036A"/>
    <w:rsid w:val="001077C1"/>
    <w:rsid w:val="00117EBE"/>
    <w:rsid w:val="00120C41"/>
    <w:rsid w:val="00130A05"/>
    <w:rsid w:val="00130BB7"/>
    <w:rsid w:val="00144A0D"/>
    <w:rsid w:val="00151F62"/>
    <w:rsid w:val="00155402"/>
    <w:rsid w:val="00163C84"/>
    <w:rsid w:val="0017061F"/>
    <w:rsid w:val="00172225"/>
    <w:rsid w:val="00183586"/>
    <w:rsid w:val="00190CC7"/>
    <w:rsid w:val="001A12EF"/>
    <w:rsid w:val="001C0D3E"/>
    <w:rsid w:val="001C1D48"/>
    <w:rsid w:val="001D0DD9"/>
    <w:rsid w:val="001D2705"/>
    <w:rsid w:val="001D4F57"/>
    <w:rsid w:val="001E079A"/>
    <w:rsid w:val="001E0D1E"/>
    <w:rsid w:val="001E27B7"/>
    <w:rsid w:val="001E2DA3"/>
    <w:rsid w:val="001E4E6E"/>
    <w:rsid w:val="001E7FDA"/>
    <w:rsid w:val="001F41BA"/>
    <w:rsid w:val="00206D4A"/>
    <w:rsid w:val="00207EA9"/>
    <w:rsid w:val="002134B4"/>
    <w:rsid w:val="00221FC7"/>
    <w:rsid w:val="00234EF5"/>
    <w:rsid w:val="002370C4"/>
    <w:rsid w:val="00251DA1"/>
    <w:rsid w:val="002535D7"/>
    <w:rsid w:val="00256C96"/>
    <w:rsid w:val="0026112F"/>
    <w:rsid w:val="0026151B"/>
    <w:rsid w:val="0027239B"/>
    <w:rsid w:val="00282E88"/>
    <w:rsid w:val="002B3B82"/>
    <w:rsid w:val="002B611A"/>
    <w:rsid w:val="002C1923"/>
    <w:rsid w:val="002C462F"/>
    <w:rsid w:val="002C5B25"/>
    <w:rsid w:val="002D2CC5"/>
    <w:rsid w:val="002D6D04"/>
    <w:rsid w:val="002E06CD"/>
    <w:rsid w:val="002F1D2B"/>
    <w:rsid w:val="002F2E29"/>
    <w:rsid w:val="002F5346"/>
    <w:rsid w:val="002F5DE7"/>
    <w:rsid w:val="00316172"/>
    <w:rsid w:val="00316A29"/>
    <w:rsid w:val="00331A72"/>
    <w:rsid w:val="003519BE"/>
    <w:rsid w:val="00362FDA"/>
    <w:rsid w:val="003656B4"/>
    <w:rsid w:val="003666D5"/>
    <w:rsid w:val="003675EA"/>
    <w:rsid w:val="0037224A"/>
    <w:rsid w:val="00380A3A"/>
    <w:rsid w:val="00387CA1"/>
    <w:rsid w:val="00392068"/>
    <w:rsid w:val="003B2F4B"/>
    <w:rsid w:val="003C5088"/>
    <w:rsid w:val="003D290F"/>
    <w:rsid w:val="003D5066"/>
    <w:rsid w:val="004020CF"/>
    <w:rsid w:val="00402581"/>
    <w:rsid w:val="00404DBE"/>
    <w:rsid w:val="00406497"/>
    <w:rsid w:val="00417D9D"/>
    <w:rsid w:val="0042760E"/>
    <w:rsid w:val="00430EFF"/>
    <w:rsid w:val="00431FF9"/>
    <w:rsid w:val="00433281"/>
    <w:rsid w:val="004342F2"/>
    <w:rsid w:val="004562F0"/>
    <w:rsid w:val="004637A4"/>
    <w:rsid w:val="00464C12"/>
    <w:rsid w:val="00471C66"/>
    <w:rsid w:val="004817C1"/>
    <w:rsid w:val="004866B6"/>
    <w:rsid w:val="00486A6E"/>
    <w:rsid w:val="004871DE"/>
    <w:rsid w:val="004912C8"/>
    <w:rsid w:val="00492E2C"/>
    <w:rsid w:val="004B013F"/>
    <w:rsid w:val="004B2A0F"/>
    <w:rsid w:val="004B3333"/>
    <w:rsid w:val="004B518F"/>
    <w:rsid w:val="004B6DF4"/>
    <w:rsid w:val="004C2D70"/>
    <w:rsid w:val="004C7310"/>
    <w:rsid w:val="004D0A0C"/>
    <w:rsid w:val="004D4D41"/>
    <w:rsid w:val="004E13B3"/>
    <w:rsid w:val="004F6B1C"/>
    <w:rsid w:val="004F7923"/>
    <w:rsid w:val="00500714"/>
    <w:rsid w:val="00500C23"/>
    <w:rsid w:val="00523A64"/>
    <w:rsid w:val="005244E1"/>
    <w:rsid w:val="0052556D"/>
    <w:rsid w:val="0053169E"/>
    <w:rsid w:val="0053701E"/>
    <w:rsid w:val="00541F02"/>
    <w:rsid w:val="0054738D"/>
    <w:rsid w:val="00567868"/>
    <w:rsid w:val="005811C3"/>
    <w:rsid w:val="005914D0"/>
    <w:rsid w:val="00593412"/>
    <w:rsid w:val="00593FF3"/>
    <w:rsid w:val="005A3480"/>
    <w:rsid w:val="005A7EA9"/>
    <w:rsid w:val="005D5524"/>
    <w:rsid w:val="005F21D7"/>
    <w:rsid w:val="005F4F82"/>
    <w:rsid w:val="005F52CC"/>
    <w:rsid w:val="005F7D0D"/>
    <w:rsid w:val="0060150D"/>
    <w:rsid w:val="00602A70"/>
    <w:rsid w:val="00607321"/>
    <w:rsid w:val="0061391A"/>
    <w:rsid w:val="00623EDB"/>
    <w:rsid w:val="006320E4"/>
    <w:rsid w:val="0063612F"/>
    <w:rsid w:val="00640558"/>
    <w:rsid w:val="0064573C"/>
    <w:rsid w:val="0064650A"/>
    <w:rsid w:val="00653372"/>
    <w:rsid w:val="006565AB"/>
    <w:rsid w:val="00660CD9"/>
    <w:rsid w:val="006626B4"/>
    <w:rsid w:val="0067025D"/>
    <w:rsid w:val="0067186D"/>
    <w:rsid w:val="00671D49"/>
    <w:rsid w:val="006751FE"/>
    <w:rsid w:val="00681E2C"/>
    <w:rsid w:val="006826C8"/>
    <w:rsid w:val="00693FC5"/>
    <w:rsid w:val="00695697"/>
    <w:rsid w:val="006A2545"/>
    <w:rsid w:val="006A7C2B"/>
    <w:rsid w:val="006B53AC"/>
    <w:rsid w:val="006C462F"/>
    <w:rsid w:val="006E0677"/>
    <w:rsid w:val="00703FF6"/>
    <w:rsid w:val="007067C2"/>
    <w:rsid w:val="00707A04"/>
    <w:rsid w:val="007108FC"/>
    <w:rsid w:val="00712B8A"/>
    <w:rsid w:val="0071492B"/>
    <w:rsid w:val="00721F94"/>
    <w:rsid w:val="007224A8"/>
    <w:rsid w:val="00722A97"/>
    <w:rsid w:val="007309DF"/>
    <w:rsid w:val="00732F8F"/>
    <w:rsid w:val="007338A6"/>
    <w:rsid w:val="007410ED"/>
    <w:rsid w:val="00742B4D"/>
    <w:rsid w:val="00742E4B"/>
    <w:rsid w:val="00750D2E"/>
    <w:rsid w:val="00755E73"/>
    <w:rsid w:val="00761C08"/>
    <w:rsid w:val="00762BED"/>
    <w:rsid w:val="007664A0"/>
    <w:rsid w:val="007674D5"/>
    <w:rsid w:val="00771FA3"/>
    <w:rsid w:val="0077493A"/>
    <w:rsid w:val="007777C8"/>
    <w:rsid w:val="00777852"/>
    <w:rsid w:val="00780273"/>
    <w:rsid w:val="00783A8C"/>
    <w:rsid w:val="00786BA3"/>
    <w:rsid w:val="00787D9C"/>
    <w:rsid w:val="00794366"/>
    <w:rsid w:val="007A07E7"/>
    <w:rsid w:val="007B48F6"/>
    <w:rsid w:val="007B7DCA"/>
    <w:rsid w:val="007C262B"/>
    <w:rsid w:val="007D1E78"/>
    <w:rsid w:val="007D442A"/>
    <w:rsid w:val="007E5652"/>
    <w:rsid w:val="007E7A68"/>
    <w:rsid w:val="007F0510"/>
    <w:rsid w:val="007F30A8"/>
    <w:rsid w:val="008128B0"/>
    <w:rsid w:val="008251E7"/>
    <w:rsid w:val="00834B6F"/>
    <w:rsid w:val="008360BD"/>
    <w:rsid w:val="00837CBC"/>
    <w:rsid w:val="00841513"/>
    <w:rsid w:val="00846353"/>
    <w:rsid w:val="00856E35"/>
    <w:rsid w:val="00857842"/>
    <w:rsid w:val="00862904"/>
    <w:rsid w:val="00866211"/>
    <w:rsid w:val="0087245F"/>
    <w:rsid w:val="008820C9"/>
    <w:rsid w:val="00884DA7"/>
    <w:rsid w:val="0089012F"/>
    <w:rsid w:val="008A2F5B"/>
    <w:rsid w:val="008A5AD4"/>
    <w:rsid w:val="008A7621"/>
    <w:rsid w:val="008B230D"/>
    <w:rsid w:val="008D49EE"/>
    <w:rsid w:val="008E07F0"/>
    <w:rsid w:val="008E3889"/>
    <w:rsid w:val="008F1B88"/>
    <w:rsid w:val="008F5841"/>
    <w:rsid w:val="008F5DBB"/>
    <w:rsid w:val="008F7156"/>
    <w:rsid w:val="00901084"/>
    <w:rsid w:val="009166EB"/>
    <w:rsid w:val="00917F31"/>
    <w:rsid w:val="00930F31"/>
    <w:rsid w:val="0094761B"/>
    <w:rsid w:val="00950AD3"/>
    <w:rsid w:val="009529A3"/>
    <w:rsid w:val="00956776"/>
    <w:rsid w:val="0096312D"/>
    <w:rsid w:val="009637B7"/>
    <w:rsid w:val="00991794"/>
    <w:rsid w:val="009956D3"/>
    <w:rsid w:val="009A2D4D"/>
    <w:rsid w:val="009A52B9"/>
    <w:rsid w:val="009C5D31"/>
    <w:rsid w:val="009D4E9C"/>
    <w:rsid w:val="009D68FA"/>
    <w:rsid w:val="009D7D31"/>
    <w:rsid w:val="009F0E02"/>
    <w:rsid w:val="009F2858"/>
    <w:rsid w:val="00A11B50"/>
    <w:rsid w:val="00A20C56"/>
    <w:rsid w:val="00A20D56"/>
    <w:rsid w:val="00A22BDC"/>
    <w:rsid w:val="00A24C3F"/>
    <w:rsid w:val="00A35C37"/>
    <w:rsid w:val="00A506C9"/>
    <w:rsid w:val="00A52241"/>
    <w:rsid w:val="00A554DE"/>
    <w:rsid w:val="00A61367"/>
    <w:rsid w:val="00A96A9B"/>
    <w:rsid w:val="00AA7C0C"/>
    <w:rsid w:val="00AB670C"/>
    <w:rsid w:val="00AC6A40"/>
    <w:rsid w:val="00AC6B44"/>
    <w:rsid w:val="00AD445F"/>
    <w:rsid w:val="00AD7615"/>
    <w:rsid w:val="00AE160B"/>
    <w:rsid w:val="00AE3FFE"/>
    <w:rsid w:val="00B00CD3"/>
    <w:rsid w:val="00B07948"/>
    <w:rsid w:val="00B17867"/>
    <w:rsid w:val="00B201B3"/>
    <w:rsid w:val="00B20553"/>
    <w:rsid w:val="00B22282"/>
    <w:rsid w:val="00B24822"/>
    <w:rsid w:val="00B408F1"/>
    <w:rsid w:val="00B41C1D"/>
    <w:rsid w:val="00B454F7"/>
    <w:rsid w:val="00B51F7A"/>
    <w:rsid w:val="00B77966"/>
    <w:rsid w:val="00B77BE2"/>
    <w:rsid w:val="00B926CA"/>
    <w:rsid w:val="00B94CF3"/>
    <w:rsid w:val="00B977C1"/>
    <w:rsid w:val="00BA0C08"/>
    <w:rsid w:val="00BA3E0F"/>
    <w:rsid w:val="00BC1A37"/>
    <w:rsid w:val="00BC1D7B"/>
    <w:rsid w:val="00BD0071"/>
    <w:rsid w:val="00BD0FF3"/>
    <w:rsid w:val="00BD30E6"/>
    <w:rsid w:val="00BE1B0A"/>
    <w:rsid w:val="00BF0DC7"/>
    <w:rsid w:val="00BF2A53"/>
    <w:rsid w:val="00BF349C"/>
    <w:rsid w:val="00BF48A9"/>
    <w:rsid w:val="00C005E0"/>
    <w:rsid w:val="00C00E00"/>
    <w:rsid w:val="00C04BFE"/>
    <w:rsid w:val="00C05BEF"/>
    <w:rsid w:val="00C11E24"/>
    <w:rsid w:val="00C12C6F"/>
    <w:rsid w:val="00C1700D"/>
    <w:rsid w:val="00C242EC"/>
    <w:rsid w:val="00C45710"/>
    <w:rsid w:val="00C51268"/>
    <w:rsid w:val="00C53BCA"/>
    <w:rsid w:val="00C56B44"/>
    <w:rsid w:val="00C57C35"/>
    <w:rsid w:val="00C837F4"/>
    <w:rsid w:val="00C86FEC"/>
    <w:rsid w:val="00CA4BEF"/>
    <w:rsid w:val="00CD1BCE"/>
    <w:rsid w:val="00CD46F0"/>
    <w:rsid w:val="00CD61CA"/>
    <w:rsid w:val="00CD7465"/>
    <w:rsid w:val="00CE5252"/>
    <w:rsid w:val="00CF2F63"/>
    <w:rsid w:val="00CF30C7"/>
    <w:rsid w:val="00CF776D"/>
    <w:rsid w:val="00D02071"/>
    <w:rsid w:val="00D0443D"/>
    <w:rsid w:val="00D13DC4"/>
    <w:rsid w:val="00D2088F"/>
    <w:rsid w:val="00D22F4E"/>
    <w:rsid w:val="00D3091A"/>
    <w:rsid w:val="00D31AA0"/>
    <w:rsid w:val="00D407A8"/>
    <w:rsid w:val="00D50FD5"/>
    <w:rsid w:val="00D51704"/>
    <w:rsid w:val="00D538D1"/>
    <w:rsid w:val="00D5620F"/>
    <w:rsid w:val="00D62EB1"/>
    <w:rsid w:val="00D756A7"/>
    <w:rsid w:val="00D83DE7"/>
    <w:rsid w:val="00D8749A"/>
    <w:rsid w:val="00D875A4"/>
    <w:rsid w:val="00D9089D"/>
    <w:rsid w:val="00DA23E1"/>
    <w:rsid w:val="00DA586A"/>
    <w:rsid w:val="00DB40AF"/>
    <w:rsid w:val="00DE4050"/>
    <w:rsid w:val="00DE6EBE"/>
    <w:rsid w:val="00DF771B"/>
    <w:rsid w:val="00E024E6"/>
    <w:rsid w:val="00E1138E"/>
    <w:rsid w:val="00E211A1"/>
    <w:rsid w:val="00E21AA3"/>
    <w:rsid w:val="00E4133F"/>
    <w:rsid w:val="00E47F58"/>
    <w:rsid w:val="00E53DF0"/>
    <w:rsid w:val="00E56FE9"/>
    <w:rsid w:val="00E609E2"/>
    <w:rsid w:val="00E60FD9"/>
    <w:rsid w:val="00E6393C"/>
    <w:rsid w:val="00E7447C"/>
    <w:rsid w:val="00E813E4"/>
    <w:rsid w:val="00E837BE"/>
    <w:rsid w:val="00E8732D"/>
    <w:rsid w:val="00E924E7"/>
    <w:rsid w:val="00E93888"/>
    <w:rsid w:val="00E94ABF"/>
    <w:rsid w:val="00E96B2F"/>
    <w:rsid w:val="00EA59F9"/>
    <w:rsid w:val="00EB1989"/>
    <w:rsid w:val="00EC2EA9"/>
    <w:rsid w:val="00ED12D4"/>
    <w:rsid w:val="00ED24EC"/>
    <w:rsid w:val="00ED38A7"/>
    <w:rsid w:val="00EE2BF2"/>
    <w:rsid w:val="00EE7658"/>
    <w:rsid w:val="00EF0B5C"/>
    <w:rsid w:val="00EF4A12"/>
    <w:rsid w:val="00EF4EF2"/>
    <w:rsid w:val="00F026E7"/>
    <w:rsid w:val="00F12F8C"/>
    <w:rsid w:val="00F153A9"/>
    <w:rsid w:val="00F20F94"/>
    <w:rsid w:val="00F23C51"/>
    <w:rsid w:val="00F3057E"/>
    <w:rsid w:val="00F37BB8"/>
    <w:rsid w:val="00F40990"/>
    <w:rsid w:val="00F430F2"/>
    <w:rsid w:val="00F54279"/>
    <w:rsid w:val="00F553CE"/>
    <w:rsid w:val="00F5639B"/>
    <w:rsid w:val="00F56568"/>
    <w:rsid w:val="00F57704"/>
    <w:rsid w:val="00F664F5"/>
    <w:rsid w:val="00F73DC3"/>
    <w:rsid w:val="00F82A2C"/>
    <w:rsid w:val="00F964E5"/>
    <w:rsid w:val="00FA4DB3"/>
    <w:rsid w:val="00FB0C07"/>
    <w:rsid w:val="00FB593C"/>
    <w:rsid w:val="00FB5A1E"/>
    <w:rsid w:val="00FC3421"/>
    <w:rsid w:val="00FC610F"/>
    <w:rsid w:val="00FD0930"/>
    <w:rsid w:val="00FD18E9"/>
    <w:rsid w:val="00FD7A76"/>
    <w:rsid w:val="00FD7C09"/>
    <w:rsid w:val="00FE6820"/>
    <w:rsid w:val="00FF0186"/>
    <w:rsid w:val="0CFEC6A4"/>
    <w:rsid w:val="168C808D"/>
    <w:rsid w:val="18FE41C1"/>
    <w:rsid w:val="3A8B8DC6"/>
    <w:rsid w:val="4A00B711"/>
    <w:rsid w:val="57FEB36E"/>
    <w:rsid w:val="5E6549D2"/>
    <w:rsid w:val="60AD444C"/>
    <w:rsid w:val="6E0264C4"/>
    <w:rsid w:val="7B44E4F2"/>
    <w:rsid w:val="7CE0B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19F2D"/>
  <w15:chartTrackingRefBased/>
  <w15:docId w15:val="{9C19B8E5-5527-4F81-9E7A-8FD7F24E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1FA3"/>
    <w:pPr>
      <w:widowControl w:val="0"/>
      <w:suppressAutoHyphens/>
    </w:pPr>
    <w:rPr>
      <w:rFonts w:ascii="Times New Roman" w:eastAsia="DejaVu Sans" w:hAnsi="Times New Roman"/>
      <w:kern w:val="1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565A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D31AA0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2F5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3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338A6"/>
    <w:rPr>
      <w:rFonts w:ascii="Times New Roman" w:eastAsia="DejaVu Sans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338A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338A6"/>
    <w:rPr>
      <w:rFonts w:ascii="Times New Roman" w:eastAsia="DejaVu Sans" w:hAnsi="Times New Roman" w:cs="Times New Roman"/>
      <w:kern w:val="1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7338A6"/>
    <w:rPr>
      <w:color w:val="0000FF"/>
      <w:u w:val="single"/>
    </w:rPr>
  </w:style>
  <w:style w:type="character" w:customStyle="1" w:styleId="tsubjname">
    <w:name w:val="tsubjname"/>
    <w:basedOn w:val="Standardnpsmoodstavce"/>
    <w:rsid w:val="007338A6"/>
  </w:style>
  <w:style w:type="paragraph" w:styleId="Normlnweb">
    <w:name w:val="Normal (Web)"/>
    <w:basedOn w:val="Normln"/>
    <w:uiPriority w:val="99"/>
    <w:semiHidden/>
    <w:unhideWhenUsed/>
    <w:rsid w:val="007338A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Odkaznakoment">
    <w:name w:val="annotation reference"/>
    <w:semiHidden/>
    <w:unhideWhenUsed/>
    <w:rsid w:val="007338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338A6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7338A6"/>
    <w:rPr>
      <w:rFonts w:ascii="Times New Roman" w:eastAsia="DejaVu Sans" w:hAnsi="Times New Roman" w:cs="Times New Roman"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38A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338A6"/>
    <w:rPr>
      <w:rFonts w:ascii="Times New Roman" w:eastAsia="DejaVu Sans" w:hAnsi="Times New Roman" w:cs="Times New Roman"/>
      <w:b/>
      <w:bCs/>
      <w:kern w:val="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8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38A6"/>
    <w:rPr>
      <w:rFonts w:ascii="Tahoma" w:eastAsia="DejaVu Sans" w:hAnsi="Tahoma" w:cs="Tahoma"/>
      <w:kern w:val="1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338A6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9F28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F2858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uiPriority w:val="22"/>
    <w:qFormat/>
    <w:rsid w:val="00331A72"/>
    <w:rPr>
      <w:b/>
      <w:bCs/>
    </w:rPr>
  </w:style>
  <w:style w:type="character" w:customStyle="1" w:styleId="Nadpis2Char">
    <w:name w:val="Nadpis 2 Char"/>
    <w:link w:val="Nadpis2"/>
    <w:uiPriority w:val="9"/>
    <w:rsid w:val="00D31AA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31AA0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ZatekformuleChar">
    <w:name w:val="z-Začátek formuláře Char"/>
    <w:link w:val="z-Zatekformule"/>
    <w:uiPriority w:val="99"/>
    <w:semiHidden/>
    <w:rsid w:val="00D31AA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31AA0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KonecformuleChar">
    <w:name w:val="z-Konec formuláře Char"/>
    <w:link w:val="z-Konecformule"/>
    <w:uiPriority w:val="99"/>
    <w:semiHidden/>
    <w:rsid w:val="00D31AA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D4F57"/>
    <w:pPr>
      <w:widowControl/>
      <w:suppressAutoHyphens w:val="0"/>
    </w:pPr>
    <w:rPr>
      <w:rFonts w:ascii="Calibri" w:eastAsia="Calibri" w:hAnsi="Calibri" w:cs="Consolas"/>
      <w:kern w:val="0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1D4F57"/>
    <w:rPr>
      <w:rFonts w:ascii="Calibri" w:hAnsi="Calibri" w:cs="Consolas"/>
      <w:szCs w:val="21"/>
    </w:rPr>
  </w:style>
  <w:style w:type="paragraph" w:customStyle="1" w:styleId="western">
    <w:name w:val="western"/>
    <w:basedOn w:val="Normln"/>
    <w:rsid w:val="008F7156"/>
    <w:pPr>
      <w:widowControl/>
      <w:suppressAutoHyphens w:val="0"/>
      <w:spacing w:before="100" w:beforeAutospacing="1" w:after="119"/>
    </w:pPr>
    <w:rPr>
      <w:rFonts w:eastAsia="Times New Roman"/>
      <w:kern w:val="0"/>
      <w:sz w:val="22"/>
      <w:szCs w:val="22"/>
    </w:rPr>
  </w:style>
  <w:style w:type="character" w:customStyle="1" w:styleId="Nadpis1Char">
    <w:name w:val="Nadpis 1 Char"/>
    <w:link w:val="Nadpis1"/>
    <w:uiPriority w:val="9"/>
    <w:rsid w:val="006565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8A2F5B"/>
    <w:rPr>
      <w:rFonts w:ascii="Cambria" w:eastAsia="Times New Roman" w:hAnsi="Cambria" w:cs="Times New Roman"/>
      <w:b/>
      <w:bCs/>
      <w:kern w:val="1"/>
      <w:sz w:val="26"/>
      <w:szCs w:val="26"/>
    </w:rPr>
  </w:style>
  <w:style w:type="character" w:styleId="Sledovanodkaz">
    <w:name w:val="FollowedHyperlink"/>
    <w:uiPriority w:val="99"/>
    <w:semiHidden/>
    <w:unhideWhenUsed/>
    <w:rsid w:val="00D13DC4"/>
    <w:rPr>
      <w:color w:val="954F72"/>
      <w:u w:val="single"/>
    </w:rPr>
  </w:style>
  <w:style w:type="paragraph" w:customStyle="1" w:styleId="Normln1">
    <w:name w:val="Normální1"/>
    <w:rsid w:val="00A35C37"/>
    <w:pPr>
      <w:widowControl w:val="0"/>
      <w:suppressAutoHyphens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val="cs-CZ" w:eastAsia="cs-CZ"/>
    </w:rPr>
  </w:style>
  <w:style w:type="character" w:customStyle="1" w:styleId="None">
    <w:name w:val="None"/>
    <w:rsid w:val="00A35C37"/>
  </w:style>
  <w:style w:type="character" w:customStyle="1" w:styleId="docdata">
    <w:name w:val="docdata"/>
    <w:aliases w:val="docy,v5,5020,bqiaagaaeyqcaaagiaiaaamgcqaabbgqaaaaaaaaaaaaaaaaaaaaaaaaaaaaaaaaaaaaaaaaaaaaaaaaaaaaaaaaaaaaaaaaaaaaaaaaaaaaaaaaaaaaaaaaaaaaaaaaaaaaaaaaaaaaaaaaaaaaaaaaaaaaaaaaaaaaaaaaaaaaaaaaaaaaaaaaaaaaaaaaaaaaaaaaaaaaaaaaaaaaaaaaaaaaaaaaaaaaaaaa"/>
    <w:rsid w:val="00130A05"/>
  </w:style>
  <w:style w:type="paragraph" w:customStyle="1" w:styleId="Default">
    <w:name w:val="Default"/>
    <w:rsid w:val="00BA0C0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cs-CZ" w:eastAsia="cs-CZ"/>
    </w:rPr>
  </w:style>
  <w:style w:type="table" w:styleId="Mkatabulky">
    <w:name w:val="Table Grid"/>
    <w:basedOn w:val="Normlntabulka"/>
    <w:uiPriority w:val="59"/>
    <w:rsid w:val="00402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771FA3"/>
  </w:style>
  <w:style w:type="paragraph" w:styleId="Revize">
    <w:name w:val="Revision"/>
    <w:hidden/>
    <w:uiPriority w:val="99"/>
    <w:semiHidden/>
    <w:rsid w:val="008A5AD4"/>
    <w:rPr>
      <w:rFonts w:ascii="Times New Roman" w:eastAsia="DejaVu Sans" w:hAnsi="Times New Roman"/>
      <w:kern w:val="1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02B703E3432243878F4D1976682466" ma:contentTypeVersion="11" ma:contentTypeDescription="Vytvoří nový dokument" ma:contentTypeScope="" ma:versionID="9545ad7cc81a4bcbbe8bb697ca33a61a">
  <xsd:schema xmlns:xsd="http://www.w3.org/2001/XMLSchema" xmlns:xs="http://www.w3.org/2001/XMLSchema" xmlns:p="http://schemas.microsoft.com/office/2006/metadata/properties" xmlns:ns2="8e21313e-b948-4ff7-93a2-5ad4759a4f80" xmlns:ns3="4faf8b71-de24-42c7-b387-73ed9a508043" targetNamespace="http://schemas.microsoft.com/office/2006/metadata/properties" ma:root="true" ma:fieldsID="3af1f43452aba1d90ada20f0791b1034" ns2:_="" ns3:_="">
    <xsd:import namespace="8e21313e-b948-4ff7-93a2-5ad4759a4f80"/>
    <xsd:import namespace="4faf8b71-de24-42c7-b387-73ed9a508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313e-b948-4ff7-93a2-5ad4759a4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f8b71-de24-42c7-b387-73ed9a508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359D2-E1DA-490C-8E49-797F410419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D9C8D1-3626-42A1-BCAC-5E99C0286F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41359A-6C9C-4151-BDED-138669ED4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1313e-b948-4ff7-93a2-5ad4759a4f80"/>
    <ds:schemaRef ds:uri="4faf8b71-de24-42c7-b387-73ed9a508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FFA841-35FB-48CB-8911-A7361D2E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992</Words>
  <Characters>5855</Characters>
  <Application>Microsoft Office Word</Application>
  <DocSecurity>0</DocSecurity>
  <Lines>48</Lines>
  <Paragraphs>13</Paragraphs>
  <ScaleCrop>false</ScaleCrop>
  <Company>Univerzita Pardubice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Igliar</dc:creator>
  <cp:keywords/>
  <cp:lastModifiedBy>Tousson Jolana</cp:lastModifiedBy>
  <cp:revision>8</cp:revision>
  <cp:lastPrinted>2022-09-15T07:59:00Z</cp:lastPrinted>
  <dcterms:created xsi:type="dcterms:W3CDTF">2022-10-05T11:14:00Z</dcterms:created>
  <dcterms:modified xsi:type="dcterms:W3CDTF">2022-10-05T11:19:00Z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0x0101000102B703E3432243878F4D1976682466</vt:lpwstr>
  </property>
</Properties>
</file>