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E16676">
        <w:rPr>
          <w:rFonts w:ascii="Arial" w:hAnsi="Arial" w:cs="Arial"/>
          <w:b/>
          <w:sz w:val="22"/>
          <w:szCs w:val="22"/>
        </w:rPr>
        <w:t>1010/2022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6C6128" w:rsidRDefault="001B4A2C" w:rsidP="00E95E53">
      <w:pPr>
        <w:tabs>
          <w:tab w:val="left" w:pos="4080"/>
        </w:tabs>
        <w:jc w:val="center"/>
        <w:rPr>
          <w:rFonts w:ascii="Arial" w:hAnsi="Arial" w:cs="Arial"/>
          <w:b/>
        </w:rPr>
      </w:pPr>
      <w:r w:rsidRPr="001B4A2C">
        <w:rPr>
          <w:rFonts w:ascii="Arial" w:hAnsi="Arial" w:cs="Arial"/>
          <w:b/>
        </w:rPr>
        <w:t>Jez Doksany - oprava oplocení domku jezného</w:t>
      </w:r>
    </w:p>
    <w:p w:rsidR="00A24A0F" w:rsidRPr="00454D43" w:rsidRDefault="00A24A0F"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B13964" w:rsidRDefault="00B13964" w:rsidP="00B13964">
      <w:pPr>
        <w:tabs>
          <w:tab w:val="left" w:pos="3828"/>
        </w:tabs>
        <w:ind w:left="3828" w:hanging="3828"/>
        <w:jc w:val="both"/>
        <w:rPr>
          <w:rFonts w:ascii="Arial" w:hAnsi="Arial" w:cs="Arial"/>
          <w:sz w:val="22"/>
          <w:szCs w:val="22"/>
        </w:rPr>
      </w:pPr>
      <w:r>
        <w:rPr>
          <w:rFonts w:ascii="Arial" w:hAnsi="Arial" w:cs="Arial"/>
          <w:b/>
          <w:sz w:val="22"/>
          <w:szCs w:val="22"/>
        </w:rPr>
        <w:t>statutární orgán</w:t>
      </w:r>
      <w:r w:rsidRPr="00300655">
        <w:rPr>
          <w:rFonts w:ascii="Arial" w:hAnsi="Arial" w:cs="Arial"/>
          <w:b/>
          <w:sz w:val="22"/>
          <w:szCs w:val="22"/>
        </w:rPr>
        <w:t>:</w:t>
      </w:r>
      <w:r w:rsidRPr="00300655">
        <w:rPr>
          <w:rFonts w:ascii="Arial" w:hAnsi="Arial" w:cs="Arial"/>
          <w:b/>
          <w:sz w:val="22"/>
          <w:szCs w:val="22"/>
        </w:rPr>
        <w:tab/>
      </w:r>
    </w:p>
    <w:p w:rsidR="00B13964" w:rsidRPr="00454D43" w:rsidRDefault="00B13964" w:rsidP="00B13964">
      <w:pPr>
        <w:tabs>
          <w:tab w:val="left" w:pos="3828"/>
        </w:tabs>
        <w:ind w:left="3828" w:hanging="3828"/>
        <w:jc w:val="both"/>
        <w:rPr>
          <w:rFonts w:ascii="Arial" w:hAnsi="Arial" w:cs="Arial"/>
          <w:sz w:val="22"/>
          <w:szCs w:val="22"/>
        </w:rPr>
      </w:pPr>
      <w:r w:rsidRPr="00454D43">
        <w:rPr>
          <w:rFonts w:ascii="Arial" w:hAnsi="Arial" w:cs="Arial"/>
          <w:b/>
          <w:sz w:val="22"/>
          <w:szCs w:val="22"/>
        </w:rPr>
        <w:t>zástupce ve věcech smluvních:</w:t>
      </w:r>
      <w:r w:rsidRPr="00454D43">
        <w:rPr>
          <w:rFonts w:ascii="Arial" w:hAnsi="Arial" w:cs="Arial"/>
          <w:b/>
          <w:sz w:val="22"/>
          <w:szCs w:val="22"/>
        </w:rPr>
        <w:tab/>
      </w:r>
    </w:p>
    <w:p w:rsidR="00B13964" w:rsidRPr="00454D43" w:rsidRDefault="00B13964" w:rsidP="00B13964">
      <w:pPr>
        <w:tabs>
          <w:tab w:val="left" w:pos="3828"/>
        </w:tabs>
        <w:ind w:left="3828" w:hanging="3828"/>
        <w:jc w:val="both"/>
        <w:rPr>
          <w:rFonts w:ascii="Arial" w:hAnsi="Arial" w:cs="Arial"/>
          <w:sz w:val="22"/>
          <w:szCs w:val="22"/>
        </w:rPr>
      </w:pPr>
      <w:r w:rsidRPr="00454D43">
        <w:rPr>
          <w:rFonts w:ascii="Arial" w:hAnsi="Arial" w:cs="Arial"/>
          <w:b/>
          <w:sz w:val="22"/>
          <w:szCs w:val="22"/>
        </w:rPr>
        <w:t>zástupce ve věcech technických:</w:t>
      </w:r>
      <w:r w:rsidRPr="00454D43">
        <w:rPr>
          <w:rFonts w:ascii="Arial" w:hAnsi="Arial" w:cs="Arial"/>
          <w:b/>
          <w:sz w:val="22"/>
          <w:szCs w:val="22"/>
        </w:rPr>
        <w:tab/>
      </w:r>
    </w:p>
    <w:p w:rsidR="00B13964" w:rsidRDefault="00B13964" w:rsidP="00B13964">
      <w:pPr>
        <w:tabs>
          <w:tab w:val="left" w:pos="3828"/>
        </w:tabs>
        <w:jc w:val="both"/>
        <w:rPr>
          <w:rFonts w:ascii="Arial" w:hAnsi="Arial" w:cs="Arial"/>
          <w:sz w:val="22"/>
          <w:szCs w:val="22"/>
        </w:rPr>
      </w:pPr>
      <w:r w:rsidRPr="00432702">
        <w:rPr>
          <w:rFonts w:ascii="Arial" w:hAnsi="Arial" w:cs="Arial"/>
          <w:b/>
          <w:sz w:val="22"/>
          <w:szCs w:val="22"/>
        </w:rPr>
        <w:t>technický dozor investora:</w:t>
      </w:r>
      <w:r w:rsidRPr="00432702">
        <w:rPr>
          <w:rFonts w:ascii="Arial" w:hAnsi="Arial" w:cs="Arial"/>
          <w:b/>
          <w:sz w:val="22"/>
          <w:szCs w:val="22"/>
        </w:rPr>
        <w:tab/>
      </w:r>
    </w:p>
    <w:p w:rsidR="00B13964" w:rsidRPr="00432702" w:rsidRDefault="00B13964" w:rsidP="00B13964">
      <w:pPr>
        <w:tabs>
          <w:tab w:val="left" w:pos="3828"/>
        </w:tabs>
        <w:jc w:val="both"/>
        <w:rPr>
          <w:rFonts w:ascii="Arial" w:hAnsi="Arial" w:cs="Arial"/>
          <w:sz w:val="22"/>
          <w:szCs w:val="22"/>
        </w:rPr>
      </w:pPr>
      <w:r w:rsidRPr="00432702">
        <w:rPr>
          <w:rFonts w:ascii="Arial" w:hAnsi="Arial" w:cs="Arial"/>
          <w:sz w:val="22"/>
          <w:szCs w:val="22"/>
        </w:rPr>
        <w:tab/>
      </w:r>
    </w:p>
    <w:p w:rsidR="00B13964" w:rsidRPr="00454D43" w:rsidRDefault="00B13964" w:rsidP="00B13964">
      <w:pPr>
        <w:tabs>
          <w:tab w:val="left" w:pos="3828"/>
        </w:tabs>
        <w:jc w:val="both"/>
        <w:rPr>
          <w:rFonts w:ascii="Arial" w:hAnsi="Arial" w:cs="Arial"/>
          <w:b/>
          <w:sz w:val="22"/>
          <w:szCs w:val="22"/>
        </w:rPr>
      </w:pPr>
      <w:r w:rsidRPr="00454D43">
        <w:rPr>
          <w:rFonts w:ascii="Arial" w:hAnsi="Arial" w:cs="Arial"/>
          <w:b/>
          <w:sz w:val="22"/>
          <w:szCs w:val="22"/>
        </w:rPr>
        <w:t>bankovní spojení:</w:t>
      </w:r>
      <w:r w:rsidRPr="00454D43">
        <w:rPr>
          <w:rFonts w:ascii="Arial" w:hAnsi="Arial" w:cs="Arial"/>
          <w:b/>
          <w:sz w:val="22"/>
          <w:szCs w:val="22"/>
        </w:rPr>
        <w:tab/>
      </w:r>
      <w:r w:rsidRPr="00454D43">
        <w:rPr>
          <w:rFonts w:ascii="Arial" w:hAnsi="Arial" w:cs="Arial"/>
          <w:sz w:val="22"/>
          <w:szCs w:val="22"/>
        </w:rPr>
        <w:t>Komerční banka, a.s., pobočka Chomutov</w:t>
      </w:r>
      <w:r w:rsidRPr="00454D43">
        <w:rPr>
          <w:rFonts w:ascii="Arial" w:hAnsi="Arial" w:cs="Arial"/>
          <w:b/>
          <w:sz w:val="22"/>
          <w:szCs w:val="22"/>
        </w:rPr>
        <w:t xml:space="preserve">  </w:t>
      </w:r>
    </w:p>
    <w:p w:rsidR="00B13964" w:rsidRPr="00454D43" w:rsidRDefault="00B13964" w:rsidP="00B13964">
      <w:pPr>
        <w:tabs>
          <w:tab w:val="left" w:pos="3828"/>
        </w:tabs>
        <w:jc w:val="both"/>
        <w:rPr>
          <w:rFonts w:ascii="Arial" w:hAnsi="Arial" w:cs="Arial"/>
          <w:b/>
          <w:sz w:val="22"/>
          <w:szCs w:val="22"/>
        </w:rPr>
      </w:pPr>
      <w:r w:rsidRPr="00454D43">
        <w:rPr>
          <w:rFonts w:ascii="Arial" w:hAnsi="Arial" w:cs="Arial"/>
          <w:b/>
          <w:sz w:val="22"/>
          <w:szCs w:val="22"/>
        </w:rPr>
        <w:t>číslo účtu:</w:t>
      </w:r>
      <w:r w:rsidRPr="00454D43">
        <w:rPr>
          <w:rFonts w:ascii="Arial" w:hAnsi="Arial" w:cs="Arial"/>
          <w:b/>
          <w:sz w:val="22"/>
          <w:szCs w:val="22"/>
        </w:rPr>
        <w:tab/>
        <w:t xml:space="preserve"> </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E16676" w:rsidRPr="00386410" w:rsidRDefault="00E16676" w:rsidP="00E16676">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E16676" w:rsidRPr="00663AFE" w:rsidRDefault="00E16676" w:rsidP="00E16676">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E16676" w:rsidRPr="00663AFE" w:rsidRDefault="00E16676" w:rsidP="00E16676">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E16676" w:rsidRPr="00663AFE" w:rsidRDefault="00E16676" w:rsidP="00E16676">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E16676" w:rsidRPr="00663AFE" w:rsidRDefault="00E16676" w:rsidP="00E16676">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p>
    <w:p w:rsidR="00E16676" w:rsidRDefault="00E16676" w:rsidP="00E16676">
      <w:pPr>
        <w:tabs>
          <w:tab w:val="left" w:pos="3960"/>
        </w:tabs>
        <w:jc w:val="both"/>
        <w:rPr>
          <w:rFonts w:ascii="Arial" w:hAnsi="Arial" w:cs="Arial"/>
          <w:sz w:val="22"/>
          <w:szCs w:val="22"/>
        </w:rPr>
      </w:pPr>
      <w:r>
        <w:rPr>
          <w:rFonts w:ascii="Arial" w:hAnsi="Arial" w:cs="Arial"/>
          <w:b/>
          <w:sz w:val="22"/>
          <w:szCs w:val="22"/>
        </w:rPr>
        <w:t>osoba odpovědná za provedení díla:</w:t>
      </w:r>
      <w:r>
        <w:rPr>
          <w:rFonts w:ascii="Arial" w:hAnsi="Arial" w:cs="Arial"/>
          <w:sz w:val="22"/>
          <w:szCs w:val="22"/>
        </w:rPr>
        <w:t xml:space="preserve"> </w:t>
      </w:r>
    </w:p>
    <w:p w:rsidR="00E16676" w:rsidRDefault="00E16676" w:rsidP="00E16676">
      <w:pPr>
        <w:widowControl w:val="0"/>
        <w:tabs>
          <w:tab w:val="left" w:pos="3828"/>
        </w:tabs>
        <w:spacing w:line="240" w:lineRule="atLeast"/>
        <w:ind w:left="3825" w:hanging="3825"/>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E16676" w:rsidRDefault="00E16676" w:rsidP="00E16676">
      <w:pPr>
        <w:widowControl w:val="0"/>
        <w:tabs>
          <w:tab w:val="left" w:pos="3828"/>
        </w:tabs>
        <w:spacing w:line="240" w:lineRule="atLeast"/>
        <w:rPr>
          <w:rFonts w:ascii="Arial" w:hAnsi="Arial" w:cs="Arial"/>
          <w:snapToGrid w:val="0"/>
          <w:sz w:val="22"/>
          <w:szCs w:val="22"/>
        </w:rPr>
      </w:pPr>
      <w:r w:rsidRPr="00663AFE">
        <w:rPr>
          <w:rFonts w:ascii="Arial" w:hAnsi="Arial" w:cs="Arial"/>
          <w:b/>
          <w:sz w:val="22"/>
          <w:szCs w:val="22"/>
        </w:rPr>
        <w:t>bankovní spojení</w:t>
      </w:r>
      <w:r w:rsidRPr="004541E3">
        <w:rPr>
          <w:rFonts w:ascii="Arial" w:hAnsi="Arial" w:cs="Arial"/>
          <w:b/>
          <w:sz w:val="22"/>
          <w:szCs w:val="22"/>
        </w:rPr>
        <w:t>:</w:t>
      </w:r>
      <w:r>
        <w:rPr>
          <w:rFonts w:ascii="Arial" w:hAnsi="Arial" w:cs="Arial"/>
          <w:sz w:val="22"/>
          <w:szCs w:val="22"/>
        </w:rPr>
        <w:tab/>
      </w:r>
      <w:r w:rsidRPr="00BA226A">
        <w:rPr>
          <w:rFonts w:ascii="Arial" w:hAnsi="Arial" w:cs="Arial"/>
          <w:snapToGrid w:val="0"/>
          <w:sz w:val="22"/>
          <w:szCs w:val="22"/>
        </w:rPr>
        <w:t>MONETA Money Bank, a.s.</w:t>
      </w:r>
    </w:p>
    <w:p w:rsidR="00E16676" w:rsidRDefault="00E16676" w:rsidP="00E16676">
      <w:pPr>
        <w:widowControl w:val="0"/>
        <w:tabs>
          <w:tab w:val="left" w:pos="3828"/>
        </w:tabs>
        <w:spacing w:line="240" w:lineRule="atLeast"/>
        <w:rPr>
          <w:rFonts w:ascii="Arial" w:hAnsi="Arial" w:cs="Arial"/>
          <w:sz w:val="22"/>
          <w:szCs w:val="22"/>
        </w:rPr>
      </w:pPr>
      <w:r w:rsidRPr="00DA5BB7">
        <w:rPr>
          <w:rFonts w:ascii="Arial" w:hAnsi="Arial" w:cs="Arial"/>
          <w:b/>
          <w:sz w:val="22"/>
          <w:szCs w:val="22"/>
        </w:rPr>
        <w:t>číslo účtu:</w:t>
      </w:r>
      <w:r w:rsidRPr="00DA5BB7">
        <w:rPr>
          <w:rFonts w:ascii="Arial" w:hAnsi="Arial" w:cs="Arial"/>
          <w:b/>
          <w:sz w:val="22"/>
          <w:szCs w:val="22"/>
        </w:rPr>
        <w:tab/>
      </w:r>
    </w:p>
    <w:p w:rsidR="00E16676" w:rsidRPr="00386410" w:rsidRDefault="00E16676" w:rsidP="00E16676">
      <w:pPr>
        <w:tabs>
          <w:tab w:val="left" w:pos="3960"/>
        </w:tabs>
        <w:jc w:val="both"/>
        <w:rPr>
          <w:rFonts w:ascii="Arial" w:hAnsi="Arial" w:cs="Arial"/>
          <w:sz w:val="22"/>
          <w:szCs w:val="22"/>
        </w:rPr>
      </w:pPr>
    </w:p>
    <w:p w:rsidR="00E16676" w:rsidRPr="00386410" w:rsidRDefault="00E16676" w:rsidP="00E16676">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E16676" w:rsidRPr="00386410" w:rsidRDefault="00E16676" w:rsidP="00E16676">
      <w:pPr>
        <w:tabs>
          <w:tab w:val="left" w:pos="3960"/>
        </w:tabs>
        <w:jc w:val="both"/>
        <w:rPr>
          <w:rFonts w:ascii="Arial" w:hAnsi="Arial" w:cs="Arial"/>
          <w:sz w:val="22"/>
          <w:szCs w:val="22"/>
        </w:rPr>
      </w:pPr>
      <w:r w:rsidRPr="00386410">
        <w:rPr>
          <w:rFonts w:ascii="Arial" w:hAnsi="Arial" w:cs="Arial"/>
          <w:b/>
          <w:sz w:val="22"/>
          <w:szCs w:val="22"/>
        </w:rPr>
        <w:tab/>
      </w:r>
    </w:p>
    <w:p w:rsidR="00E16676" w:rsidRDefault="00E16676" w:rsidP="00E16676">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6C6128" w:rsidRDefault="00445EF2" w:rsidP="00864AB4">
      <w:pPr>
        <w:jc w:val="both"/>
        <w:rPr>
          <w:rFonts w:ascii="Arial" w:hAnsi="Arial" w:cs="Arial"/>
          <w:b/>
        </w:rPr>
      </w:pPr>
      <w:r w:rsidRPr="001B4A2C">
        <w:rPr>
          <w:rFonts w:ascii="Arial" w:hAnsi="Arial" w:cs="Arial"/>
          <w:b/>
        </w:rPr>
        <w:t>Jez Doksany - oprava oplocení domku jezného</w:t>
      </w:r>
    </w:p>
    <w:p w:rsidR="00331998" w:rsidRPr="00454D43" w:rsidRDefault="0033199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E16676" w:rsidRPr="004E65F3" w:rsidRDefault="00E16676" w:rsidP="00E16676">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42250/2022</w:t>
      </w:r>
      <w:r w:rsidRPr="00432702">
        <w:rPr>
          <w:rFonts w:cs="Arial"/>
          <w:sz w:val="22"/>
          <w:szCs w:val="22"/>
        </w:rPr>
        <w:br/>
        <w:t xml:space="preserve">dne </w:t>
      </w:r>
      <w:r>
        <w:rPr>
          <w:rFonts w:cs="Arial"/>
          <w:sz w:val="22"/>
          <w:szCs w:val="22"/>
        </w:rPr>
        <w:t>16.8.2022</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30.8.2022.</w:t>
      </w:r>
    </w:p>
    <w:p w:rsidR="0023194C" w:rsidRDefault="00E16676" w:rsidP="00E16676">
      <w:pPr>
        <w:pStyle w:val="Zkladntext"/>
        <w:widowControl/>
        <w:ind w:left="426"/>
        <w:jc w:val="both"/>
        <w:rPr>
          <w:rFonts w:cs="Arial"/>
          <w:sz w:val="22"/>
          <w:szCs w:val="22"/>
        </w:rPr>
      </w:pPr>
      <w:r w:rsidRPr="00D86DEA">
        <w:rPr>
          <w:rFonts w:cs="Arial"/>
          <w:sz w:val="22"/>
          <w:szCs w:val="22"/>
        </w:rPr>
        <w:t xml:space="preserve">Předmětem </w:t>
      </w:r>
      <w:r>
        <w:rPr>
          <w:rFonts w:cs="Arial"/>
          <w:sz w:val="22"/>
          <w:szCs w:val="22"/>
        </w:rPr>
        <w:t>díla</w:t>
      </w:r>
      <w:r w:rsidRPr="00D86DEA">
        <w:rPr>
          <w:rFonts w:cs="Arial"/>
          <w:sz w:val="22"/>
          <w:szCs w:val="22"/>
        </w:rPr>
        <w:t xml:space="preserve"> </w:t>
      </w:r>
      <w:r>
        <w:rPr>
          <w:rFonts w:cs="Arial"/>
          <w:sz w:val="22"/>
          <w:szCs w:val="22"/>
        </w:rPr>
        <w:t>jsou tyto práce:</w:t>
      </w:r>
    </w:p>
    <w:p w:rsidR="00E16676" w:rsidRPr="00ED09CC" w:rsidRDefault="00E16676" w:rsidP="00E16676">
      <w:pPr>
        <w:pStyle w:val="Zkladntext"/>
        <w:widowControl/>
        <w:ind w:left="426"/>
        <w:jc w:val="both"/>
        <w:rPr>
          <w:rFonts w:cs="Arial"/>
          <w:sz w:val="22"/>
          <w:szCs w:val="22"/>
          <w:u w:val="single"/>
        </w:rPr>
      </w:pPr>
      <w:r w:rsidRPr="00ED09CC">
        <w:rPr>
          <w:rFonts w:cs="Arial"/>
          <w:sz w:val="22"/>
          <w:szCs w:val="22"/>
          <w:u w:val="single"/>
        </w:rPr>
        <w:t xml:space="preserve">Přípravné práce: </w:t>
      </w:r>
    </w:p>
    <w:p w:rsidR="00E16676" w:rsidRPr="00E16676" w:rsidRDefault="00E16676" w:rsidP="00E16676">
      <w:pPr>
        <w:pStyle w:val="Odstavecseseznamem"/>
        <w:numPr>
          <w:ilvl w:val="0"/>
          <w:numId w:val="15"/>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Demontáž stávajícího pletiva v délce 87 m, 1 ks ocelové branky a 1 ks dvoukřídlé ocelové brány</w:t>
      </w:r>
    </w:p>
    <w:p w:rsidR="00E16676" w:rsidRPr="00E16676" w:rsidRDefault="00E16676" w:rsidP="00E16676">
      <w:pPr>
        <w:pStyle w:val="Odstavecseseznamem"/>
        <w:numPr>
          <w:ilvl w:val="0"/>
          <w:numId w:val="15"/>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 xml:space="preserve">Odstranění stávajících ocelových sloupků (28 ks) a vzpěr včetně betonových patek </w:t>
      </w:r>
    </w:p>
    <w:p w:rsidR="00E16676" w:rsidRPr="00E16676" w:rsidRDefault="00E16676" w:rsidP="00E16676">
      <w:pPr>
        <w:pStyle w:val="Odstavecseseznamem"/>
        <w:numPr>
          <w:ilvl w:val="0"/>
          <w:numId w:val="15"/>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 xml:space="preserve">Bourání zdiva z plných cihel na MC (starý elektrický rozvaděč u branky) o objemu 0,54 m3. </w:t>
      </w:r>
    </w:p>
    <w:p w:rsidR="00E16676" w:rsidRPr="00ED09CC" w:rsidRDefault="00E16676" w:rsidP="00E16676">
      <w:pPr>
        <w:pStyle w:val="Zkladntext"/>
        <w:widowControl/>
        <w:ind w:left="426"/>
        <w:jc w:val="both"/>
        <w:rPr>
          <w:rFonts w:cs="Arial"/>
          <w:sz w:val="22"/>
          <w:szCs w:val="22"/>
          <w:u w:val="single"/>
        </w:rPr>
      </w:pPr>
      <w:r w:rsidRPr="00ED09CC">
        <w:rPr>
          <w:rFonts w:cs="Arial"/>
          <w:sz w:val="22"/>
          <w:szCs w:val="22"/>
          <w:u w:val="single"/>
        </w:rPr>
        <w:t xml:space="preserve">Instalace nového oplocení: </w:t>
      </w:r>
    </w:p>
    <w:p w:rsidR="00E16676" w:rsidRPr="00E16676" w:rsidRDefault="00E16676" w:rsidP="00E16676">
      <w:pPr>
        <w:pStyle w:val="Odstavecseseznamem"/>
        <w:numPr>
          <w:ilvl w:val="0"/>
          <w:numId w:val="15"/>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Vykopání nebo vyvrtání jam do zeminy pro základové patky 30 ks sloupků a 12 ks vzpěr o průměru 25 cm a hloubce 80 cm</w:t>
      </w:r>
    </w:p>
    <w:p w:rsidR="00E16676" w:rsidRPr="00E16676" w:rsidRDefault="00E16676" w:rsidP="00E16676">
      <w:pPr>
        <w:pStyle w:val="Odstavecseseznamem"/>
        <w:numPr>
          <w:ilvl w:val="0"/>
          <w:numId w:val="16"/>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Betonování 44 ks patek (beton C16/20) kruhového půdorysu o průměru 25 cm a hloubce 80 cm pro nové sloupky a vzpěry</w:t>
      </w:r>
    </w:p>
    <w:p w:rsidR="00E16676" w:rsidRPr="00E16676" w:rsidRDefault="00E16676" w:rsidP="00E16676">
      <w:pPr>
        <w:pStyle w:val="Odstavecseseznamem"/>
        <w:numPr>
          <w:ilvl w:val="0"/>
          <w:numId w:val="16"/>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 xml:space="preserve">Instalace (zabetonování) 10 ks ocelových sloupků o </w:t>
      </w:r>
      <w:proofErr w:type="spellStart"/>
      <w:r w:rsidRPr="00E16676">
        <w:rPr>
          <w:rFonts w:ascii="Arial" w:hAnsi="Arial" w:cs="Arial"/>
          <w:color w:val="auto"/>
          <w:sz w:val="22"/>
          <w:szCs w:val="22"/>
        </w:rPr>
        <w:t>prům</w:t>
      </w:r>
      <w:proofErr w:type="spellEnd"/>
      <w:r w:rsidRPr="00E16676">
        <w:rPr>
          <w:rFonts w:ascii="Arial" w:hAnsi="Arial" w:cs="Arial"/>
          <w:color w:val="auto"/>
          <w:sz w:val="22"/>
          <w:szCs w:val="22"/>
        </w:rPr>
        <w:t>. 60 mm a min. délce 2600 mm,</w:t>
      </w:r>
      <w:r w:rsidR="00ED09CC">
        <w:rPr>
          <w:rFonts w:ascii="Arial" w:hAnsi="Arial" w:cs="Arial"/>
          <w:color w:val="auto"/>
          <w:sz w:val="22"/>
          <w:szCs w:val="22"/>
        </w:rPr>
        <w:t xml:space="preserve"> </w:t>
      </w:r>
      <w:proofErr w:type="spellStart"/>
      <w:r w:rsidRPr="00E16676">
        <w:rPr>
          <w:rFonts w:ascii="Arial" w:hAnsi="Arial" w:cs="Arial"/>
          <w:color w:val="auto"/>
          <w:sz w:val="22"/>
          <w:szCs w:val="22"/>
        </w:rPr>
        <w:t>tl</w:t>
      </w:r>
      <w:proofErr w:type="spellEnd"/>
      <w:r w:rsidRPr="00E16676">
        <w:rPr>
          <w:rFonts w:ascii="Arial" w:hAnsi="Arial" w:cs="Arial"/>
          <w:color w:val="auto"/>
          <w:sz w:val="22"/>
          <w:szCs w:val="22"/>
        </w:rPr>
        <w:t xml:space="preserve">. 2 mm, povrchová úprava </w:t>
      </w:r>
      <w:proofErr w:type="spellStart"/>
      <w:r w:rsidRPr="00E16676">
        <w:rPr>
          <w:rFonts w:ascii="Arial" w:hAnsi="Arial" w:cs="Arial"/>
          <w:color w:val="auto"/>
          <w:sz w:val="22"/>
          <w:szCs w:val="22"/>
        </w:rPr>
        <w:t>pozink</w:t>
      </w:r>
      <w:proofErr w:type="spellEnd"/>
      <w:r w:rsidRPr="00E16676">
        <w:rPr>
          <w:rFonts w:ascii="Arial" w:hAnsi="Arial" w:cs="Arial"/>
          <w:color w:val="auto"/>
          <w:sz w:val="22"/>
          <w:szCs w:val="22"/>
        </w:rPr>
        <w:t xml:space="preserve"> + PVC - barva RAL 6005 (4 ks rohy oplocení a 6 ks opěry nových branek a brány; nadzemní část výšky 180 cm)</w:t>
      </w:r>
    </w:p>
    <w:p w:rsidR="00E16676" w:rsidRPr="00E16676" w:rsidRDefault="00E16676" w:rsidP="00E16676">
      <w:pPr>
        <w:pStyle w:val="Odstavecseseznamem"/>
        <w:numPr>
          <w:ilvl w:val="0"/>
          <w:numId w:val="16"/>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 xml:space="preserve">Instalace (zabetonování) 20 ks ocelových sloupků o </w:t>
      </w:r>
      <w:proofErr w:type="spellStart"/>
      <w:r w:rsidRPr="00E16676">
        <w:rPr>
          <w:rFonts w:ascii="Arial" w:hAnsi="Arial" w:cs="Arial"/>
          <w:color w:val="auto"/>
          <w:sz w:val="22"/>
          <w:szCs w:val="22"/>
        </w:rPr>
        <w:t>prům</w:t>
      </w:r>
      <w:proofErr w:type="spellEnd"/>
      <w:r w:rsidRPr="00E16676">
        <w:rPr>
          <w:rFonts w:ascii="Arial" w:hAnsi="Arial" w:cs="Arial"/>
          <w:color w:val="auto"/>
          <w:sz w:val="22"/>
          <w:szCs w:val="22"/>
        </w:rPr>
        <w:t xml:space="preserve">. 48 mm a délce 2600 mm, </w:t>
      </w:r>
      <w:proofErr w:type="spellStart"/>
      <w:r w:rsidRPr="00E16676">
        <w:rPr>
          <w:rFonts w:ascii="Arial" w:hAnsi="Arial" w:cs="Arial"/>
          <w:color w:val="auto"/>
          <w:sz w:val="22"/>
          <w:szCs w:val="22"/>
        </w:rPr>
        <w:t>tl</w:t>
      </w:r>
      <w:proofErr w:type="spellEnd"/>
      <w:r w:rsidRPr="00E16676">
        <w:rPr>
          <w:rFonts w:ascii="Arial" w:hAnsi="Arial" w:cs="Arial"/>
          <w:color w:val="auto"/>
          <w:sz w:val="22"/>
          <w:szCs w:val="22"/>
        </w:rPr>
        <w:t xml:space="preserve">. 2 mm, povrchová úprava </w:t>
      </w:r>
      <w:proofErr w:type="spellStart"/>
      <w:r w:rsidRPr="00E16676">
        <w:rPr>
          <w:rFonts w:ascii="Arial" w:hAnsi="Arial" w:cs="Arial"/>
          <w:color w:val="auto"/>
          <w:sz w:val="22"/>
          <w:szCs w:val="22"/>
        </w:rPr>
        <w:t>pozink</w:t>
      </w:r>
      <w:proofErr w:type="spellEnd"/>
      <w:r w:rsidRPr="00E16676">
        <w:rPr>
          <w:rFonts w:ascii="Arial" w:hAnsi="Arial" w:cs="Arial"/>
          <w:color w:val="auto"/>
          <w:sz w:val="22"/>
          <w:szCs w:val="22"/>
        </w:rPr>
        <w:t xml:space="preserve"> + PVC - barva RAL 6005 (nadzemní část výšky 180 cm)</w:t>
      </w:r>
    </w:p>
    <w:p w:rsidR="00E16676" w:rsidRPr="00E16676" w:rsidRDefault="00E16676" w:rsidP="00E16676">
      <w:pPr>
        <w:pStyle w:val="Odstavecseseznamem"/>
        <w:numPr>
          <w:ilvl w:val="0"/>
          <w:numId w:val="16"/>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 xml:space="preserve">Instalace (zabetonování) 14 ks ocelových vzpěr o </w:t>
      </w:r>
      <w:proofErr w:type="spellStart"/>
      <w:r w:rsidRPr="00E16676">
        <w:rPr>
          <w:rFonts w:ascii="Arial" w:hAnsi="Arial" w:cs="Arial"/>
          <w:color w:val="auto"/>
          <w:sz w:val="22"/>
          <w:szCs w:val="22"/>
        </w:rPr>
        <w:t>prům</w:t>
      </w:r>
      <w:proofErr w:type="spellEnd"/>
      <w:r w:rsidRPr="00E16676">
        <w:rPr>
          <w:rFonts w:ascii="Arial" w:hAnsi="Arial" w:cs="Arial"/>
          <w:color w:val="auto"/>
          <w:sz w:val="22"/>
          <w:szCs w:val="22"/>
        </w:rPr>
        <w:t xml:space="preserve">. 42 mm, délce 2600 mm, </w:t>
      </w:r>
      <w:proofErr w:type="spellStart"/>
      <w:r w:rsidRPr="00E16676">
        <w:rPr>
          <w:rFonts w:ascii="Arial" w:hAnsi="Arial" w:cs="Arial"/>
          <w:color w:val="auto"/>
          <w:sz w:val="22"/>
          <w:szCs w:val="22"/>
        </w:rPr>
        <w:t>tl</w:t>
      </w:r>
      <w:proofErr w:type="spellEnd"/>
      <w:r w:rsidRPr="00E16676">
        <w:rPr>
          <w:rFonts w:ascii="Arial" w:hAnsi="Arial" w:cs="Arial"/>
          <w:color w:val="auto"/>
          <w:sz w:val="22"/>
          <w:szCs w:val="22"/>
        </w:rPr>
        <w:t xml:space="preserve">. 1,5 mm, povrchová úprava </w:t>
      </w:r>
      <w:proofErr w:type="spellStart"/>
      <w:r w:rsidRPr="00E16676">
        <w:rPr>
          <w:rFonts w:ascii="Arial" w:hAnsi="Arial" w:cs="Arial"/>
          <w:color w:val="auto"/>
          <w:sz w:val="22"/>
          <w:szCs w:val="22"/>
        </w:rPr>
        <w:t>pozink</w:t>
      </w:r>
      <w:proofErr w:type="spellEnd"/>
      <w:r w:rsidRPr="00E16676">
        <w:rPr>
          <w:rFonts w:ascii="Arial" w:hAnsi="Arial" w:cs="Arial"/>
          <w:color w:val="auto"/>
          <w:sz w:val="22"/>
          <w:szCs w:val="22"/>
        </w:rPr>
        <w:t xml:space="preserve"> + PVC - barva RAL 6005 (8 ks v rozích oplocení a 6 ks na sloupky branek a brány)</w:t>
      </w:r>
    </w:p>
    <w:p w:rsidR="00E16676" w:rsidRPr="00E16676" w:rsidRDefault="00E16676" w:rsidP="00E16676">
      <w:pPr>
        <w:pStyle w:val="Odstavecseseznamem"/>
        <w:numPr>
          <w:ilvl w:val="0"/>
          <w:numId w:val="16"/>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 xml:space="preserve">Instalace 2 ks ocelových branek, šířka 1 m, výška 1,75 m, svařovaný rám z ocel. trubek (povrchová úprava </w:t>
      </w:r>
      <w:proofErr w:type="spellStart"/>
      <w:r w:rsidRPr="00E16676">
        <w:rPr>
          <w:rFonts w:ascii="Arial" w:hAnsi="Arial" w:cs="Arial"/>
          <w:color w:val="auto"/>
          <w:sz w:val="22"/>
          <w:szCs w:val="22"/>
        </w:rPr>
        <w:t>pozink</w:t>
      </w:r>
      <w:proofErr w:type="spellEnd"/>
      <w:r w:rsidRPr="00E16676">
        <w:rPr>
          <w:rFonts w:ascii="Arial" w:hAnsi="Arial" w:cs="Arial"/>
          <w:color w:val="auto"/>
          <w:sz w:val="22"/>
          <w:szCs w:val="22"/>
        </w:rPr>
        <w:t xml:space="preserve"> + PVC - barva RAL 6005), výplň </w:t>
      </w:r>
      <w:proofErr w:type="spellStart"/>
      <w:r w:rsidRPr="00E16676">
        <w:rPr>
          <w:rFonts w:ascii="Arial" w:hAnsi="Arial" w:cs="Arial"/>
          <w:color w:val="auto"/>
          <w:sz w:val="22"/>
          <w:szCs w:val="22"/>
        </w:rPr>
        <w:t>poplastované</w:t>
      </w:r>
      <w:proofErr w:type="spellEnd"/>
      <w:r w:rsidRPr="00E16676">
        <w:rPr>
          <w:rFonts w:ascii="Arial" w:hAnsi="Arial" w:cs="Arial"/>
          <w:color w:val="auto"/>
          <w:sz w:val="22"/>
          <w:szCs w:val="22"/>
        </w:rPr>
        <w:t xml:space="preserve"> pletivo, barva RAL 6005</w:t>
      </w:r>
    </w:p>
    <w:p w:rsidR="00E16676" w:rsidRPr="00E16676" w:rsidRDefault="00E16676" w:rsidP="00E16676">
      <w:pPr>
        <w:pStyle w:val="Odstavecseseznamem"/>
        <w:numPr>
          <w:ilvl w:val="0"/>
          <w:numId w:val="16"/>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 xml:space="preserve">Instalace 1 ks ocelové dvoukřídlé brány, šířka 3,6 m, výška 1,75 m, svařovaný rám z ocel. trubek (povrchová úprava </w:t>
      </w:r>
      <w:proofErr w:type="spellStart"/>
      <w:r w:rsidRPr="00E16676">
        <w:rPr>
          <w:rFonts w:ascii="Arial" w:hAnsi="Arial" w:cs="Arial"/>
          <w:color w:val="auto"/>
          <w:sz w:val="22"/>
          <w:szCs w:val="22"/>
        </w:rPr>
        <w:t>pozink</w:t>
      </w:r>
      <w:proofErr w:type="spellEnd"/>
      <w:r w:rsidRPr="00E16676">
        <w:rPr>
          <w:rFonts w:ascii="Arial" w:hAnsi="Arial" w:cs="Arial"/>
          <w:color w:val="auto"/>
          <w:sz w:val="22"/>
          <w:szCs w:val="22"/>
        </w:rPr>
        <w:t xml:space="preserve"> + PVC - barva RAL 6005), výplň </w:t>
      </w:r>
      <w:proofErr w:type="spellStart"/>
      <w:r w:rsidRPr="00E16676">
        <w:rPr>
          <w:rFonts w:ascii="Arial" w:hAnsi="Arial" w:cs="Arial"/>
          <w:color w:val="auto"/>
          <w:sz w:val="22"/>
          <w:szCs w:val="22"/>
        </w:rPr>
        <w:t>poplastované</w:t>
      </w:r>
      <w:proofErr w:type="spellEnd"/>
      <w:r w:rsidRPr="00E16676">
        <w:rPr>
          <w:rFonts w:ascii="Arial" w:hAnsi="Arial" w:cs="Arial"/>
          <w:color w:val="auto"/>
          <w:sz w:val="22"/>
          <w:szCs w:val="22"/>
        </w:rPr>
        <w:t xml:space="preserve"> pletivo, barva RAL 6005</w:t>
      </w:r>
    </w:p>
    <w:p w:rsidR="00E16676" w:rsidRPr="00E16676" w:rsidRDefault="00E16676" w:rsidP="00E16676">
      <w:pPr>
        <w:pStyle w:val="Odstavecseseznamem"/>
        <w:numPr>
          <w:ilvl w:val="0"/>
          <w:numId w:val="16"/>
        </w:numPr>
        <w:overflowPunct/>
        <w:autoSpaceDE/>
        <w:autoSpaceDN/>
        <w:adjustRightInd/>
        <w:spacing w:after="0" w:line="240" w:lineRule="auto"/>
        <w:contextualSpacing w:val="0"/>
        <w:jc w:val="both"/>
        <w:textAlignment w:val="auto"/>
        <w:rPr>
          <w:rFonts w:ascii="Arial" w:hAnsi="Arial" w:cs="Arial"/>
          <w:color w:val="auto"/>
          <w:sz w:val="22"/>
          <w:szCs w:val="22"/>
        </w:rPr>
      </w:pPr>
      <w:r w:rsidRPr="00E16676">
        <w:rPr>
          <w:rFonts w:ascii="Arial" w:hAnsi="Arial" w:cs="Arial"/>
          <w:color w:val="auto"/>
          <w:sz w:val="22"/>
          <w:szCs w:val="22"/>
        </w:rPr>
        <w:t xml:space="preserve">Instalace </w:t>
      </w:r>
      <w:proofErr w:type="spellStart"/>
      <w:r w:rsidRPr="00E16676">
        <w:rPr>
          <w:rFonts w:ascii="Arial" w:hAnsi="Arial" w:cs="Arial"/>
          <w:color w:val="auto"/>
          <w:sz w:val="22"/>
          <w:szCs w:val="22"/>
        </w:rPr>
        <w:t>poplastovaného</w:t>
      </w:r>
      <w:proofErr w:type="spellEnd"/>
      <w:r w:rsidRPr="00E16676">
        <w:rPr>
          <w:rFonts w:ascii="Arial" w:hAnsi="Arial" w:cs="Arial"/>
          <w:color w:val="auto"/>
          <w:sz w:val="22"/>
          <w:szCs w:val="22"/>
        </w:rPr>
        <w:t xml:space="preserve"> ocelového pletiva výšky 175 cm v délce 87 m - povrchová úprava </w:t>
      </w:r>
      <w:proofErr w:type="spellStart"/>
      <w:r w:rsidRPr="00E16676">
        <w:rPr>
          <w:rFonts w:ascii="Arial" w:hAnsi="Arial" w:cs="Arial"/>
          <w:color w:val="auto"/>
          <w:sz w:val="22"/>
          <w:szCs w:val="22"/>
        </w:rPr>
        <w:t>pozink</w:t>
      </w:r>
      <w:proofErr w:type="spellEnd"/>
      <w:r w:rsidRPr="00E16676">
        <w:rPr>
          <w:rFonts w:ascii="Arial" w:hAnsi="Arial" w:cs="Arial"/>
          <w:color w:val="auto"/>
          <w:sz w:val="22"/>
          <w:szCs w:val="22"/>
        </w:rPr>
        <w:t xml:space="preserve"> + PVC - barva RAL 6005, průměr drátu 2,5 mm (včetně povrchové úpravy)</w:t>
      </w:r>
    </w:p>
    <w:p w:rsidR="00E16676" w:rsidRPr="00ED09CC" w:rsidRDefault="00E16676" w:rsidP="00E16676">
      <w:pPr>
        <w:pStyle w:val="Zkladntext"/>
        <w:widowControl/>
        <w:ind w:left="426"/>
        <w:jc w:val="both"/>
        <w:rPr>
          <w:rFonts w:cs="Arial"/>
          <w:sz w:val="22"/>
          <w:szCs w:val="22"/>
          <w:u w:val="single"/>
        </w:rPr>
      </w:pPr>
      <w:r w:rsidRPr="00ED09CC">
        <w:rPr>
          <w:rFonts w:cs="Arial"/>
          <w:sz w:val="22"/>
          <w:szCs w:val="22"/>
          <w:u w:val="single"/>
        </w:rPr>
        <w:t>Ostatní práce:</w:t>
      </w:r>
    </w:p>
    <w:p w:rsidR="00E16676" w:rsidRPr="00E16676" w:rsidRDefault="00E16676" w:rsidP="00E16676">
      <w:pPr>
        <w:pStyle w:val="Zkladntext"/>
        <w:widowControl/>
        <w:numPr>
          <w:ilvl w:val="0"/>
          <w:numId w:val="18"/>
        </w:numPr>
        <w:jc w:val="both"/>
        <w:rPr>
          <w:rFonts w:cs="Arial"/>
          <w:sz w:val="22"/>
          <w:szCs w:val="22"/>
        </w:rPr>
      </w:pPr>
      <w:r w:rsidRPr="00E16676">
        <w:rPr>
          <w:rFonts w:cs="Arial"/>
          <w:sz w:val="22"/>
          <w:szCs w:val="22"/>
        </w:rPr>
        <w:t xml:space="preserve">Likvidace veškerých odpadů vzniklých při realizaci </w:t>
      </w:r>
      <w:r>
        <w:rPr>
          <w:rFonts w:cs="Arial"/>
          <w:sz w:val="22"/>
          <w:szCs w:val="22"/>
        </w:rPr>
        <w:t>díla</w:t>
      </w:r>
    </w:p>
    <w:p w:rsidR="00E16676" w:rsidRPr="00E16676" w:rsidRDefault="00E16676" w:rsidP="00E16676">
      <w:pPr>
        <w:pStyle w:val="Zkladntext"/>
        <w:widowControl/>
        <w:numPr>
          <w:ilvl w:val="0"/>
          <w:numId w:val="18"/>
        </w:numPr>
        <w:jc w:val="both"/>
        <w:rPr>
          <w:rFonts w:cs="Arial"/>
          <w:sz w:val="22"/>
          <w:szCs w:val="22"/>
        </w:rPr>
      </w:pPr>
      <w:r w:rsidRPr="00E16676">
        <w:rPr>
          <w:rFonts w:cs="Arial"/>
          <w:sz w:val="22"/>
          <w:szCs w:val="22"/>
        </w:rPr>
        <w:t xml:space="preserve">Ostatní práce nutné ke kompletnímu dokončení </w:t>
      </w:r>
      <w:r>
        <w:rPr>
          <w:rFonts w:cs="Arial"/>
          <w:sz w:val="22"/>
          <w:szCs w:val="22"/>
        </w:rPr>
        <w:t>díla</w:t>
      </w:r>
    </w:p>
    <w:p w:rsidR="00E16676" w:rsidRDefault="00E16676" w:rsidP="00E16676">
      <w:pPr>
        <w:pStyle w:val="Zkladntext"/>
        <w:widowControl/>
        <w:ind w:left="426"/>
        <w:jc w:val="both"/>
        <w:rPr>
          <w:rFonts w:cs="Arial"/>
          <w:sz w:val="22"/>
          <w:szCs w:val="22"/>
        </w:rPr>
      </w:pPr>
    </w:p>
    <w:p w:rsidR="00E16676" w:rsidRPr="00454D43" w:rsidRDefault="00E16676" w:rsidP="00E16676">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lastRenderedPageBreak/>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t xml:space="preserve">bez zbytečného odkladu po </w:t>
      </w:r>
      <w:r w:rsidR="00424A5E">
        <w:rPr>
          <w:rFonts w:ascii="Arial" w:hAnsi="Arial" w:cs="Arial"/>
          <w:bCs/>
          <w:color w:val="000000"/>
          <w:sz w:val="22"/>
          <w:szCs w:val="22"/>
        </w:rPr>
        <w:t>předání místa plnění</w:t>
      </w:r>
      <w:r>
        <w:rPr>
          <w:rFonts w:ascii="Arial" w:hAnsi="Arial" w:cs="Arial"/>
          <w:color w:val="000000"/>
          <w:sz w:val="22"/>
          <w:szCs w:val="22"/>
        </w:rPr>
        <w:tab/>
      </w:r>
      <w:r w:rsidR="00424A5E">
        <w:rPr>
          <w:rFonts w:ascii="Arial" w:hAnsi="Arial" w:cs="Arial"/>
          <w:color w:val="000000"/>
          <w:sz w:val="22"/>
          <w:szCs w:val="22"/>
        </w:rPr>
        <w:tab/>
      </w:r>
      <w:r w:rsidR="00424A5E">
        <w:rPr>
          <w:rFonts w:ascii="Arial" w:hAnsi="Arial" w:cs="Arial"/>
          <w:color w:val="000000"/>
          <w:sz w:val="22"/>
          <w:szCs w:val="22"/>
        </w:rPr>
        <w:tab/>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DE402B">
        <w:rPr>
          <w:rFonts w:ascii="Arial" w:hAnsi="Arial" w:cs="Arial"/>
          <w:b/>
          <w:color w:val="auto"/>
          <w:sz w:val="22"/>
          <w:szCs w:val="22"/>
        </w:rPr>
        <w:t>30</w:t>
      </w:r>
      <w:r w:rsidR="00331998">
        <w:rPr>
          <w:rFonts w:ascii="Arial" w:hAnsi="Arial" w:cs="Arial"/>
          <w:b/>
          <w:color w:val="auto"/>
          <w:sz w:val="22"/>
          <w:szCs w:val="22"/>
        </w:rPr>
        <w:t>.</w:t>
      </w:r>
      <w:r w:rsidR="00DE402B">
        <w:rPr>
          <w:rFonts w:ascii="Arial" w:hAnsi="Arial" w:cs="Arial"/>
          <w:b/>
          <w:color w:val="auto"/>
          <w:sz w:val="22"/>
          <w:szCs w:val="22"/>
        </w:rPr>
        <w:t>11</w:t>
      </w:r>
      <w:r w:rsidR="00331998">
        <w:rPr>
          <w:rFonts w:ascii="Arial" w:hAnsi="Arial" w:cs="Arial"/>
          <w:b/>
          <w:color w:val="auto"/>
          <w:sz w:val="22"/>
          <w:szCs w:val="22"/>
        </w:rPr>
        <w:t>.202</w:t>
      </w:r>
      <w:r w:rsidR="00445EF2">
        <w:rPr>
          <w:rFonts w:ascii="Arial" w:hAnsi="Arial" w:cs="Arial"/>
          <w:b/>
          <w:color w:val="auto"/>
          <w:sz w:val="22"/>
          <w:szCs w:val="22"/>
        </w:rPr>
        <w:t>2</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E16676">
        <w:rPr>
          <w:rFonts w:ascii="Arial" w:hAnsi="Arial" w:cs="Arial"/>
          <w:b/>
          <w:sz w:val="22"/>
          <w:szCs w:val="22"/>
        </w:rPr>
        <w:t>S</w:t>
      </w:r>
      <w:r w:rsidR="00B13964" w:rsidRPr="00E16676">
        <w:rPr>
          <w:rFonts w:ascii="Arial" w:hAnsi="Arial" w:cs="Arial"/>
          <w:b/>
          <w:sz w:val="22"/>
          <w:szCs w:val="22"/>
        </w:rPr>
        <w:t>mluvní cena za dílo:</w:t>
      </w:r>
      <w:r w:rsidR="00B13964" w:rsidRPr="00E16676">
        <w:rPr>
          <w:rFonts w:ascii="Arial" w:hAnsi="Arial" w:cs="Arial"/>
          <w:b/>
          <w:sz w:val="22"/>
          <w:szCs w:val="22"/>
        </w:rPr>
        <w:tab/>
      </w:r>
      <w:r w:rsidR="00E16676" w:rsidRPr="00E16676">
        <w:rPr>
          <w:rFonts w:ascii="Arial" w:hAnsi="Arial" w:cs="Arial"/>
          <w:b/>
          <w:sz w:val="22"/>
          <w:szCs w:val="22"/>
        </w:rPr>
        <w:t>164.761,00</w:t>
      </w:r>
      <w:r w:rsidR="00B13964" w:rsidRPr="00E16676">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lastRenderedPageBreak/>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p>
    <w:p w:rsidR="00B13964" w:rsidRPr="00D363E8" w:rsidRDefault="00B13964" w:rsidP="00B13964">
      <w:pPr>
        <w:ind w:left="426"/>
        <w:jc w:val="both"/>
        <w:rPr>
          <w:rFonts w:ascii="Arial" w:hAnsi="Arial" w:cs="Arial"/>
          <w:sz w:val="22"/>
          <w:szCs w:val="22"/>
        </w:rPr>
      </w:pPr>
    </w:p>
    <w:p w:rsidR="00B13964" w:rsidRPr="00D363E8" w:rsidRDefault="00B13964" w:rsidP="00B13964">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Samostatně budou vystaveny faktury pro investice a opravy.</w:t>
      </w:r>
    </w:p>
    <w:p w:rsidR="00D363E8" w:rsidRPr="00D363E8" w:rsidRDefault="00D363E8" w:rsidP="00D363E8">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947CB1" w:rsidRDefault="00CF5CA2" w:rsidP="00B914C9">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D73F32">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lastRenderedPageBreak/>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Pr="00454D43" w:rsidRDefault="008F2E2B"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w:t>
      </w:r>
      <w:proofErr w:type="gramStart"/>
      <w:r w:rsidRPr="00DE3369">
        <w:rPr>
          <w:rFonts w:cs="Arial"/>
          <w:color w:val="auto"/>
          <w:sz w:val="22"/>
          <w:szCs w:val="22"/>
        </w:rPr>
        <w:t>tel..</w:t>
      </w:r>
      <w:proofErr w:type="gramEnd"/>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lastRenderedPageBreak/>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E16676" w:rsidRPr="00432702" w:rsidRDefault="00E16676" w:rsidP="00E16676">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Ústí nad Labem </w:t>
      </w:r>
      <w:r w:rsidRPr="003145AD">
        <w:rPr>
          <w:rFonts w:ascii="Arial" w:hAnsi="Arial" w:cs="Arial"/>
          <w:sz w:val="22"/>
          <w:szCs w:val="22"/>
        </w:rPr>
        <w:t>dne…………..</w:t>
      </w:r>
    </w:p>
    <w:p w:rsidR="00E16676" w:rsidRPr="00432702" w:rsidRDefault="00E16676" w:rsidP="00E16676">
      <w:pPr>
        <w:keepNext/>
        <w:jc w:val="both"/>
        <w:rPr>
          <w:rFonts w:ascii="Arial" w:hAnsi="Arial" w:cs="Arial"/>
          <w:sz w:val="22"/>
          <w:szCs w:val="22"/>
        </w:rPr>
      </w:pPr>
    </w:p>
    <w:p w:rsidR="00E16676" w:rsidRPr="00432702" w:rsidRDefault="00E16676" w:rsidP="00E16676">
      <w:pPr>
        <w:keepNext/>
        <w:jc w:val="both"/>
        <w:rPr>
          <w:rFonts w:ascii="Arial" w:hAnsi="Arial" w:cs="Arial"/>
          <w:sz w:val="22"/>
          <w:szCs w:val="22"/>
        </w:rPr>
      </w:pPr>
    </w:p>
    <w:p w:rsidR="00E16676" w:rsidRPr="00432702" w:rsidRDefault="00E16676" w:rsidP="00E16676">
      <w:pPr>
        <w:keepNext/>
        <w:jc w:val="both"/>
        <w:rPr>
          <w:rFonts w:ascii="Arial" w:hAnsi="Arial" w:cs="Arial"/>
          <w:sz w:val="22"/>
          <w:szCs w:val="22"/>
        </w:rPr>
      </w:pPr>
    </w:p>
    <w:p w:rsidR="00E16676" w:rsidRPr="00432702" w:rsidRDefault="00E16676" w:rsidP="00E16676">
      <w:pPr>
        <w:keepNext/>
        <w:jc w:val="both"/>
        <w:rPr>
          <w:rFonts w:ascii="Arial" w:hAnsi="Arial" w:cs="Arial"/>
          <w:sz w:val="22"/>
          <w:szCs w:val="22"/>
        </w:rPr>
      </w:pPr>
    </w:p>
    <w:p w:rsidR="00E16676" w:rsidRPr="00432702" w:rsidRDefault="00E16676" w:rsidP="00E16676">
      <w:pPr>
        <w:keepNext/>
        <w:jc w:val="both"/>
        <w:rPr>
          <w:rFonts w:ascii="Arial" w:hAnsi="Arial" w:cs="Arial"/>
          <w:sz w:val="22"/>
          <w:szCs w:val="22"/>
        </w:rPr>
      </w:pPr>
    </w:p>
    <w:p w:rsidR="00E16676" w:rsidRPr="00432702" w:rsidRDefault="00E16676" w:rsidP="00E16676">
      <w:pPr>
        <w:keepNext/>
        <w:jc w:val="both"/>
        <w:rPr>
          <w:rFonts w:ascii="Arial" w:hAnsi="Arial" w:cs="Arial"/>
          <w:sz w:val="22"/>
          <w:szCs w:val="22"/>
        </w:rPr>
      </w:pPr>
    </w:p>
    <w:p w:rsidR="00E16676" w:rsidRPr="00432702" w:rsidRDefault="00E16676" w:rsidP="00E16676">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E16676" w:rsidRPr="00432702" w:rsidRDefault="00E16676" w:rsidP="00E16676">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E16676" w:rsidRDefault="00E16676" w:rsidP="00E16676">
      <w:pPr>
        <w:keepNext/>
        <w:jc w:val="both"/>
        <w:rPr>
          <w:rFonts w:ascii="Arial" w:hAnsi="Arial" w:cs="Arial"/>
          <w:sz w:val="22"/>
          <w:szCs w:val="22"/>
        </w:rPr>
      </w:pPr>
      <w:bookmarkStart w:id="0" w:name="_GoBack"/>
      <w:bookmarkEnd w:id="0"/>
      <w:r w:rsidRPr="00432702">
        <w:rPr>
          <w:rFonts w:ascii="Arial" w:hAnsi="Arial" w:cs="Arial"/>
          <w:sz w:val="22"/>
          <w:szCs w:val="22"/>
        </w:rPr>
        <w:t>ředitelka závodu Terezín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 společnosti</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A5E" w:rsidRDefault="00321A5E">
      <w:r>
        <w:separator/>
      </w:r>
    </w:p>
  </w:endnote>
  <w:endnote w:type="continuationSeparator" w:id="0">
    <w:p w:rsidR="00321A5E" w:rsidRDefault="0032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A5E" w:rsidRDefault="00321A5E">
      <w:r>
        <w:separator/>
      </w:r>
    </w:p>
  </w:footnote>
  <w:footnote w:type="continuationSeparator" w:id="0">
    <w:p w:rsidR="00321A5E" w:rsidRDefault="0032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11460"/>
    <w:multiLevelType w:val="hybridMultilevel"/>
    <w:tmpl w:val="77D0FE8C"/>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B834FB"/>
    <w:multiLevelType w:val="hybridMultilevel"/>
    <w:tmpl w:val="89B674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F21265D"/>
    <w:multiLevelType w:val="hybridMultilevel"/>
    <w:tmpl w:val="282A5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A233E99"/>
    <w:multiLevelType w:val="hybridMultilevel"/>
    <w:tmpl w:val="544AF72E"/>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9DD1E75"/>
    <w:multiLevelType w:val="hybridMultilevel"/>
    <w:tmpl w:val="54E0A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0"/>
  </w:num>
  <w:num w:numId="2">
    <w:abstractNumId w:val="15"/>
  </w:num>
  <w:num w:numId="3">
    <w:abstractNumId w:val="11"/>
  </w:num>
  <w:num w:numId="4">
    <w:abstractNumId w:val="14"/>
  </w:num>
  <w:num w:numId="5">
    <w:abstractNumId w:val="6"/>
  </w:num>
  <w:num w:numId="6">
    <w:abstractNumId w:val="5"/>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0"/>
  </w:num>
  <w:num w:numId="11">
    <w:abstractNumId w:val="7"/>
  </w:num>
  <w:num w:numId="12">
    <w:abstractNumId w:val="2"/>
  </w:num>
  <w:num w:numId="13">
    <w:abstractNumId w:val="1"/>
  </w:num>
  <w:num w:numId="14">
    <w:abstractNumId w:val="9"/>
  </w:num>
  <w:num w:numId="15">
    <w:abstractNumId w:val="12"/>
  </w:num>
  <w:num w:numId="16">
    <w:abstractNumId w:val="4"/>
  </w:num>
  <w:num w:numId="17">
    <w:abstractNumId w:val="16"/>
  </w:num>
  <w:num w:numId="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202"/>
    <w:rsid w:val="00091338"/>
    <w:rsid w:val="000914C6"/>
    <w:rsid w:val="000927E7"/>
    <w:rsid w:val="00093885"/>
    <w:rsid w:val="00093AD2"/>
    <w:rsid w:val="000A10CD"/>
    <w:rsid w:val="000B0C8D"/>
    <w:rsid w:val="000B0E7E"/>
    <w:rsid w:val="000B2E4B"/>
    <w:rsid w:val="000B3C0B"/>
    <w:rsid w:val="000F53B1"/>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91A3B"/>
    <w:rsid w:val="001B07ED"/>
    <w:rsid w:val="001B4A2C"/>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C4912"/>
    <w:rsid w:val="002C50E0"/>
    <w:rsid w:val="002D0789"/>
    <w:rsid w:val="002D1039"/>
    <w:rsid w:val="002D15CD"/>
    <w:rsid w:val="002D299B"/>
    <w:rsid w:val="002E73A1"/>
    <w:rsid w:val="002F1AC1"/>
    <w:rsid w:val="002F45A9"/>
    <w:rsid w:val="00302394"/>
    <w:rsid w:val="00302783"/>
    <w:rsid w:val="00306A1E"/>
    <w:rsid w:val="00312AFD"/>
    <w:rsid w:val="00312BF9"/>
    <w:rsid w:val="003139A9"/>
    <w:rsid w:val="00321A5E"/>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4A5E"/>
    <w:rsid w:val="004258CF"/>
    <w:rsid w:val="004263A6"/>
    <w:rsid w:val="00431AB2"/>
    <w:rsid w:val="004335FB"/>
    <w:rsid w:val="004372A1"/>
    <w:rsid w:val="00437893"/>
    <w:rsid w:val="004433D8"/>
    <w:rsid w:val="00445EF2"/>
    <w:rsid w:val="004511E9"/>
    <w:rsid w:val="00451D8C"/>
    <w:rsid w:val="00454D43"/>
    <w:rsid w:val="00466A78"/>
    <w:rsid w:val="004765B5"/>
    <w:rsid w:val="00492554"/>
    <w:rsid w:val="00492DC3"/>
    <w:rsid w:val="004943EB"/>
    <w:rsid w:val="004A2984"/>
    <w:rsid w:val="004B1199"/>
    <w:rsid w:val="004B2043"/>
    <w:rsid w:val="004B4DBE"/>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0099"/>
    <w:rsid w:val="00642863"/>
    <w:rsid w:val="006436F0"/>
    <w:rsid w:val="00656688"/>
    <w:rsid w:val="0067189F"/>
    <w:rsid w:val="0068009D"/>
    <w:rsid w:val="00681859"/>
    <w:rsid w:val="006827FF"/>
    <w:rsid w:val="00687E88"/>
    <w:rsid w:val="006A302C"/>
    <w:rsid w:val="006C4B77"/>
    <w:rsid w:val="006C6128"/>
    <w:rsid w:val="006C64E2"/>
    <w:rsid w:val="006D29A4"/>
    <w:rsid w:val="006D4CF2"/>
    <w:rsid w:val="006D6504"/>
    <w:rsid w:val="006E5F9A"/>
    <w:rsid w:val="006F41C0"/>
    <w:rsid w:val="007111BD"/>
    <w:rsid w:val="00714263"/>
    <w:rsid w:val="00734FF3"/>
    <w:rsid w:val="00740ADB"/>
    <w:rsid w:val="0074616E"/>
    <w:rsid w:val="007567A5"/>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4A"/>
    <w:rsid w:val="008C1FBE"/>
    <w:rsid w:val="008C390F"/>
    <w:rsid w:val="008D07D7"/>
    <w:rsid w:val="008D36CC"/>
    <w:rsid w:val="008F2E2B"/>
    <w:rsid w:val="008F3607"/>
    <w:rsid w:val="009177F7"/>
    <w:rsid w:val="00917F5B"/>
    <w:rsid w:val="00921CCC"/>
    <w:rsid w:val="009231A4"/>
    <w:rsid w:val="0092548D"/>
    <w:rsid w:val="009331E8"/>
    <w:rsid w:val="00937B32"/>
    <w:rsid w:val="0094603D"/>
    <w:rsid w:val="009515EF"/>
    <w:rsid w:val="0095255A"/>
    <w:rsid w:val="009545B1"/>
    <w:rsid w:val="00956496"/>
    <w:rsid w:val="0095748D"/>
    <w:rsid w:val="0096148E"/>
    <w:rsid w:val="00963F3F"/>
    <w:rsid w:val="0098025D"/>
    <w:rsid w:val="009843E0"/>
    <w:rsid w:val="00985301"/>
    <w:rsid w:val="00985B9D"/>
    <w:rsid w:val="0098622A"/>
    <w:rsid w:val="00991B86"/>
    <w:rsid w:val="00995E3E"/>
    <w:rsid w:val="00996588"/>
    <w:rsid w:val="009A120B"/>
    <w:rsid w:val="009A39F9"/>
    <w:rsid w:val="009A3FBD"/>
    <w:rsid w:val="009C5A32"/>
    <w:rsid w:val="009D2E1E"/>
    <w:rsid w:val="009D4120"/>
    <w:rsid w:val="009D5612"/>
    <w:rsid w:val="009E623B"/>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6E47"/>
    <w:rsid w:val="00AF0169"/>
    <w:rsid w:val="00B02B95"/>
    <w:rsid w:val="00B0309E"/>
    <w:rsid w:val="00B11EF8"/>
    <w:rsid w:val="00B13964"/>
    <w:rsid w:val="00B20CF7"/>
    <w:rsid w:val="00B256CC"/>
    <w:rsid w:val="00B34EBF"/>
    <w:rsid w:val="00B368E0"/>
    <w:rsid w:val="00B63BF5"/>
    <w:rsid w:val="00B640F3"/>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F35ED"/>
    <w:rsid w:val="00CF4FE1"/>
    <w:rsid w:val="00CF5CA2"/>
    <w:rsid w:val="00D23E15"/>
    <w:rsid w:val="00D276F7"/>
    <w:rsid w:val="00D363E8"/>
    <w:rsid w:val="00D41B2F"/>
    <w:rsid w:val="00D533AF"/>
    <w:rsid w:val="00D56190"/>
    <w:rsid w:val="00D642B9"/>
    <w:rsid w:val="00D65B2C"/>
    <w:rsid w:val="00D73F32"/>
    <w:rsid w:val="00D747F2"/>
    <w:rsid w:val="00D74CA0"/>
    <w:rsid w:val="00D75EBF"/>
    <w:rsid w:val="00D83C7B"/>
    <w:rsid w:val="00D865BE"/>
    <w:rsid w:val="00D87104"/>
    <w:rsid w:val="00D94469"/>
    <w:rsid w:val="00D968F8"/>
    <w:rsid w:val="00DC10D8"/>
    <w:rsid w:val="00DC579B"/>
    <w:rsid w:val="00DC6ACE"/>
    <w:rsid w:val="00DD0E1B"/>
    <w:rsid w:val="00DD400C"/>
    <w:rsid w:val="00DE2F13"/>
    <w:rsid w:val="00DE3369"/>
    <w:rsid w:val="00DE402B"/>
    <w:rsid w:val="00DE675A"/>
    <w:rsid w:val="00DF0B5E"/>
    <w:rsid w:val="00DF41F7"/>
    <w:rsid w:val="00E06371"/>
    <w:rsid w:val="00E10428"/>
    <w:rsid w:val="00E16676"/>
    <w:rsid w:val="00E2169D"/>
    <w:rsid w:val="00E26E83"/>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09C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9E503"/>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40B24-FE3D-4C18-8033-471019C8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2716</Words>
  <Characters>16026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4</cp:revision>
  <cp:lastPrinted>2019-02-26T08:14:00Z</cp:lastPrinted>
  <dcterms:created xsi:type="dcterms:W3CDTF">2022-10-05T07:20:00Z</dcterms:created>
  <dcterms:modified xsi:type="dcterms:W3CDTF">2022-10-06T11:19:00Z</dcterms:modified>
</cp:coreProperties>
</file>