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A6B89">
        <w:rPr>
          <w:rFonts w:ascii="Segoe UI" w:hAnsi="Segoe UI" w:cs="Segoe UI"/>
          <w:color w:val="808080" w:themeColor="background1" w:themeShade="80"/>
          <w:sz w:val="32"/>
          <w:szCs w:val="32"/>
        </w:rPr>
        <w:t>365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0D0D6F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 xml:space="preserve">obec </w:t>
      </w:r>
      <w:r w:rsidR="007A6B89">
        <w:rPr>
          <w:rFonts w:ascii="Segoe UI" w:hAnsi="Segoe UI" w:cs="Segoe UI"/>
          <w:b/>
          <w:color w:val="000000" w:themeColor="text1"/>
          <w:sz w:val="20"/>
        </w:rPr>
        <w:t>Lichnov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0D0D6F">
        <w:rPr>
          <w:rFonts w:ascii="Segoe UI" w:hAnsi="Segoe UI" w:cs="Segoe UI"/>
          <w:color w:val="000000" w:themeColor="text1"/>
          <w:sz w:val="20"/>
        </w:rPr>
        <w:t xml:space="preserve">Obecní úřad </w:t>
      </w:r>
      <w:r w:rsidR="007A6B89">
        <w:rPr>
          <w:rFonts w:ascii="Segoe UI" w:hAnsi="Segoe UI" w:cs="Segoe UI"/>
          <w:color w:val="000000" w:themeColor="text1"/>
          <w:sz w:val="20"/>
        </w:rPr>
        <w:t>Lichnov, Lichnov 90, 742 75 Lichnov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7A6B89">
        <w:rPr>
          <w:rFonts w:ascii="Segoe UI" w:hAnsi="Segoe UI" w:cs="Segoe UI"/>
          <w:color w:val="000000" w:themeColor="text1"/>
          <w:sz w:val="20"/>
        </w:rPr>
        <w:t>00298115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0D0D6F">
        <w:rPr>
          <w:rFonts w:ascii="Segoe UI" w:hAnsi="Segoe UI" w:cs="Segoe UI"/>
          <w:color w:val="000000" w:themeColor="text1"/>
          <w:sz w:val="20"/>
        </w:rPr>
        <w:t>á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7A6B89">
        <w:rPr>
          <w:rFonts w:ascii="Segoe UI" w:hAnsi="Segoe UI" w:cs="Segoe UI"/>
          <w:color w:val="000000" w:themeColor="text1"/>
          <w:sz w:val="20"/>
        </w:rPr>
        <w:t xml:space="preserve">                                                          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starostou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Česká národní banka</w:t>
      </w:r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7A6B89" w:rsidRPr="007A6B89">
        <w:rPr>
          <w:rFonts w:ascii="Segoe UI" w:hAnsi="Segoe UI" w:cs="Segoe UI"/>
          <w:bCs/>
          <w:color w:val="auto"/>
          <w:sz w:val="20"/>
        </w:rPr>
        <w:t>94 - 6218801/0710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7A6B89">
        <w:rPr>
          <w:rFonts w:ascii="Segoe UI" w:hAnsi="Segoe UI" w:cs="Segoe UI"/>
          <w:color w:val="000000" w:themeColor="text1"/>
          <w:sz w:val="20"/>
        </w:rPr>
        <w:t>365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7A6B89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7A6B89">
        <w:rPr>
          <w:rFonts w:ascii="Segoe UI" w:hAnsi="Segoe UI" w:cs="Segoe UI"/>
          <w:color w:val="000000" w:themeColor="text1"/>
          <w:sz w:val="20"/>
        </w:rPr>
        <w:t>3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</w:t>
      </w:r>
      <w:r w:rsidR="00632D0D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210F69">
        <w:rPr>
          <w:rFonts w:ascii="Segoe UI" w:hAnsi="Segoe UI" w:cs="Segoe UI"/>
          <w:b/>
          <w:color w:val="000000" w:themeColor="text1"/>
          <w:sz w:val="20"/>
        </w:rPr>
        <w:t>„</w:t>
      </w:r>
      <w:r w:rsidR="007A6B89" w:rsidRPr="007A6B89">
        <w:rPr>
          <w:rFonts w:ascii="Segoe UI" w:hAnsi="Segoe UI" w:cs="Segoe UI"/>
          <w:b/>
          <w:bCs/>
          <w:color w:val="auto"/>
          <w:sz w:val="20"/>
        </w:rPr>
        <w:t>Přístavba akumulační komory VDJ Lichnov</w:t>
      </w:r>
      <w:r w:rsidR="00B477F4" w:rsidRPr="00632D0D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 </w:t>
      </w:r>
      <w:r w:rsidR="007A6B89">
        <w:rPr>
          <w:rFonts w:ascii="Segoe UI" w:hAnsi="Segoe UI" w:cs="Segoe UI"/>
          <w:color w:val="000000" w:themeColor="text1"/>
          <w:sz w:val="20"/>
        </w:rPr>
        <w:t>letech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632D0D">
        <w:rPr>
          <w:rFonts w:ascii="Segoe UI" w:hAnsi="Segoe UI" w:cs="Segoe UI"/>
          <w:color w:val="000000" w:themeColor="text1"/>
          <w:sz w:val="20"/>
        </w:rPr>
        <w:t>2</w:t>
      </w:r>
      <w:r w:rsidR="007A6B89">
        <w:rPr>
          <w:rFonts w:ascii="Segoe UI" w:hAnsi="Segoe UI" w:cs="Segoe UI"/>
          <w:color w:val="000000" w:themeColor="text1"/>
          <w:sz w:val="20"/>
        </w:rPr>
        <w:t xml:space="preserve"> - 2023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7A6B89">
        <w:rPr>
          <w:rFonts w:ascii="Segoe UI" w:hAnsi="Segoe UI" w:cs="Segoe UI"/>
          <w:b/>
          <w:color w:val="000000" w:themeColor="text1"/>
          <w:sz w:val="20"/>
        </w:rPr>
        <w:t>711 467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7A6B89">
        <w:rPr>
          <w:rFonts w:ascii="Segoe UI" w:hAnsi="Segoe UI" w:cs="Segoe UI"/>
          <w:color w:val="000000" w:themeColor="text1"/>
          <w:sz w:val="20"/>
        </w:rPr>
        <w:t>sedm set jedenáct</w:t>
      </w:r>
      <w:r w:rsidR="00904210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D43F30">
        <w:rPr>
          <w:rFonts w:ascii="Segoe UI" w:hAnsi="Segoe UI" w:cs="Segoe UI"/>
          <w:color w:val="000000" w:themeColor="text1"/>
          <w:sz w:val="20"/>
        </w:rPr>
        <w:t>čtyři</w:t>
      </w:r>
      <w:r w:rsidR="00632D0D">
        <w:rPr>
          <w:rFonts w:ascii="Segoe UI" w:hAnsi="Segoe UI" w:cs="Segoe UI"/>
          <w:color w:val="000000" w:themeColor="text1"/>
          <w:sz w:val="20"/>
        </w:rPr>
        <w:t xml:space="preserve"> sta </w:t>
      </w:r>
      <w:r w:rsidR="00D43F30">
        <w:rPr>
          <w:rFonts w:ascii="Segoe UI" w:hAnsi="Segoe UI" w:cs="Segoe UI"/>
          <w:color w:val="000000" w:themeColor="text1"/>
          <w:sz w:val="20"/>
        </w:rPr>
        <w:t>šedesát sedm</w:t>
      </w:r>
      <w:r w:rsidR="00196291">
        <w:rPr>
          <w:rFonts w:ascii="Segoe UI" w:hAnsi="Segoe UI" w:cs="Segoe UI"/>
          <w:color w:val="000000" w:themeColor="text1"/>
          <w:sz w:val="20"/>
        </w:rPr>
        <w:t xml:space="preserve"> </w:t>
      </w:r>
      <w:r w:rsidR="00843461">
        <w:rPr>
          <w:rFonts w:ascii="Segoe UI" w:hAnsi="Segoe UI" w:cs="Segoe UI"/>
          <w:color w:val="000000" w:themeColor="text1"/>
          <w:sz w:val="20"/>
        </w:rPr>
        <w:t>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D43F30">
        <w:rPr>
          <w:rFonts w:ascii="Segoe UI" w:hAnsi="Segoe UI" w:cs="Segoe UI"/>
          <w:color w:val="000000" w:themeColor="text1"/>
          <w:sz w:val="20"/>
        </w:rPr>
        <w:t>889 334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D43F30">
        <w:rPr>
          <w:rFonts w:ascii="Segoe UI" w:hAnsi="Segoe UI" w:cs="Segoe UI"/>
          <w:color w:val="000000" w:themeColor="text1"/>
          <w:sz w:val="20"/>
        </w:rPr>
        <w:t>8</w:t>
      </w:r>
      <w:r w:rsidR="00904210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904210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304CC0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3E66B7">
        <w:rPr>
          <w:rFonts w:ascii="Segoe UI" w:hAnsi="Segoe UI" w:cs="Segoe UI"/>
          <w:color w:val="000000" w:themeColor="text1"/>
          <w:sz w:val="20"/>
        </w:rPr>
        <w:t>2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D43F30" w:rsidRPr="00D43F30">
        <w:rPr>
          <w:rFonts w:ascii="Segoe UI" w:hAnsi="Segoe UI" w:cs="Segoe UI"/>
          <w:color w:val="000000" w:themeColor="text1"/>
          <w:sz w:val="20"/>
        </w:rPr>
        <w:t>711 467</w:t>
      </w:r>
      <w:r w:rsidR="00D43F30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19629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D43F30">
        <w:rPr>
          <w:rFonts w:ascii="Segoe UI" w:hAnsi="Segoe UI" w:cs="Segoe UI"/>
          <w:color w:val="000000" w:themeColor="text1"/>
          <w:sz w:val="20"/>
        </w:rPr>
        <w:t>letech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632D0D">
        <w:rPr>
          <w:rFonts w:ascii="Segoe UI" w:hAnsi="Segoe UI" w:cs="Segoe UI"/>
          <w:color w:val="000000" w:themeColor="text1"/>
          <w:sz w:val="20"/>
        </w:rPr>
        <w:t>2</w:t>
      </w:r>
      <w:r w:rsidR="00D43F30">
        <w:rPr>
          <w:rFonts w:ascii="Segoe UI" w:hAnsi="Segoe UI" w:cs="Segoe UI"/>
          <w:color w:val="000000" w:themeColor="text1"/>
          <w:sz w:val="20"/>
        </w:rPr>
        <w:t xml:space="preserve"> až 2023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D43F30">
        <w:rPr>
          <w:rFonts w:ascii="Segoe UI" w:hAnsi="Segoe UI" w:cs="Segoe UI"/>
          <w:color w:val="000000" w:themeColor="text1"/>
          <w:sz w:val="20"/>
        </w:rPr>
        <w:t>177 867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D43F30" w:rsidRDefault="000E25E0" w:rsidP="0072639A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43F30">
        <w:rPr>
          <w:rFonts w:ascii="Segoe UI" w:hAnsi="Segoe UI" w:cs="Segoe UI"/>
          <w:color w:val="auto"/>
          <w:sz w:val="20"/>
        </w:rPr>
        <w:t>akce bude provedena podle</w:t>
      </w:r>
      <w:r w:rsidR="00F42144" w:rsidRPr="00D43F30">
        <w:rPr>
          <w:rFonts w:ascii="Segoe UI" w:hAnsi="Segoe UI" w:cs="Segoe UI"/>
          <w:color w:val="auto"/>
          <w:sz w:val="20"/>
        </w:rPr>
        <w:t xml:space="preserve"> </w:t>
      </w:r>
      <w:r w:rsidR="00F42144" w:rsidRPr="00D43F30">
        <w:rPr>
          <w:rFonts w:ascii="Segoe UI" w:hAnsi="Segoe UI" w:cs="Segoe UI"/>
          <w:bCs/>
          <w:color w:val="auto"/>
          <w:sz w:val="20"/>
        </w:rPr>
        <w:t>Fondem odsouhlasen</w:t>
      </w:r>
      <w:r w:rsidR="00632D0D" w:rsidRPr="00D43F30">
        <w:rPr>
          <w:rFonts w:ascii="Segoe UI" w:hAnsi="Segoe UI" w:cs="Segoe UI"/>
          <w:bCs/>
          <w:color w:val="auto"/>
          <w:sz w:val="20"/>
        </w:rPr>
        <w:t>é</w:t>
      </w:r>
      <w:r w:rsidR="00F42144" w:rsidRPr="00D43F30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632D0D" w:rsidRPr="00D43F30">
        <w:rPr>
          <w:rFonts w:ascii="Segoe UI" w:hAnsi="Segoe UI" w:cs="Segoe UI"/>
          <w:bCs/>
          <w:color w:val="auto"/>
          <w:sz w:val="20"/>
        </w:rPr>
        <w:t>é</w:t>
      </w:r>
      <w:r w:rsidR="00F42144" w:rsidRPr="00D43F30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632D0D" w:rsidRPr="00D43F30">
        <w:rPr>
          <w:rFonts w:ascii="Segoe UI" w:hAnsi="Segoe UI" w:cs="Segoe UI"/>
          <w:bCs/>
          <w:color w:val="auto"/>
          <w:sz w:val="20"/>
        </w:rPr>
        <w:t>e</w:t>
      </w:r>
      <w:r w:rsidR="00F42144" w:rsidRPr="00D43F30">
        <w:rPr>
          <w:rFonts w:ascii="Segoe UI" w:hAnsi="Segoe UI" w:cs="Segoe UI"/>
          <w:bCs/>
          <w:color w:val="auto"/>
          <w:sz w:val="20"/>
        </w:rPr>
        <w:t xml:space="preserve"> „</w:t>
      </w:r>
      <w:r w:rsidR="00D43F30" w:rsidRPr="00D43F30">
        <w:rPr>
          <w:rFonts w:ascii="Segoe UI" w:hAnsi="Segoe UI" w:cs="Segoe UI"/>
          <w:bCs/>
          <w:color w:val="auto"/>
          <w:sz w:val="20"/>
        </w:rPr>
        <w:t>Přístavba akumulační komory VDJ Lichnov na p. č. 685/1 v k. ú. Lichnov u NJ</w:t>
      </w:r>
      <w:r w:rsidR="00F42144" w:rsidRPr="00D43F30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D43F30">
        <w:rPr>
          <w:rFonts w:ascii="Segoe UI" w:hAnsi="Segoe UI" w:cs="Segoe UI"/>
          <w:bCs/>
          <w:color w:val="auto"/>
          <w:sz w:val="20"/>
        </w:rPr>
        <w:t>vy</w:t>
      </w:r>
      <w:r w:rsidR="00F42144" w:rsidRPr="00D43F30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D43F30" w:rsidRPr="00D43F30">
        <w:rPr>
          <w:rFonts w:ascii="Segoe UI" w:hAnsi="Segoe UI" w:cs="Segoe UI"/>
          <w:bCs/>
          <w:color w:val="auto"/>
          <w:sz w:val="20"/>
        </w:rPr>
        <w:t>Ing. Lubomírem Novákem</w:t>
      </w:r>
      <w:r w:rsidR="00632D0D" w:rsidRPr="00D43F30">
        <w:rPr>
          <w:rFonts w:ascii="Segoe UI" w:hAnsi="Segoe UI" w:cs="Segoe UI"/>
          <w:bCs/>
          <w:color w:val="auto"/>
          <w:sz w:val="20"/>
        </w:rPr>
        <w:t xml:space="preserve"> </w:t>
      </w:r>
      <w:r w:rsidR="005C1355" w:rsidRPr="00D43F30">
        <w:rPr>
          <w:rFonts w:ascii="Segoe UI" w:hAnsi="Segoe UI" w:cs="Segoe UI"/>
          <w:bCs/>
          <w:color w:val="auto"/>
          <w:sz w:val="20"/>
        </w:rPr>
        <w:t>v </w:t>
      </w:r>
      <w:r w:rsidR="00D43F30" w:rsidRPr="00D43F30">
        <w:rPr>
          <w:rFonts w:ascii="Segoe UI" w:hAnsi="Segoe UI" w:cs="Segoe UI"/>
          <w:bCs/>
          <w:color w:val="auto"/>
          <w:sz w:val="20"/>
        </w:rPr>
        <w:t>6</w:t>
      </w:r>
      <w:r w:rsidR="005C1355" w:rsidRPr="00D43F30">
        <w:rPr>
          <w:rFonts w:ascii="Segoe UI" w:hAnsi="Segoe UI" w:cs="Segoe UI"/>
          <w:bCs/>
          <w:color w:val="auto"/>
          <w:sz w:val="20"/>
        </w:rPr>
        <w:t>/20</w:t>
      </w:r>
      <w:r w:rsidR="00904210" w:rsidRPr="00D43F30">
        <w:rPr>
          <w:rFonts w:ascii="Segoe UI" w:hAnsi="Segoe UI" w:cs="Segoe UI"/>
          <w:bCs/>
          <w:color w:val="auto"/>
          <w:sz w:val="20"/>
        </w:rPr>
        <w:t>2</w:t>
      </w:r>
      <w:r w:rsidR="00325383" w:rsidRPr="00D43F30">
        <w:rPr>
          <w:rFonts w:ascii="Segoe UI" w:hAnsi="Segoe UI" w:cs="Segoe UI"/>
          <w:bCs/>
          <w:color w:val="auto"/>
          <w:sz w:val="20"/>
        </w:rPr>
        <w:t>0</w:t>
      </w:r>
      <w:r w:rsidR="00AC22B7" w:rsidRPr="00D43F30">
        <w:rPr>
          <w:rFonts w:ascii="Segoe UI" w:hAnsi="Segoe UI" w:cs="Segoe UI"/>
          <w:bCs/>
          <w:color w:val="auto"/>
          <w:sz w:val="20"/>
        </w:rPr>
        <w:t>,</w:t>
      </w:r>
      <w:r w:rsidR="00993484" w:rsidRPr="00D43F30">
        <w:rPr>
          <w:rFonts w:ascii="Segoe UI" w:hAnsi="Segoe UI" w:cs="Segoe UI"/>
          <w:bCs/>
          <w:color w:val="auto"/>
          <w:sz w:val="20"/>
        </w:rPr>
        <w:t xml:space="preserve"> </w:t>
      </w:r>
      <w:r w:rsidR="00D43F30" w:rsidRPr="00D43F30">
        <w:rPr>
          <w:rFonts w:ascii="Segoe UI" w:hAnsi="Segoe UI" w:cs="Segoe UI"/>
          <w:bCs/>
          <w:color w:val="auto"/>
          <w:sz w:val="20"/>
        </w:rPr>
        <w:t xml:space="preserve">která je součástí </w:t>
      </w:r>
      <w:r w:rsidR="00904210" w:rsidRPr="00D43F30">
        <w:rPr>
          <w:rFonts w:ascii="Segoe UI" w:hAnsi="Segoe UI" w:cs="Segoe UI"/>
          <w:bCs/>
          <w:color w:val="auto"/>
          <w:sz w:val="20"/>
        </w:rPr>
        <w:t>ž</w:t>
      </w:r>
      <w:r w:rsidR="00036D9B" w:rsidRPr="00D43F30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D43F30">
        <w:rPr>
          <w:rFonts w:ascii="Segoe UI" w:hAnsi="Segoe UI" w:cs="Segoe UI"/>
          <w:bCs/>
          <w:color w:val="auto"/>
          <w:sz w:val="20"/>
        </w:rPr>
        <w:t xml:space="preserve"> </w:t>
      </w:r>
      <w:r w:rsidR="00632D0D" w:rsidRPr="00D43F30">
        <w:rPr>
          <w:rFonts w:ascii="Segoe UI" w:hAnsi="Segoe UI" w:cs="Segoe UI"/>
          <w:bCs/>
          <w:color w:val="auto"/>
          <w:sz w:val="20"/>
        </w:rPr>
        <w:t>1</w:t>
      </w:r>
      <w:r w:rsidR="00D43F30" w:rsidRPr="00D43F30">
        <w:rPr>
          <w:rFonts w:ascii="Segoe UI" w:hAnsi="Segoe UI" w:cs="Segoe UI"/>
          <w:bCs/>
          <w:color w:val="auto"/>
          <w:sz w:val="20"/>
        </w:rPr>
        <w:t>7</w:t>
      </w:r>
      <w:r w:rsidR="00036D9B" w:rsidRPr="00D43F30">
        <w:rPr>
          <w:rFonts w:ascii="Segoe UI" w:hAnsi="Segoe UI" w:cs="Segoe UI"/>
          <w:bCs/>
          <w:color w:val="auto"/>
          <w:sz w:val="20"/>
        </w:rPr>
        <w:t xml:space="preserve">. </w:t>
      </w:r>
      <w:r w:rsidR="00632D0D" w:rsidRPr="00D43F30">
        <w:rPr>
          <w:rFonts w:ascii="Segoe UI" w:hAnsi="Segoe UI" w:cs="Segoe UI"/>
          <w:bCs/>
          <w:color w:val="auto"/>
          <w:sz w:val="20"/>
        </w:rPr>
        <w:t>1</w:t>
      </w:r>
      <w:r w:rsidR="006A49F7" w:rsidRPr="00D43F30">
        <w:rPr>
          <w:rFonts w:ascii="Segoe UI" w:hAnsi="Segoe UI" w:cs="Segoe UI"/>
          <w:bCs/>
          <w:color w:val="auto"/>
          <w:sz w:val="20"/>
        </w:rPr>
        <w:t>2</w:t>
      </w:r>
      <w:r w:rsidR="00036D9B" w:rsidRPr="00D43F30">
        <w:rPr>
          <w:rFonts w:ascii="Segoe UI" w:hAnsi="Segoe UI" w:cs="Segoe UI"/>
          <w:bCs/>
          <w:color w:val="auto"/>
          <w:sz w:val="20"/>
        </w:rPr>
        <w:t>. 20</w:t>
      </w:r>
      <w:r w:rsidR="005C1355" w:rsidRPr="00D43F30">
        <w:rPr>
          <w:rFonts w:ascii="Segoe UI" w:hAnsi="Segoe UI" w:cs="Segoe UI"/>
          <w:bCs/>
          <w:color w:val="auto"/>
          <w:sz w:val="20"/>
        </w:rPr>
        <w:t>2</w:t>
      </w:r>
      <w:r w:rsidR="006A49F7" w:rsidRPr="00D43F30">
        <w:rPr>
          <w:rFonts w:ascii="Segoe UI" w:hAnsi="Segoe UI" w:cs="Segoe UI"/>
          <w:bCs/>
          <w:color w:val="auto"/>
          <w:sz w:val="20"/>
        </w:rPr>
        <w:t>0</w:t>
      </w:r>
      <w:r w:rsidR="00036D9B" w:rsidRPr="00D43F30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993484" w:rsidRPr="00D43F30">
        <w:rPr>
          <w:rFonts w:ascii="Segoe UI" w:hAnsi="Segoe UI" w:cs="Segoe UI"/>
          <w:bCs/>
          <w:color w:val="auto"/>
          <w:sz w:val="20"/>
        </w:rPr>
        <w:t>1</w:t>
      </w:r>
      <w:r w:rsidR="00D43F30" w:rsidRPr="00D43F30">
        <w:rPr>
          <w:rFonts w:ascii="Segoe UI" w:hAnsi="Segoe UI" w:cs="Segoe UI"/>
          <w:bCs/>
          <w:color w:val="auto"/>
          <w:sz w:val="20"/>
        </w:rPr>
        <w:t>5</w:t>
      </w:r>
      <w:r w:rsidR="00036D9B" w:rsidRPr="00D43F30">
        <w:rPr>
          <w:rFonts w:ascii="Segoe UI" w:hAnsi="Segoe UI" w:cs="Segoe UI"/>
          <w:bCs/>
          <w:color w:val="auto"/>
          <w:sz w:val="20"/>
        </w:rPr>
        <w:t>.</w:t>
      </w:r>
      <w:r w:rsidR="003606A7" w:rsidRPr="00D43F30">
        <w:rPr>
          <w:rFonts w:ascii="Segoe UI" w:hAnsi="Segoe UI" w:cs="Segoe UI"/>
          <w:bCs/>
          <w:color w:val="auto"/>
          <w:sz w:val="20"/>
        </w:rPr>
        <w:t xml:space="preserve"> </w:t>
      </w:r>
      <w:r w:rsidR="00D43F30" w:rsidRPr="00D43F30">
        <w:rPr>
          <w:rFonts w:ascii="Segoe UI" w:hAnsi="Segoe UI" w:cs="Segoe UI"/>
          <w:bCs/>
          <w:color w:val="auto"/>
          <w:sz w:val="20"/>
        </w:rPr>
        <w:t>9</w:t>
      </w:r>
      <w:r w:rsidR="00036D9B" w:rsidRPr="00D43F30">
        <w:rPr>
          <w:rFonts w:ascii="Segoe UI" w:hAnsi="Segoe UI" w:cs="Segoe UI"/>
          <w:bCs/>
          <w:color w:val="auto"/>
          <w:sz w:val="20"/>
        </w:rPr>
        <w:t>. 20</w:t>
      </w:r>
      <w:r w:rsidR="00776F45" w:rsidRPr="00D43F30">
        <w:rPr>
          <w:rFonts w:ascii="Segoe UI" w:hAnsi="Segoe UI" w:cs="Segoe UI"/>
          <w:bCs/>
          <w:color w:val="auto"/>
          <w:sz w:val="20"/>
        </w:rPr>
        <w:t>2</w:t>
      </w:r>
      <w:r w:rsidR="00993484" w:rsidRPr="00D43F30">
        <w:rPr>
          <w:rFonts w:ascii="Segoe UI" w:hAnsi="Segoe UI" w:cs="Segoe UI"/>
          <w:bCs/>
          <w:color w:val="auto"/>
          <w:sz w:val="20"/>
        </w:rPr>
        <w:t>2</w:t>
      </w:r>
      <w:r w:rsidR="00CC67C1" w:rsidRPr="00D43F30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D43F30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D43F30">
        <w:rPr>
          <w:rFonts w:ascii="Segoe UI" w:hAnsi="Segoe UI" w:cs="Segoe UI"/>
          <w:bCs/>
          <w:color w:val="auto"/>
          <w:sz w:val="20"/>
        </w:rPr>
        <w:t xml:space="preserve">tj. </w:t>
      </w:r>
      <w:r w:rsidR="00D43F30" w:rsidRPr="00D43F30">
        <w:rPr>
          <w:rFonts w:ascii="Segoe UI" w:hAnsi="Segoe UI" w:cs="Segoe UI"/>
          <w:bCs/>
          <w:color w:val="auto"/>
          <w:sz w:val="20"/>
        </w:rPr>
        <w:t>dojde k rozšíření akumulační komory stávajícího vodojemu pro posílení jeho kapacity</w:t>
      </w:r>
      <w:r w:rsidR="0072639A" w:rsidRPr="00D43F30">
        <w:rPr>
          <w:rFonts w:ascii="Segoe UI" w:hAnsi="Segoe UI" w:cs="Segoe UI"/>
          <w:bCs/>
          <w:color w:val="auto"/>
          <w:sz w:val="20"/>
        </w:rPr>
        <w:t>,</w:t>
      </w:r>
    </w:p>
    <w:p w:rsidR="00322F3D" w:rsidRPr="00803DCB" w:rsidRDefault="00322F3D" w:rsidP="00322F3D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</w:t>
      </w:r>
      <w:r w:rsidR="00632D0D">
        <w:rPr>
          <w:rFonts w:ascii="Segoe UI" w:hAnsi="Segoe UI" w:cs="Segoe UI"/>
          <w:bCs/>
          <w:sz w:val="20"/>
        </w:rPr>
        <w:t>ku</w:t>
      </w:r>
      <w:r w:rsidRPr="003963B1">
        <w:rPr>
          <w:rFonts w:ascii="Segoe UI" w:hAnsi="Segoe UI" w:cs="Segoe UI"/>
          <w:bCs/>
          <w:sz w:val="20"/>
        </w:rPr>
        <w:t>, je</w:t>
      </w:r>
      <w:r w:rsidR="00632D0D">
        <w:rPr>
          <w:rFonts w:ascii="Segoe UI" w:hAnsi="Segoe UI" w:cs="Segoe UI"/>
          <w:bCs/>
          <w:sz w:val="20"/>
        </w:rPr>
        <w:t>hož</w:t>
      </w:r>
      <w:r w:rsidRPr="003963B1">
        <w:rPr>
          <w:rFonts w:ascii="Segoe UI" w:hAnsi="Segoe UI" w:cs="Segoe UI"/>
          <w:bCs/>
          <w:sz w:val="20"/>
        </w:rPr>
        <w:t xml:space="preserve">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</w:t>
      </w:r>
      <w:r>
        <w:rPr>
          <w:rFonts w:ascii="Segoe UI" w:hAnsi="Segoe UI" w:cs="Segoe UI"/>
          <w:bCs/>
          <w:sz w:val="20"/>
        </w:rPr>
        <w:t>)</w:t>
      </w:r>
      <w:r w:rsidRPr="00803DCB">
        <w:rPr>
          <w:rFonts w:ascii="Segoe UI" w:hAnsi="Segoe UI" w:cs="Segoe UI"/>
          <w:bCs/>
          <w:color w:val="auto"/>
          <w:sz w:val="20"/>
        </w:rPr>
        <w:t xml:space="preserve">, 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D43F30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D43F30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A82ACC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43F30">
        <w:rPr>
          <w:rFonts w:ascii="Segoe UI" w:hAnsi="Segoe UI" w:cs="Segoe UI"/>
          <w:color w:val="000000" w:themeColor="text1"/>
          <w:sz w:val="20"/>
        </w:rPr>
        <w:t>7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632D0D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D43F30">
        <w:rPr>
          <w:rFonts w:ascii="Segoe UI" w:hAnsi="Segoe UI" w:cs="Segoe UI"/>
          <w:color w:val="000000" w:themeColor="text1"/>
          <w:sz w:val="20"/>
        </w:rPr>
        <w:t>7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D43F30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color w:val="000000" w:themeColor="text1"/>
          <w:sz w:val="20"/>
        </w:rPr>
        <w:lastRenderedPageBreak/>
        <w:t>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801490" w:rsidRDefault="00D43F30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kolaudační souhlas</w:t>
      </w:r>
      <w:r w:rsidR="0029046B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40" w:rsidRDefault="00794240">
      <w:r>
        <w:separator/>
      </w:r>
    </w:p>
  </w:endnote>
  <w:endnote w:type="continuationSeparator" w:id="0">
    <w:p w:rsidR="00794240" w:rsidRDefault="007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35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3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40" w:rsidRDefault="00794240">
      <w:r>
        <w:separator/>
      </w:r>
    </w:p>
  </w:footnote>
  <w:footnote w:type="continuationSeparator" w:id="0">
    <w:p w:rsidR="00794240" w:rsidRDefault="0079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52F2"/>
    <w:rsid w:val="000567AC"/>
    <w:rsid w:val="000628CF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0804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E9E"/>
    <w:rsid w:val="0016247F"/>
    <w:rsid w:val="001635BB"/>
    <w:rsid w:val="00164BF6"/>
    <w:rsid w:val="00171162"/>
    <w:rsid w:val="001731CC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29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0F69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4EB2"/>
    <w:rsid w:val="00275A3C"/>
    <w:rsid w:val="00277804"/>
    <w:rsid w:val="002817F9"/>
    <w:rsid w:val="00281F5C"/>
    <w:rsid w:val="00282727"/>
    <w:rsid w:val="0028486F"/>
    <w:rsid w:val="00286404"/>
    <w:rsid w:val="00286B2D"/>
    <w:rsid w:val="00286FF0"/>
    <w:rsid w:val="00290371"/>
    <w:rsid w:val="0029046B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4CC0"/>
    <w:rsid w:val="00306618"/>
    <w:rsid w:val="0030762D"/>
    <w:rsid w:val="00311F91"/>
    <w:rsid w:val="003124D2"/>
    <w:rsid w:val="0031533F"/>
    <w:rsid w:val="00322F3D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56A0"/>
    <w:rsid w:val="00355C13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86618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1FD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2D0D"/>
    <w:rsid w:val="006353FD"/>
    <w:rsid w:val="0063721B"/>
    <w:rsid w:val="00641850"/>
    <w:rsid w:val="00642617"/>
    <w:rsid w:val="0064411B"/>
    <w:rsid w:val="00644633"/>
    <w:rsid w:val="0064685C"/>
    <w:rsid w:val="00646D14"/>
    <w:rsid w:val="00646D8B"/>
    <w:rsid w:val="006476E6"/>
    <w:rsid w:val="00647BAD"/>
    <w:rsid w:val="00650103"/>
    <w:rsid w:val="00651841"/>
    <w:rsid w:val="0065240A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A49F7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2C52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240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89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490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3773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D6917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5A1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667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3484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5633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5CFC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2ACC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4D16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6BF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1735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3F30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217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17"/>
    <w:rsid w:val="00E53750"/>
    <w:rsid w:val="00E55813"/>
    <w:rsid w:val="00E55B7C"/>
    <w:rsid w:val="00E55C4B"/>
    <w:rsid w:val="00E55E93"/>
    <w:rsid w:val="00E56B1C"/>
    <w:rsid w:val="00E60C39"/>
    <w:rsid w:val="00E6207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A38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7FE9-CA55-493E-92F8-6558409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2763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18914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2022-07-07T11:14:00Z</cp:lastPrinted>
  <dcterms:created xsi:type="dcterms:W3CDTF">2022-10-06T11:21:00Z</dcterms:created>
  <dcterms:modified xsi:type="dcterms:W3CDTF">2022-10-06T11:21:00Z</dcterms:modified>
</cp:coreProperties>
</file>