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F139" w14:textId="77777777" w:rsidR="00B027B5" w:rsidRPr="00B027B5" w:rsidRDefault="00B027B5" w:rsidP="00B027B5">
      <w:pPr>
        <w:keepNext/>
        <w:keepLines/>
        <w:numPr>
          <w:ilvl w:val="12"/>
          <w:numId w:val="0"/>
        </w:numPr>
        <w:spacing w:after="0" w:line="240" w:lineRule="atLeast"/>
        <w:jc w:val="center"/>
        <w:rPr>
          <w:rFonts w:eastAsia="Times New Roman" w:cs="Times New Roman"/>
          <w:b/>
          <w:bCs/>
          <w:lang w:eastAsia="cs-CZ"/>
        </w:rPr>
      </w:pPr>
      <w:r w:rsidRPr="00B027B5">
        <w:rPr>
          <w:rFonts w:eastAsia="Times New Roman" w:cs="Times New Roman"/>
          <w:b/>
          <w:bCs/>
          <w:lang w:eastAsia="cs-CZ"/>
        </w:rPr>
        <w:t>S M L O U V A   O   D Í L O</w:t>
      </w:r>
    </w:p>
    <w:p w14:paraId="182AE03E" w14:textId="77777777" w:rsidR="00B027B5" w:rsidRPr="00B027B5" w:rsidRDefault="00B027B5" w:rsidP="00B027B5">
      <w:pPr>
        <w:keepNext/>
        <w:numPr>
          <w:ilvl w:val="12"/>
          <w:numId w:val="0"/>
        </w:numPr>
        <w:spacing w:after="0" w:line="240" w:lineRule="atLeast"/>
        <w:rPr>
          <w:rFonts w:eastAsia="Times New Roman" w:cs="Times New Roman"/>
          <w:b/>
          <w:bCs/>
          <w:lang w:eastAsia="cs-CZ"/>
        </w:rPr>
      </w:pPr>
    </w:p>
    <w:p w14:paraId="3FE95768" w14:textId="6714BB45" w:rsidR="00B027B5" w:rsidRPr="00B027B5" w:rsidRDefault="00B027B5" w:rsidP="00B027B5">
      <w:pPr>
        <w:keepNext/>
        <w:spacing w:after="0" w:line="240" w:lineRule="atLeast"/>
        <w:jc w:val="center"/>
        <w:rPr>
          <w:rFonts w:eastAsia="Times New Roman" w:cs="Times New Roman"/>
          <w:b/>
          <w:lang w:eastAsia="cs-CZ"/>
        </w:rPr>
      </w:pPr>
      <w:r w:rsidRPr="00B027B5">
        <w:rPr>
          <w:rFonts w:eastAsia="Times New Roman" w:cs="Times New Roman"/>
          <w:bCs/>
          <w:lang w:eastAsia="cs-CZ"/>
        </w:rPr>
        <w:t>číslo smlouvy objednatele:</w:t>
      </w:r>
      <w:r w:rsidRPr="00B027B5">
        <w:rPr>
          <w:rFonts w:eastAsia="Times New Roman" w:cs="Times New Roman"/>
          <w:b/>
          <w:lang w:eastAsia="cs-CZ"/>
        </w:rPr>
        <w:t xml:space="preserve"> </w:t>
      </w:r>
      <w:r w:rsidR="00773BB7" w:rsidRPr="00773BB7">
        <w:rPr>
          <w:rFonts w:eastAsia="Times New Roman" w:cs="Times New Roman"/>
          <w:b/>
          <w:lang w:eastAsia="cs-CZ"/>
        </w:rPr>
        <w:t>DIL/01/01/002169/2022</w:t>
      </w:r>
    </w:p>
    <w:p w14:paraId="75CB030D" w14:textId="77777777" w:rsidR="00B027B5" w:rsidRPr="00B027B5" w:rsidRDefault="00B027B5" w:rsidP="00B027B5">
      <w:pPr>
        <w:keepNext/>
        <w:spacing w:after="0" w:line="240" w:lineRule="atLeast"/>
        <w:jc w:val="center"/>
        <w:rPr>
          <w:rFonts w:eastAsia="Times New Roman" w:cs="Times New Roman"/>
          <w:bCs/>
          <w:lang w:eastAsia="cs-CZ"/>
        </w:rPr>
      </w:pPr>
      <w:r w:rsidRPr="00B027B5">
        <w:rPr>
          <w:rFonts w:eastAsia="Times New Roman" w:cs="Times New Roman"/>
          <w:bCs/>
          <w:lang w:eastAsia="cs-CZ"/>
        </w:rPr>
        <w:t>číslo smlouvy zhotovitele:</w:t>
      </w:r>
      <w:permStart w:id="519599749" w:edGrp="everyone"/>
    </w:p>
    <w:permEnd w:id="519599749"/>
    <w:p w14:paraId="3BA20D54" w14:textId="14BBE945" w:rsidR="00A6510C" w:rsidRDefault="00A6510C" w:rsidP="00B027B5">
      <w:pPr>
        <w:keepNext/>
        <w:overflowPunct w:val="0"/>
        <w:autoSpaceDE w:val="0"/>
        <w:autoSpaceDN w:val="0"/>
        <w:adjustRightInd w:val="0"/>
        <w:spacing w:after="0" w:line="240" w:lineRule="atLeast"/>
        <w:jc w:val="center"/>
        <w:textAlignment w:val="baseline"/>
        <w:rPr>
          <w:rFonts w:eastAsia="Times New Roman" w:cs="Times New Roman"/>
          <w:b/>
          <w:bCs/>
          <w:lang w:eastAsia="cs-CZ"/>
        </w:rPr>
      </w:pPr>
      <w:r w:rsidRPr="00A6510C">
        <w:rPr>
          <w:rFonts w:eastAsia="Times New Roman" w:cs="Times New Roman"/>
          <w:b/>
          <w:bCs/>
          <w:lang w:eastAsia="cs-CZ"/>
        </w:rPr>
        <w:t xml:space="preserve">(dále jen </w:t>
      </w:r>
      <w:r w:rsidRPr="009D1D5D">
        <w:rPr>
          <w:rFonts w:eastAsia="Times New Roman" w:cs="Times New Roman"/>
          <w:b/>
          <w:bCs/>
          <w:i/>
          <w:iCs/>
          <w:lang w:eastAsia="cs-CZ"/>
        </w:rPr>
        <w:t>„smlouva“)</w:t>
      </w:r>
    </w:p>
    <w:p w14:paraId="0840F480" w14:textId="08690E71" w:rsidR="00B027B5" w:rsidRPr="00B027B5" w:rsidRDefault="00B027B5" w:rsidP="00B027B5">
      <w:pPr>
        <w:keepNext/>
        <w:overflowPunct w:val="0"/>
        <w:autoSpaceDE w:val="0"/>
        <w:autoSpaceDN w:val="0"/>
        <w:adjustRightInd w:val="0"/>
        <w:spacing w:after="0" w:line="240" w:lineRule="atLeast"/>
        <w:jc w:val="center"/>
        <w:textAlignment w:val="baseline"/>
        <w:rPr>
          <w:rFonts w:eastAsia="Times New Roman" w:cs="Times New Roman"/>
          <w:b/>
          <w:bCs/>
          <w:lang w:eastAsia="cs-CZ"/>
        </w:rPr>
      </w:pPr>
      <w:r w:rsidRPr="00B027B5">
        <w:rPr>
          <w:rFonts w:eastAsia="Times New Roman" w:cs="Times New Roman"/>
          <w:b/>
          <w:bCs/>
          <w:lang w:eastAsia="cs-CZ"/>
        </w:rPr>
        <w:t>uzavřená níže psaného dne měsíce a roku podle ustanovení § 2586 a násl. zákona č. 89/2012 Sb. občanský zákoník, v</w:t>
      </w:r>
      <w:r w:rsidR="00911427">
        <w:rPr>
          <w:rFonts w:eastAsia="Times New Roman" w:cs="Times New Roman"/>
          <w:b/>
          <w:bCs/>
          <w:lang w:eastAsia="cs-CZ"/>
        </w:rPr>
        <w:t>e znění pozdějších předpisů</w:t>
      </w:r>
      <w:r w:rsidRPr="00B027B5">
        <w:rPr>
          <w:rFonts w:eastAsia="Times New Roman" w:cs="Times New Roman"/>
          <w:b/>
          <w:bCs/>
          <w:lang w:eastAsia="cs-CZ"/>
        </w:rPr>
        <w:t xml:space="preserve"> (dále jen </w:t>
      </w:r>
      <w:r w:rsidRPr="009D1D5D">
        <w:rPr>
          <w:rFonts w:eastAsia="Times New Roman" w:cs="Times New Roman"/>
          <w:b/>
          <w:bCs/>
          <w:i/>
          <w:iCs/>
          <w:lang w:eastAsia="cs-CZ"/>
        </w:rPr>
        <w:t>„OZ“</w:t>
      </w:r>
      <w:r w:rsidRPr="00B027B5">
        <w:rPr>
          <w:rFonts w:eastAsia="Times New Roman" w:cs="Times New Roman"/>
          <w:b/>
          <w:bCs/>
          <w:lang w:eastAsia="cs-CZ"/>
        </w:rPr>
        <w:t>), mezi smluvními stranami:</w:t>
      </w:r>
    </w:p>
    <w:p w14:paraId="3EF07FD5" w14:textId="77777777" w:rsidR="00B027B5" w:rsidRPr="00B027B5" w:rsidRDefault="00B027B5" w:rsidP="00B027B5">
      <w:pPr>
        <w:keepNext/>
        <w:tabs>
          <w:tab w:val="left" w:pos="720"/>
        </w:tabs>
        <w:spacing w:after="0" w:line="120" w:lineRule="atLeast"/>
        <w:ind w:left="360"/>
        <w:jc w:val="both"/>
        <w:rPr>
          <w:rFonts w:eastAsia="Times New Roman" w:cs="Times New Roman"/>
          <w:lang w:eastAsia="cs-CZ"/>
        </w:rPr>
      </w:pPr>
    </w:p>
    <w:p w14:paraId="2B64E419" w14:textId="471293B3" w:rsidR="00B027B5" w:rsidRPr="00B027B5" w:rsidRDefault="00B027B5" w:rsidP="00B027B5">
      <w:pPr>
        <w:keepNext/>
        <w:tabs>
          <w:tab w:val="left" w:pos="-1985"/>
        </w:tabs>
        <w:spacing w:after="0" w:line="240" w:lineRule="atLeast"/>
        <w:jc w:val="center"/>
        <w:outlineLvl w:val="0"/>
        <w:rPr>
          <w:rFonts w:eastAsia="Times New Roman" w:cs="Times New Roman"/>
          <w:b/>
          <w:spacing w:val="20"/>
          <w:lang w:eastAsia="cs-CZ"/>
        </w:rPr>
      </w:pPr>
      <w:r w:rsidRPr="00B027B5">
        <w:rPr>
          <w:rFonts w:eastAsia="Times New Roman" w:cs="Times New Roman"/>
          <w:b/>
          <w:spacing w:val="20"/>
          <w:lang w:eastAsia="cs-CZ"/>
        </w:rPr>
        <w:t xml:space="preserve">Hlavní město </w:t>
      </w:r>
      <w:r w:rsidR="004B4D40">
        <w:rPr>
          <w:rFonts w:eastAsia="Times New Roman" w:cs="Times New Roman"/>
          <w:b/>
          <w:spacing w:val="20"/>
          <w:lang w:eastAsia="cs-CZ"/>
        </w:rPr>
        <w:t>Praha</w:t>
      </w:r>
    </w:p>
    <w:p w14:paraId="588F6521" w14:textId="77777777" w:rsidR="00B027B5" w:rsidRPr="00B027B5" w:rsidRDefault="00B027B5" w:rsidP="00B027B5">
      <w:pPr>
        <w:keepNext/>
        <w:tabs>
          <w:tab w:val="left" w:pos="-1985"/>
        </w:tabs>
        <w:spacing w:after="0" w:line="120" w:lineRule="atLeast"/>
        <w:jc w:val="center"/>
        <w:rPr>
          <w:rFonts w:eastAsia="Times New Roman" w:cs="Times New Roman"/>
          <w:lang w:eastAsia="cs-CZ"/>
        </w:rPr>
      </w:pPr>
      <w:r w:rsidRPr="00B027B5">
        <w:rPr>
          <w:rFonts w:eastAsia="Times New Roman" w:cs="Times New Roman"/>
          <w:lang w:eastAsia="cs-CZ"/>
        </w:rPr>
        <w:t>Mariánské nám. 2, 110 01 Praha 1</w:t>
      </w:r>
    </w:p>
    <w:p w14:paraId="102778DC" w14:textId="5830F325" w:rsidR="00B027B5" w:rsidRDefault="00B027B5" w:rsidP="00B027B5">
      <w:pPr>
        <w:keepNext/>
        <w:numPr>
          <w:ilvl w:val="12"/>
          <w:numId w:val="0"/>
        </w:numPr>
        <w:spacing w:after="0" w:line="120" w:lineRule="atLeast"/>
        <w:ind w:left="851" w:hanging="851"/>
        <w:jc w:val="center"/>
        <w:outlineLvl w:val="1"/>
        <w:rPr>
          <w:rFonts w:eastAsia="Times New Roman" w:cs="Times New Roman"/>
          <w:lang w:eastAsia="cs-CZ"/>
        </w:rPr>
      </w:pPr>
      <w:r w:rsidRPr="00B027B5">
        <w:rPr>
          <w:rFonts w:eastAsia="Times New Roman" w:cs="Times New Roman"/>
          <w:lang w:eastAsia="cs-CZ"/>
        </w:rPr>
        <w:t>IČO: 00064581, DIČ: CZ 00064581</w:t>
      </w:r>
    </w:p>
    <w:p w14:paraId="68ECB618" w14:textId="316278CA" w:rsidR="00911427" w:rsidRPr="00B027B5" w:rsidRDefault="00911427" w:rsidP="00B027B5">
      <w:pPr>
        <w:keepNext/>
        <w:numPr>
          <w:ilvl w:val="12"/>
          <w:numId w:val="0"/>
        </w:numPr>
        <w:spacing w:after="0" w:line="120" w:lineRule="atLeast"/>
        <w:ind w:left="851" w:hanging="851"/>
        <w:jc w:val="center"/>
        <w:outlineLvl w:val="1"/>
        <w:rPr>
          <w:rFonts w:eastAsia="Times New Roman" w:cs="Times New Roman"/>
          <w:lang w:eastAsia="cs-CZ"/>
        </w:rPr>
      </w:pPr>
      <w:r>
        <w:rPr>
          <w:rFonts w:eastAsia="Times New Roman" w:cs="Times New Roman"/>
          <w:lang w:eastAsia="cs-CZ"/>
        </w:rPr>
        <w:t>ID DS:</w:t>
      </w:r>
      <w:r w:rsidRPr="00911427">
        <w:t xml:space="preserve"> </w:t>
      </w:r>
      <w:r w:rsidRPr="00911427">
        <w:rPr>
          <w:rFonts w:eastAsia="Times New Roman" w:cs="Times New Roman"/>
          <w:lang w:eastAsia="cs-CZ"/>
        </w:rPr>
        <w:t>48ia97h</w:t>
      </w:r>
    </w:p>
    <w:p w14:paraId="5554498A" w14:textId="77777777" w:rsidR="00B027B5" w:rsidRPr="00B027B5" w:rsidRDefault="00B027B5" w:rsidP="00B027B5">
      <w:pPr>
        <w:keepNext/>
        <w:numPr>
          <w:ilvl w:val="12"/>
          <w:numId w:val="0"/>
        </w:numPr>
        <w:spacing w:after="0" w:line="120" w:lineRule="atLeast"/>
        <w:jc w:val="center"/>
        <w:rPr>
          <w:rFonts w:eastAsia="Times New Roman" w:cs="Times New Roman"/>
          <w:lang w:eastAsia="cs-CZ"/>
        </w:rPr>
      </w:pPr>
      <w:r w:rsidRPr="00B027B5">
        <w:rPr>
          <w:rFonts w:eastAsia="Times New Roman" w:cs="Times New Roman"/>
          <w:lang w:eastAsia="cs-CZ"/>
        </w:rPr>
        <w:t>bankovní spojení: PPF banka a.s., číslo účtu: 27-5157998 / 6000</w:t>
      </w:r>
    </w:p>
    <w:p w14:paraId="1D962720" w14:textId="77777777" w:rsidR="00B027B5" w:rsidRPr="00B027B5" w:rsidRDefault="00B027B5" w:rsidP="00B027B5">
      <w:pPr>
        <w:keepNext/>
        <w:numPr>
          <w:ilvl w:val="12"/>
          <w:numId w:val="0"/>
        </w:numPr>
        <w:spacing w:after="0" w:line="120" w:lineRule="atLeast"/>
        <w:ind w:left="284" w:hanging="284"/>
        <w:jc w:val="center"/>
        <w:rPr>
          <w:rFonts w:eastAsia="Times New Roman" w:cs="Times New Roman"/>
          <w:lang w:eastAsia="cs-CZ"/>
        </w:rPr>
      </w:pPr>
      <w:r w:rsidRPr="00B027B5">
        <w:rPr>
          <w:rFonts w:eastAsia="Times New Roman" w:cs="Times New Roman"/>
          <w:bCs/>
          <w:lang w:eastAsia="cs-CZ"/>
        </w:rPr>
        <w:t>zastoupené</w:t>
      </w:r>
      <w:r w:rsidRPr="00B027B5">
        <w:rPr>
          <w:rFonts w:eastAsia="Times New Roman" w:cs="Times New Roman"/>
          <w:lang w:eastAsia="cs-CZ"/>
        </w:rPr>
        <w:t>: Ing</w:t>
      </w:r>
      <w:r w:rsidR="00ED34C4">
        <w:rPr>
          <w:rFonts w:eastAsia="Times New Roman" w:cs="Times New Roman"/>
          <w:lang w:eastAsia="cs-CZ"/>
        </w:rPr>
        <w:t>. Lukášem Stránským, pověřeným řízením</w:t>
      </w:r>
      <w:r w:rsidRPr="00B027B5">
        <w:rPr>
          <w:rFonts w:eastAsia="Times New Roman" w:cs="Times New Roman"/>
          <w:lang w:eastAsia="cs-CZ"/>
        </w:rPr>
        <w:t xml:space="preserve"> odboru služeb Magistrátu hl. m. Prahy</w:t>
      </w:r>
    </w:p>
    <w:p w14:paraId="2467B0FF" w14:textId="77777777" w:rsidR="00B027B5" w:rsidRPr="00B027B5" w:rsidRDefault="00B027B5" w:rsidP="00B027B5">
      <w:pPr>
        <w:keepNext/>
        <w:numPr>
          <w:ilvl w:val="12"/>
          <w:numId w:val="0"/>
        </w:numPr>
        <w:spacing w:after="0" w:line="120" w:lineRule="atLeast"/>
        <w:ind w:left="284" w:hanging="284"/>
        <w:jc w:val="center"/>
        <w:rPr>
          <w:rFonts w:eastAsia="Times New Roman" w:cs="Times New Roman"/>
          <w:lang w:eastAsia="cs-CZ"/>
        </w:rPr>
      </w:pPr>
      <w:r w:rsidRPr="00B027B5">
        <w:rPr>
          <w:rFonts w:eastAsia="Times New Roman" w:cs="Times New Roman"/>
          <w:lang w:eastAsia="cs-CZ"/>
        </w:rPr>
        <w:t xml:space="preserve">(dále jen </w:t>
      </w:r>
      <w:r w:rsidRPr="009D1D5D">
        <w:rPr>
          <w:rFonts w:eastAsia="Times New Roman" w:cs="Times New Roman"/>
          <w:b/>
          <w:bCs/>
          <w:i/>
          <w:iCs/>
          <w:lang w:eastAsia="cs-CZ"/>
        </w:rPr>
        <w:t>"objednatel"</w:t>
      </w:r>
      <w:r w:rsidRPr="00B027B5">
        <w:rPr>
          <w:rFonts w:eastAsia="Times New Roman" w:cs="Times New Roman"/>
          <w:lang w:eastAsia="cs-CZ"/>
        </w:rPr>
        <w:t>)</w:t>
      </w:r>
    </w:p>
    <w:p w14:paraId="38FDED38" w14:textId="77777777" w:rsidR="00B027B5" w:rsidRPr="00B027B5" w:rsidRDefault="00B027B5" w:rsidP="00B027B5">
      <w:pPr>
        <w:keepNext/>
        <w:numPr>
          <w:ilvl w:val="12"/>
          <w:numId w:val="0"/>
        </w:numPr>
        <w:spacing w:after="0" w:line="240" w:lineRule="atLeast"/>
        <w:jc w:val="center"/>
        <w:rPr>
          <w:rFonts w:eastAsia="Times New Roman" w:cs="Times New Roman"/>
          <w:b/>
          <w:lang w:eastAsia="cs-CZ"/>
        </w:rPr>
      </w:pPr>
    </w:p>
    <w:p w14:paraId="00825B3C" w14:textId="77777777" w:rsidR="00B027B5" w:rsidRPr="00B027B5" w:rsidRDefault="00B027B5" w:rsidP="00B027B5">
      <w:pPr>
        <w:keepNext/>
        <w:numPr>
          <w:ilvl w:val="12"/>
          <w:numId w:val="0"/>
        </w:numPr>
        <w:spacing w:after="0" w:line="240" w:lineRule="atLeast"/>
        <w:jc w:val="center"/>
        <w:rPr>
          <w:rFonts w:eastAsia="Times New Roman" w:cs="Times New Roman"/>
          <w:b/>
          <w:lang w:eastAsia="cs-CZ"/>
        </w:rPr>
      </w:pPr>
      <w:r w:rsidRPr="00B027B5">
        <w:rPr>
          <w:rFonts w:eastAsia="Times New Roman" w:cs="Times New Roman"/>
          <w:b/>
          <w:lang w:eastAsia="cs-CZ"/>
        </w:rPr>
        <w:t>a</w:t>
      </w:r>
    </w:p>
    <w:p w14:paraId="23F2B0C4" w14:textId="77777777" w:rsidR="00B027B5" w:rsidRPr="00B027B5" w:rsidRDefault="00B027B5" w:rsidP="00B027B5">
      <w:pPr>
        <w:keepNext/>
        <w:numPr>
          <w:ilvl w:val="12"/>
          <w:numId w:val="0"/>
        </w:numPr>
        <w:spacing w:after="0" w:line="240" w:lineRule="atLeast"/>
        <w:jc w:val="center"/>
        <w:rPr>
          <w:rFonts w:eastAsia="Times New Roman" w:cs="Times New Roman"/>
          <w:b/>
          <w:lang w:eastAsia="cs-CZ"/>
        </w:rPr>
      </w:pPr>
    </w:p>
    <w:p w14:paraId="307409E0" w14:textId="2A4624AC" w:rsidR="00B027B5" w:rsidRPr="00B027B5" w:rsidRDefault="00B027B5" w:rsidP="00B027B5">
      <w:pPr>
        <w:keepNext/>
        <w:spacing w:after="0" w:line="120" w:lineRule="atLeast"/>
        <w:jc w:val="center"/>
        <w:rPr>
          <w:rFonts w:eastAsia="Times New Roman" w:cs="Times New Roman"/>
          <w:b/>
          <w:lang w:eastAsia="cs-CZ"/>
        </w:rPr>
      </w:pPr>
      <w:r w:rsidRPr="00B027B5">
        <w:rPr>
          <w:rFonts w:eastAsia="Times New Roman" w:cs="Times New Roman"/>
          <w:b/>
          <w:lang w:eastAsia="cs-CZ"/>
        </w:rPr>
        <w:t>firma</w:t>
      </w:r>
      <w:permStart w:id="1844007813" w:edGrp="everyone"/>
      <w:r w:rsidR="00773BB7">
        <w:rPr>
          <w:rFonts w:eastAsia="Times New Roman" w:cs="Times New Roman"/>
          <w:b/>
          <w:lang w:eastAsia="cs-CZ"/>
        </w:rPr>
        <w:t xml:space="preserve">: </w:t>
      </w:r>
      <w:r w:rsidR="00773BB7" w:rsidRPr="00773BB7">
        <w:rPr>
          <w:rFonts w:eastAsia="Times New Roman" w:cs="Times New Roman"/>
          <w:b/>
          <w:lang w:eastAsia="cs-CZ"/>
        </w:rPr>
        <w:t>IMPERCOMM, spol. s r.o.</w:t>
      </w:r>
      <w:r w:rsidRPr="00B027B5">
        <w:rPr>
          <w:rFonts w:eastAsia="Times New Roman" w:cs="Times New Roman"/>
          <w:b/>
          <w:lang w:eastAsia="cs-CZ"/>
        </w:rPr>
        <w:t xml:space="preserve"> </w:t>
      </w:r>
      <w:permEnd w:id="1844007813"/>
    </w:p>
    <w:p w14:paraId="6EAB9DF7" w14:textId="035BEE43" w:rsidR="00B027B5" w:rsidRPr="00B027B5" w:rsidRDefault="00B027B5" w:rsidP="00B027B5">
      <w:pPr>
        <w:keepNext/>
        <w:spacing w:after="0" w:line="120" w:lineRule="atLeast"/>
        <w:jc w:val="center"/>
        <w:outlineLvl w:val="4"/>
        <w:rPr>
          <w:rFonts w:eastAsia="Times New Roman" w:cs="Times New Roman"/>
          <w:i/>
          <w:lang w:eastAsia="cs-CZ"/>
        </w:rPr>
      </w:pPr>
      <w:r w:rsidRPr="00B027B5">
        <w:rPr>
          <w:rFonts w:eastAsia="Times New Roman" w:cs="Times New Roman"/>
          <w:lang w:eastAsia="cs-CZ"/>
        </w:rPr>
        <w:t>sídlo</w:t>
      </w:r>
      <w:permStart w:id="1299469966" w:edGrp="everyone"/>
      <w:r w:rsidR="00773BB7">
        <w:rPr>
          <w:rFonts w:eastAsia="Times New Roman" w:cs="Times New Roman"/>
          <w:lang w:eastAsia="cs-CZ"/>
        </w:rPr>
        <w:t>: Trojská 79/14, Praha 8, PSČ 182 00</w:t>
      </w:r>
    </w:p>
    <w:permEnd w:id="1299469966"/>
    <w:p w14:paraId="48D80F25" w14:textId="41B01EEC" w:rsidR="00B027B5" w:rsidRPr="00B027B5" w:rsidRDefault="00B027B5" w:rsidP="00B027B5">
      <w:pPr>
        <w:keepNext/>
        <w:numPr>
          <w:ilvl w:val="12"/>
          <w:numId w:val="0"/>
        </w:numPr>
        <w:tabs>
          <w:tab w:val="left" w:pos="5085"/>
        </w:tabs>
        <w:spacing w:after="0" w:line="120" w:lineRule="atLeast"/>
        <w:ind w:left="284" w:hanging="284"/>
        <w:jc w:val="center"/>
        <w:outlineLvl w:val="5"/>
        <w:rPr>
          <w:rFonts w:eastAsia="Times New Roman" w:cs="Times New Roman"/>
          <w:lang w:eastAsia="cs-CZ"/>
        </w:rPr>
      </w:pPr>
      <w:r w:rsidRPr="00B027B5">
        <w:rPr>
          <w:rFonts w:eastAsia="Times New Roman" w:cs="Times New Roman"/>
          <w:lang w:eastAsia="cs-CZ"/>
        </w:rPr>
        <w:t xml:space="preserve">IČO: </w:t>
      </w:r>
      <w:permStart w:id="1338056937" w:edGrp="everyone"/>
      <w:r w:rsidR="00773BB7" w:rsidRPr="00773BB7">
        <w:rPr>
          <w:rFonts w:eastAsia="Times New Roman" w:cs="Times New Roman"/>
          <w:lang w:eastAsia="cs-CZ"/>
        </w:rPr>
        <w:t>49446479</w:t>
      </w:r>
    </w:p>
    <w:permEnd w:id="1338056937"/>
    <w:p w14:paraId="23C9CACC" w14:textId="26552ADE" w:rsidR="00B027B5" w:rsidRPr="00B027B5" w:rsidRDefault="00B027B5" w:rsidP="00B027B5">
      <w:pPr>
        <w:keepNext/>
        <w:numPr>
          <w:ilvl w:val="12"/>
          <w:numId w:val="0"/>
        </w:numPr>
        <w:tabs>
          <w:tab w:val="left" w:pos="5085"/>
        </w:tabs>
        <w:spacing w:after="0" w:line="120" w:lineRule="atLeast"/>
        <w:ind w:left="284" w:hanging="284"/>
        <w:jc w:val="center"/>
        <w:outlineLvl w:val="5"/>
        <w:rPr>
          <w:rFonts w:eastAsia="Times New Roman" w:cs="Times New Roman"/>
          <w:i/>
          <w:iCs/>
          <w:lang w:eastAsia="cs-CZ"/>
        </w:rPr>
      </w:pPr>
      <w:r w:rsidRPr="00B027B5">
        <w:rPr>
          <w:rFonts w:eastAsia="Times New Roman" w:cs="Times New Roman"/>
          <w:lang w:eastAsia="cs-CZ"/>
        </w:rPr>
        <w:t xml:space="preserve">DIČ: </w:t>
      </w:r>
      <w:permStart w:id="1427732466" w:edGrp="everyone"/>
      <w:r w:rsidR="00773BB7">
        <w:rPr>
          <w:rFonts w:eastAsia="Times New Roman" w:cs="Times New Roman"/>
          <w:lang w:eastAsia="cs-CZ"/>
        </w:rPr>
        <w:t>CZ</w:t>
      </w:r>
      <w:r w:rsidR="00773BB7" w:rsidRPr="00773BB7">
        <w:rPr>
          <w:rFonts w:eastAsia="Times New Roman" w:cs="Times New Roman"/>
          <w:lang w:eastAsia="cs-CZ"/>
        </w:rPr>
        <w:t>49446479</w:t>
      </w:r>
    </w:p>
    <w:permEnd w:id="1427732466"/>
    <w:p w14:paraId="605EC198" w14:textId="13A8616E" w:rsidR="00911427" w:rsidRDefault="00911427" w:rsidP="00773BB7">
      <w:pPr>
        <w:keepNext/>
        <w:numPr>
          <w:ilvl w:val="12"/>
          <w:numId w:val="0"/>
        </w:numPr>
        <w:spacing w:after="0" w:line="120" w:lineRule="atLeast"/>
        <w:jc w:val="center"/>
        <w:rPr>
          <w:rFonts w:eastAsia="Times New Roman" w:cs="Times New Roman"/>
          <w:lang w:eastAsia="cs-CZ"/>
        </w:rPr>
      </w:pPr>
      <w:r>
        <w:rPr>
          <w:rFonts w:eastAsia="Times New Roman" w:cs="Times New Roman"/>
          <w:lang w:eastAsia="cs-CZ"/>
        </w:rPr>
        <w:t xml:space="preserve">ID DS: </w:t>
      </w:r>
      <w:r w:rsidR="00773BB7" w:rsidRPr="00773BB7">
        <w:rPr>
          <w:rFonts w:eastAsia="Times New Roman" w:cs="Times New Roman"/>
          <w:lang w:eastAsia="cs-CZ"/>
        </w:rPr>
        <w:t>dz5gamt</w:t>
      </w:r>
    </w:p>
    <w:p w14:paraId="0F75AB1C" w14:textId="369052D5" w:rsidR="00B027B5" w:rsidRPr="00B027B5" w:rsidRDefault="00B027B5" w:rsidP="00B027B5">
      <w:pPr>
        <w:keepNext/>
        <w:numPr>
          <w:ilvl w:val="12"/>
          <w:numId w:val="0"/>
        </w:numPr>
        <w:spacing w:after="0" w:line="120" w:lineRule="atLeast"/>
        <w:jc w:val="center"/>
        <w:rPr>
          <w:rFonts w:eastAsia="Times New Roman" w:cs="Times New Roman"/>
          <w:lang w:eastAsia="cs-CZ"/>
        </w:rPr>
      </w:pPr>
      <w:r w:rsidRPr="00B027B5">
        <w:rPr>
          <w:rFonts w:eastAsia="Times New Roman" w:cs="Times New Roman"/>
          <w:lang w:eastAsia="cs-CZ"/>
        </w:rPr>
        <w:t>bankovní spojení</w:t>
      </w:r>
      <w:r w:rsidR="00773BB7">
        <w:rPr>
          <w:rFonts w:eastAsia="Times New Roman" w:cs="Times New Roman"/>
          <w:lang w:eastAsia="cs-CZ"/>
        </w:rPr>
        <w:t>: KB, a.s.,</w:t>
      </w:r>
      <w:r w:rsidRPr="00B027B5">
        <w:rPr>
          <w:rFonts w:eastAsia="Times New Roman" w:cs="Times New Roman"/>
          <w:lang w:eastAsia="cs-CZ"/>
        </w:rPr>
        <w:t xml:space="preserve"> číslo účtu</w:t>
      </w:r>
      <w:r w:rsidR="00773BB7">
        <w:rPr>
          <w:rFonts w:eastAsia="Times New Roman" w:cs="Times New Roman"/>
          <w:lang w:eastAsia="cs-CZ"/>
        </w:rPr>
        <w:t>: 107-1448730217/0100</w:t>
      </w:r>
      <w:r w:rsidRPr="00B027B5">
        <w:rPr>
          <w:rFonts w:eastAsia="Times New Roman" w:cs="Times New Roman"/>
          <w:lang w:eastAsia="cs-CZ"/>
        </w:rPr>
        <w:t xml:space="preserve"> </w:t>
      </w:r>
    </w:p>
    <w:p w14:paraId="30321116" w14:textId="292A5665" w:rsidR="00B027B5" w:rsidRPr="00B027B5" w:rsidRDefault="00B027B5" w:rsidP="00B027B5">
      <w:pPr>
        <w:keepNext/>
        <w:numPr>
          <w:ilvl w:val="12"/>
          <w:numId w:val="0"/>
        </w:numPr>
        <w:spacing w:after="0" w:line="120" w:lineRule="atLeast"/>
        <w:jc w:val="center"/>
        <w:rPr>
          <w:rFonts w:eastAsia="Times New Roman" w:cs="Times New Roman"/>
          <w:i/>
          <w:lang w:eastAsia="cs-CZ"/>
        </w:rPr>
      </w:pPr>
      <w:r w:rsidRPr="00B027B5">
        <w:rPr>
          <w:rFonts w:eastAsia="Times New Roman" w:cs="Times New Roman"/>
          <w:bCs/>
          <w:lang w:eastAsia="cs-CZ"/>
        </w:rPr>
        <w:t>zastoupená</w:t>
      </w:r>
      <w:permStart w:id="852123381" w:edGrp="everyone"/>
      <w:r w:rsidR="00773BB7">
        <w:rPr>
          <w:rFonts w:eastAsia="Times New Roman" w:cs="Times New Roman"/>
          <w:bCs/>
          <w:lang w:eastAsia="cs-CZ"/>
        </w:rPr>
        <w:t xml:space="preserve">: </w:t>
      </w:r>
      <w:r w:rsidR="003C5269">
        <w:rPr>
          <w:rFonts w:eastAsia="Times New Roman" w:cs="Times New Roman"/>
          <w:bCs/>
          <w:lang w:eastAsia="cs-CZ"/>
        </w:rPr>
        <w:t>*****</w:t>
      </w:r>
      <w:r w:rsidR="00773BB7">
        <w:rPr>
          <w:rFonts w:eastAsia="Times New Roman" w:cs="Times New Roman"/>
          <w:bCs/>
          <w:lang w:eastAsia="cs-CZ"/>
        </w:rPr>
        <w:t>, jednatelem</w:t>
      </w:r>
    </w:p>
    <w:permEnd w:id="852123381"/>
    <w:p w14:paraId="0BC65083" w14:textId="77777777" w:rsidR="00B027B5" w:rsidRPr="00B027B5" w:rsidRDefault="00B027B5" w:rsidP="00B027B5">
      <w:pPr>
        <w:keepNext/>
        <w:numPr>
          <w:ilvl w:val="12"/>
          <w:numId w:val="0"/>
        </w:numPr>
        <w:spacing w:after="0" w:line="120" w:lineRule="atLeast"/>
        <w:jc w:val="center"/>
        <w:rPr>
          <w:rFonts w:eastAsia="Times New Roman" w:cs="Times New Roman"/>
          <w:lang w:eastAsia="cs-CZ"/>
        </w:rPr>
      </w:pPr>
      <w:r w:rsidRPr="00B027B5">
        <w:rPr>
          <w:rFonts w:eastAsia="Times New Roman" w:cs="Times New Roman"/>
          <w:lang w:eastAsia="cs-CZ"/>
        </w:rPr>
        <w:t xml:space="preserve">(dále jen </w:t>
      </w:r>
      <w:r w:rsidRPr="009D1D5D">
        <w:rPr>
          <w:rFonts w:eastAsia="Times New Roman" w:cs="Times New Roman"/>
          <w:b/>
          <w:bCs/>
          <w:i/>
          <w:iCs/>
          <w:lang w:eastAsia="cs-CZ"/>
        </w:rPr>
        <w:t>"zhotovitel"</w:t>
      </w:r>
      <w:r w:rsidRPr="005952F5">
        <w:rPr>
          <w:rFonts w:eastAsia="Times New Roman" w:cs="Times New Roman"/>
          <w:lang w:eastAsia="cs-CZ"/>
        </w:rPr>
        <w:t xml:space="preserve"> nebo </w:t>
      </w:r>
      <w:r w:rsidRPr="009D1D5D">
        <w:rPr>
          <w:rFonts w:eastAsia="Times New Roman" w:cs="Times New Roman"/>
          <w:b/>
          <w:bCs/>
          <w:i/>
          <w:iCs/>
          <w:lang w:eastAsia="cs-CZ"/>
        </w:rPr>
        <w:t>„technický dozor“</w:t>
      </w:r>
      <w:r w:rsidRPr="00B027B5">
        <w:rPr>
          <w:rFonts w:eastAsia="Times New Roman" w:cs="Times New Roman"/>
          <w:lang w:eastAsia="cs-CZ"/>
        </w:rPr>
        <w:t>)</w:t>
      </w:r>
    </w:p>
    <w:p w14:paraId="520B6B0F" w14:textId="25D5EC6D" w:rsidR="00B027B5" w:rsidRPr="00B027B5" w:rsidRDefault="00B027B5" w:rsidP="00B027B5">
      <w:pPr>
        <w:keepNext/>
        <w:numPr>
          <w:ilvl w:val="12"/>
          <w:numId w:val="0"/>
        </w:numPr>
        <w:spacing w:after="0" w:line="240" w:lineRule="atLeast"/>
        <w:rPr>
          <w:rFonts w:eastAsia="Times New Roman" w:cs="Times New Roman"/>
          <w:lang w:eastAsia="cs-CZ"/>
        </w:rPr>
      </w:pPr>
      <w:r w:rsidRPr="00B027B5">
        <w:rPr>
          <w:rFonts w:eastAsia="Times New Roman" w:cs="Times New Roman"/>
          <w:lang w:eastAsia="cs-CZ"/>
        </w:rPr>
        <w:t xml:space="preserve">(dále společně jen </w:t>
      </w:r>
      <w:r w:rsidRPr="009D1D5D">
        <w:rPr>
          <w:rFonts w:eastAsia="Times New Roman" w:cs="Times New Roman"/>
          <w:b/>
          <w:bCs/>
          <w:i/>
          <w:iCs/>
          <w:lang w:eastAsia="cs-CZ"/>
        </w:rPr>
        <w:t>„smluvní strany“</w:t>
      </w:r>
      <w:r w:rsidR="007A6EF0">
        <w:rPr>
          <w:rFonts w:eastAsia="Times New Roman" w:cs="Times New Roman"/>
          <w:b/>
          <w:bCs/>
          <w:i/>
          <w:iCs/>
          <w:lang w:eastAsia="cs-CZ"/>
        </w:rPr>
        <w:t xml:space="preserve"> </w:t>
      </w:r>
      <w:r w:rsidR="007A6EF0" w:rsidRPr="009D1D5D">
        <w:rPr>
          <w:rFonts w:eastAsia="Times New Roman" w:cs="Times New Roman"/>
          <w:lang w:eastAsia="cs-CZ"/>
        </w:rPr>
        <w:t>nebo jednotlivě jen</w:t>
      </w:r>
      <w:r w:rsidR="007A6EF0">
        <w:rPr>
          <w:rFonts w:eastAsia="Times New Roman" w:cs="Times New Roman"/>
          <w:b/>
          <w:bCs/>
          <w:i/>
          <w:iCs/>
          <w:lang w:eastAsia="cs-CZ"/>
        </w:rPr>
        <w:t xml:space="preserve"> „smluvní strana“</w:t>
      </w:r>
      <w:r w:rsidRPr="00B027B5">
        <w:rPr>
          <w:rFonts w:eastAsia="Times New Roman" w:cs="Times New Roman"/>
          <w:lang w:eastAsia="cs-CZ"/>
        </w:rPr>
        <w:t>)</w:t>
      </w:r>
    </w:p>
    <w:p w14:paraId="1B170481" w14:textId="77777777" w:rsidR="00B027B5" w:rsidRDefault="00B027B5" w:rsidP="00B027B5"/>
    <w:p w14:paraId="5D148B79" w14:textId="77777777" w:rsidR="00B027B5" w:rsidRPr="00B027B5" w:rsidRDefault="00F76B74" w:rsidP="00B027B5">
      <w:pPr>
        <w:jc w:val="center"/>
        <w:rPr>
          <w:b/>
        </w:rPr>
      </w:pPr>
      <w:r>
        <w:rPr>
          <w:b/>
        </w:rPr>
        <w:t xml:space="preserve">Článek </w:t>
      </w:r>
      <w:r w:rsidR="00B027B5" w:rsidRPr="00B027B5">
        <w:rPr>
          <w:b/>
        </w:rPr>
        <w:t>I.</w:t>
      </w:r>
    </w:p>
    <w:p w14:paraId="78378D26" w14:textId="77777777" w:rsidR="00B027B5" w:rsidRPr="00B027B5" w:rsidRDefault="00B027B5" w:rsidP="00B027B5">
      <w:pPr>
        <w:jc w:val="center"/>
        <w:rPr>
          <w:b/>
        </w:rPr>
      </w:pPr>
      <w:r w:rsidRPr="00B027B5">
        <w:rPr>
          <w:b/>
        </w:rPr>
        <w:t>Předmět plnění</w:t>
      </w:r>
    </w:p>
    <w:p w14:paraId="062EF61A" w14:textId="3B02D92B" w:rsidR="00B027B5" w:rsidRPr="00C7158B" w:rsidRDefault="00B027B5" w:rsidP="00E06FF5">
      <w:pPr>
        <w:spacing w:after="0"/>
        <w:jc w:val="both"/>
        <w:rPr>
          <w:rFonts w:ascii="Calibri" w:hAnsi="Calibri"/>
        </w:rPr>
      </w:pPr>
      <w:r w:rsidRPr="00C7158B">
        <w:rPr>
          <w:rFonts w:ascii="Calibri" w:hAnsi="Calibri"/>
        </w:rPr>
        <w:t>1</w:t>
      </w:r>
      <w:r w:rsidRPr="0056139C">
        <w:rPr>
          <w:rFonts w:ascii="Calibri" w:hAnsi="Calibri" w:cs="Calibri"/>
        </w:rPr>
        <w:t xml:space="preserve">) </w:t>
      </w:r>
      <w:r w:rsidR="00F76B74" w:rsidRPr="0056139C">
        <w:rPr>
          <w:rFonts w:ascii="Calibri" w:hAnsi="Calibri" w:cs="Calibri"/>
        </w:rPr>
        <w:t>Za podmínek dohodnutých smlouvou, v souladu s vyhodnocením zadávacího řízení veřejné zakázky s</w:t>
      </w:r>
      <w:r w:rsidR="0077694D" w:rsidRPr="0056139C">
        <w:rPr>
          <w:rFonts w:ascii="Calibri" w:hAnsi="Calibri" w:cs="Calibri"/>
        </w:rPr>
        <w:t> </w:t>
      </w:r>
      <w:r w:rsidR="00F76B74" w:rsidRPr="0056139C">
        <w:rPr>
          <w:rFonts w:ascii="Calibri" w:hAnsi="Calibri" w:cs="Calibri"/>
        </w:rPr>
        <w:t>názvem</w:t>
      </w:r>
      <w:r w:rsidR="007171CB" w:rsidRPr="0056139C">
        <w:rPr>
          <w:rFonts w:ascii="Calibri" w:hAnsi="Calibri" w:cs="Calibri"/>
        </w:rPr>
        <w:t xml:space="preserve"> </w:t>
      </w:r>
      <w:r w:rsidR="00475AF9" w:rsidRPr="0056139C">
        <w:rPr>
          <w:rFonts w:ascii="Calibri" w:hAnsi="Calibri" w:cs="Calibri"/>
        </w:rPr>
        <w:t>„</w:t>
      </w:r>
      <w:r w:rsidR="00884462" w:rsidRPr="0056139C">
        <w:rPr>
          <w:rFonts w:ascii="Calibri" w:hAnsi="Calibri" w:cs="Calibri"/>
          <w:b/>
        </w:rPr>
        <w:t xml:space="preserve">Provádění technického dozoru investora </w:t>
      </w:r>
      <w:r w:rsidR="00884462" w:rsidRPr="0056139C">
        <w:rPr>
          <w:rFonts w:ascii="Calibri" w:hAnsi="Calibri" w:cs="Calibri"/>
          <w:b/>
          <w:bCs/>
        </w:rPr>
        <w:t xml:space="preserve">- </w:t>
      </w:r>
      <w:r w:rsidR="00884462" w:rsidRPr="0056139C">
        <w:rPr>
          <w:rFonts w:ascii="Calibri" w:hAnsi="Calibri" w:cs="Calibri"/>
          <w:b/>
          <w:iCs/>
        </w:rPr>
        <w:t xml:space="preserve"> Dodávka a provedení interiéru </w:t>
      </w:r>
      <w:proofErr w:type="spellStart"/>
      <w:r w:rsidR="00884462" w:rsidRPr="0056139C">
        <w:rPr>
          <w:rFonts w:ascii="Calibri" w:hAnsi="Calibri" w:cs="Calibri"/>
          <w:b/>
          <w:iCs/>
        </w:rPr>
        <w:t>Clam-Gallasova</w:t>
      </w:r>
      <w:proofErr w:type="spellEnd"/>
      <w:r w:rsidR="00884462" w:rsidRPr="0056139C">
        <w:rPr>
          <w:rFonts w:ascii="Calibri" w:hAnsi="Calibri" w:cs="Calibri"/>
          <w:b/>
          <w:iCs/>
        </w:rPr>
        <w:t xml:space="preserve"> paláce</w:t>
      </w:r>
      <w:r w:rsidR="00F81C90">
        <w:rPr>
          <w:rFonts w:ascii="Calibri" w:hAnsi="Calibri" w:cs="Calibri"/>
          <w:b/>
          <w:iCs/>
        </w:rPr>
        <w:t xml:space="preserve"> II</w:t>
      </w:r>
      <w:r w:rsidR="0077694D" w:rsidRPr="0056139C">
        <w:rPr>
          <w:rFonts w:ascii="Calibri" w:eastAsia="Calibri" w:hAnsi="Calibri" w:cs="Calibri"/>
          <w:bCs/>
          <w:iCs/>
        </w:rPr>
        <w:t>“</w:t>
      </w:r>
      <w:r w:rsidR="00F76B74" w:rsidRPr="0056139C">
        <w:rPr>
          <w:rFonts w:ascii="Calibri" w:hAnsi="Calibri" w:cs="Calibri"/>
          <w:iCs/>
        </w:rPr>
        <w:t xml:space="preserve">, </w:t>
      </w:r>
      <w:r w:rsidR="00F76B74" w:rsidRPr="0056139C">
        <w:rPr>
          <w:rFonts w:ascii="Calibri" w:hAnsi="Calibri" w:cs="Calibri"/>
        </w:rPr>
        <w:t>evidované</w:t>
      </w:r>
      <w:r w:rsidR="00F76B74" w:rsidRPr="00C7158B">
        <w:rPr>
          <w:rFonts w:ascii="Calibri" w:hAnsi="Calibri"/>
        </w:rPr>
        <w:t xml:space="preserve"> na profilu zadavatele, pod číslem</w:t>
      </w:r>
      <w:r w:rsidR="00911427">
        <w:rPr>
          <w:rFonts w:ascii="Calibri" w:hAnsi="Calibri"/>
        </w:rPr>
        <w:t xml:space="preserve"> ID</w:t>
      </w:r>
      <w:r w:rsidR="00F76B74" w:rsidRPr="00C7158B">
        <w:rPr>
          <w:rFonts w:ascii="Calibri" w:hAnsi="Calibri"/>
        </w:rPr>
        <w:t>:</w:t>
      </w:r>
      <w:r w:rsidR="00DC109A" w:rsidRPr="00DC109A">
        <w:t xml:space="preserve"> </w:t>
      </w:r>
      <w:r w:rsidR="009172AA" w:rsidRPr="009172AA">
        <w:rPr>
          <w:rFonts w:ascii="Calibri" w:hAnsi="Calibri"/>
        </w:rPr>
        <w:t>SLU/MZ/0073/22</w:t>
      </w:r>
      <w:r w:rsidR="00DC109A">
        <w:rPr>
          <w:rFonts w:ascii="Calibri" w:hAnsi="Calibri"/>
        </w:rPr>
        <w:t xml:space="preserve">, </w:t>
      </w:r>
      <w:r w:rsidR="00F76B74" w:rsidRPr="00C7158B">
        <w:rPr>
          <w:rFonts w:ascii="Calibri" w:hAnsi="Calibri"/>
        </w:rPr>
        <w:t>zadané dle § 31 zákona č. 134/2016 Sb., o zadávání veřejných zakázek</w:t>
      </w:r>
      <w:r w:rsidR="007A6EF0">
        <w:rPr>
          <w:rFonts w:ascii="Calibri" w:hAnsi="Calibri"/>
        </w:rPr>
        <w:t>, ve znění pozdějších předpisů</w:t>
      </w:r>
      <w:r w:rsidR="00F76B74" w:rsidRPr="00C7158B">
        <w:rPr>
          <w:rFonts w:ascii="Calibri" w:hAnsi="Calibri"/>
        </w:rPr>
        <w:t xml:space="preserve"> a rozhodnutím objednatele o přidělení veřejné zakázky na dílo (tj. v souladu se zadáním veřejné zakázky a nabídkou vybraného </w:t>
      </w:r>
      <w:r w:rsidR="00911427">
        <w:rPr>
          <w:rFonts w:ascii="Calibri" w:hAnsi="Calibri"/>
        </w:rPr>
        <w:t>účastníka</w:t>
      </w:r>
      <w:r w:rsidR="00F76B74" w:rsidRPr="00C7158B">
        <w:rPr>
          <w:rFonts w:ascii="Calibri" w:hAnsi="Calibri"/>
        </w:rPr>
        <w:t xml:space="preserve">) v rozsahu stanoveném v zadávací dokumentaci veřejné zakázky (dále jen </w:t>
      </w:r>
      <w:r w:rsidR="00F76B74" w:rsidRPr="009D1D5D">
        <w:rPr>
          <w:rFonts w:ascii="Calibri" w:hAnsi="Calibri"/>
          <w:b/>
          <w:bCs/>
          <w:i/>
          <w:iCs/>
        </w:rPr>
        <w:t>„dílo“</w:t>
      </w:r>
      <w:r w:rsidR="00F76B74" w:rsidRPr="00C7158B">
        <w:rPr>
          <w:rFonts w:ascii="Calibri" w:hAnsi="Calibri"/>
        </w:rPr>
        <w:t>)</w:t>
      </w:r>
      <w:r w:rsidR="003E409B">
        <w:rPr>
          <w:rFonts w:ascii="Calibri" w:hAnsi="Calibri"/>
        </w:rPr>
        <w:t>,</w:t>
      </w:r>
      <w:r w:rsidR="00F76B74" w:rsidRPr="00C7158B">
        <w:rPr>
          <w:rFonts w:ascii="Calibri" w:hAnsi="Calibri"/>
        </w:rPr>
        <w:t xml:space="preserve"> </w:t>
      </w:r>
      <w:r w:rsidRPr="00C7158B">
        <w:rPr>
          <w:rFonts w:ascii="Calibri" w:hAnsi="Calibri"/>
        </w:rPr>
        <w:t xml:space="preserve">je předmětem plnění smlouvy výkon technického dozoru investora (objednatele) </w:t>
      </w:r>
      <w:r w:rsidR="003E409B" w:rsidRPr="00C7158B">
        <w:rPr>
          <w:rFonts w:ascii="Calibri" w:hAnsi="Calibri"/>
        </w:rPr>
        <w:t xml:space="preserve">(dále jen </w:t>
      </w:r>
      <w:r w:rsidR="003E409B" w:rsidRPr="00226E03">
        <w:rPr>
          <w:rFonts w:ascii="Calibri" w:hAnsi="Calibri"/>
          <w:b/>
          <w:bCs/>
          <w:i/>
          <w:iCs/>
        </w:rPr>
        <w:t>„výkon činnosti TDI“</w:t>
      </w:r>
      <w:r w:rsidR="003E409B" w:rsidRPr="00C7158B">
        <w:rPr>
          <w:rFonts w:ascii="Calibri" w:hAnsi="Calibri"/>
        </w:rPr>
        <w:t>)</w:t>
      </w:r>
      <w:r w:rsidR="007A6EF0">
        <w:rPr>
          <w:rFonts w:ascii="Calibri" w:hAnsi="Calibri"/>
        </w:rPr>
        <w:t xml:space="preserve"> </w:t>
      </w:r>
      <w:r w:rsidR="0056139C">
        <w:rPr>
          <w:rFonts w:ascii="Calibri" w:hAnsi="Calibri"/>
        </w:rPr>
        <w:t xml:space="preserve">při realizaci veřejné zakázky </w:t>
      </w:r>
      <w:r w:rsidRPr="009D1D5D">
        <w:rPr>
          <w:rFonts w:ascii="Calibri" w:hAnsi="Calibri" w:cs="Calibri"/>
          <w:i/>
          <w:iCs/>
        </w:rPr>
        <w:t>„</w:t>
      </w:r>
      <w:r w:rsidR="0056139C" w:rsidRPr="0056139C">
        <w:rPr>
          <w:rFonts w:ascii="Calibri" w:hAnsi="Calibri" w:cs="Calibri"/>
          <w:i/>
          <w:iCs/>
        </w:rPr>
        <w:t xml:space="preserve">Dodávka a provedení interiéru </w:t>
      </w:r>
      <w:proofErr w:type="spellStart"/>
      <w:r w:rsidR="0056139C" w:rsidRPr="0056139C">
        <w:rPr>
          <w:rFonts w:ascii="Calibri" w:hAnsi="Calibri" w:cs="Calibri"/>
          <w:i/>
          <w:iCs/>
        </w:rPr>
        <w:t>Clam-Gallasova</w:t>
      </w:r>
      <w:proofErr w:type="spellEnd"/>
      <w:r w:rsidR="0056139C" w:rsidRPr="0056139C">
        <w:rPr>
          <w:rFonts w:ascii="Calibri" w:hAnsi="Calibri" w:cs="Calibri"/>
          <w:i/>
          <w:iCs/>
        </w:rPr>
        <w:t xml:space="preserve"> paláce</w:t>
      </w:r>
      <w:r w:rsidR="00A26492" w:rsidRPr="009D1D5D">
        <w:rPr>
          <w:rFonts w:ascii="Calibri" w:hAnsi="Calibri" w:cs="Calibri"/>
          <w:i/>
          <w:iCs/>
        </w:rPr>
        <w:t>“</w:t>
      </w:r>
      <w:r w:rsidRPr="00C7158B">
        <w:rPr>
          <w:rFonts w:ascii="Calibri" w:hAnsi="Calibri"/>
        </w:rPr>
        <w:t xml:space="preserve"> </w:t>
      </w:r>
      <w:r w:rsidR="003E409B">
        <w:rPr>
          <w:rFonts w:ascii="Calibri" w:hAnsi="Calibri"/>
        </w:rPr>
        <w:t xml:space="preserve">(dále jen </w:t>
      </w:r>
      <w:r w:rsidR="003E409B" w:rsidRPr="009D1D5D">
        <w:rPr>
          <w:rFonts w:ascii="Calibri" w:hAnsi="Calibri"/>
          <w:b/>
          <w:bCs/>
          <w:i/>
          <w:iCs/>
        </w:rPr>
        <w:t>„stavba“</w:t>
      </w:r>
      <w:r w:rsidR="003E409B">
        <w:rPr>
          <w:rFonts w:ascii="Calibri" w:hAnsi="Calibri"/>
        </w:rPr>
        <w:t>)</w:t>
      </w:r>
      <w:r w:rsidR="00E06FF5">
        <w:rPr>
          <w:rFonts w:ascii="Calibri" w:hAnsi="Calibri"/>
        </w:rPr>
        <w:t>.</w:t>
      </w:r>
    </w:p>
    <w:p w14:paraId="52A3EA55" w14:textId="2688571D" w:rsidR="00B027B5" w:rsidRDefault="00A6510C" w:rsidP="00E06FF5">
      <w:pPr>
        <w:spacing w:after="0"/>
        <w:jc w:val="both"/>
      </w:pPr>
      <w:r>
        <w:t>2</w:t>
      </w:r>
      <w:r w:rsidR="00B027B5">
        <w:t>) V rámci výkonu činnosti TDI bude technický dozor dále zajišťovat níže uvedené činnosti:</w:t>
      </w:r>
    </w:p>
    <w:p w14:paraId="666972BA" w14:textId="77777777" w:rsidR="00A6510C" w:rsidRDefault="00A6510C" w:rsidP="00A6510C">
      <w:pPr>
        <w:pStyle w:val="Odstavecseseznamem"/>
        <w:numPr>
          <w:ilvl w:val="0"/>
          <w:numId w:val="4"/>
        </w:numPr>
        <w:ind w:left="426"/>
        <w:jc w:val="both"/>
      </w:pPr>
      <w:r>
        <w:t>seznámení se s podklady, podle kterých se připravuje realizace stavby, zejména s projektem, s obsahem stavebního povolení,</w:t>
      </w:r>
    </w:p>
    <w:p w14:paraId="76633DEE" w14:textId="77777777" w:rsidR="00A6510C" w:rsidRDefault="00A6510C" w:rsidP="00A6510C">
      <w:pPr>
        <w:pStyle w:val="Odstavecseseznamem"/>
        <w:numPr>
          <w:ilvl w:val="0"/>
          <w:numId w:val="4"/>
        </w:numPr>
        <w:ind w:left="426"/>
        <w:jc w:val="both"/>
      </w:pPr>
      <w:r>
        <w:t>odevzdání staveniště (pracoviště) zhotovitelům a zabezpečení zápisu do stavebního (montážního) deníku,</w:t>
      </w:r>
    </w:p>
    <w:p w14:paraId="584BD709" w14:textId="77777777" w:rsidR="00A6510C" w:rsidRDefault="00A6510C" w:rsidP="00A6510C">
      <w:pPr>
        <w:pStyle w:val="Odstavecseseznamem"/>
        <w:numPr>
          <w:ilvl w:val="0"/>
          <w:numId w:val="4"/>
        </w:numPr>
        <w:ind w:left="426"/>
        <w:jc w:val="both"/>
      </w:pPr>
      <w:r>
        <w:t>kontrola dodržování podmínek stavebního povolení po dobu realizace stavby,</w:t>
      </w:r>
    </w:p>
    <w:p w14:paraId="70854C9B" w14:textId="77777777" w:rsidR="00A6510C" w:rsidRDefault="00A6510C" w:rsidP="00A6510C">
      <w:pPr>
        <w:pStyle w:val="Odstavecseseznamem"/>
        <w:numPr>
          <w:ilvl w:val="0"/>
          <w:numId w:val="4"/>
        </w:numPr>
        <w:ind w:left="426"/>
        <w:jc w:val="both"/>
      </w:pPr>
      <w:r>
        <w:t>projednání dodatků a změn projektu, které navyšují náklady stavebního objektu nebo provozního souboru, neprodlužují lhůtu výstavby a nezhoršují parametry stavby,</w:t>
      </w:r>
    </w:p>
    <w:p w14:paraId="44D8DC6E" w14:textId="77777777" w:rsidR="00A6510C" w:rsidRDefault="00A6510C" w:rsidP="00A6510C">
      <w:pPr>
        <w:pStyle w:val="Odstavecseseznamem"/>
        <w:numPr>
          <w:ilvl w:val="0"/>
          <w:numId w:val="4"/>
        </w:numPr>
        <w:ind w:left="426"/>
        <w:jc w:val="both"/>
      </w:pPr>
      <w:r>
        <w:t>odsouhlasit doplňky a nutné změny dokumentace, které nezvyšují rozpočtové náklady, neprodlužují lhůtu stavby a nezhoršují parametry stavby,</w:t>
      </w:r>
    </w:p>
    <w:p w14:paraId="4E8D4732" w14:textId="77777777" w:rsidR="00A6510C" w:rsidRDefault="00A6510C" w:rsidP="00A6510C">
      <w:pPr>
        <w:pStyle w:val="Odstavecseseznamem"/>
        <w:numPr>
          <w:ilvl w:val="0"/>
          <w:numId w:val="4"/>
        </w:numPr>
        <w:ind w:left="426"/>
        <w:jc w:val="both"/>
      </w:pPr>
      <w:r>
        <w:t>pravidelně a v předstihu informovat investora o všech závažných okolnostech provádění díla,</w:t>
      </w:r>
    </w:p>
    <w:p w14:paraId="1CF11DD6" w14:textId="77777777" w:rsidR="00A6510C" w:rsidRDefault="00A6510C" w:rsidP="00A6510C">
      <w:pPr>
        <w:pStyle w:val="Odstavecseseznamem"/>
        <w:numPr>
          <w:ilvl w:val="0"/>
          <w:numId w:val="4"/>
        </w:numPr>
        <w:ind w:left="426"/>
        <w:jc w:val="both"/>
      </w:pPr>
      <w:r>
        <w:lastRenderedPageBreak/>
        <w:t>kontrola věcné a cenové správnosti a úplnosti cenových podkladů a faktur, jejich soulad s podmínkami uvedených ve smlouvách a jejich předkládání k úhradě investorovi,</w:t>
      </w:r>
    </w:p>
    <w:p w14:paraId="691257F5" w14:textId="77777777" w:rsidR="00A6510C" w:rsidRDefault="00A6510C" w:rsidP="00A6510C">
      <w:pPr>
        <w:pStyle w:val="Odstavecseseznamem"/>
        <w:numPr>
          <w:ilvl w:val="0"/>
          <w:numId w:val="4"/>
        </w:numPr>
        <w:ind w:left="426"/>
        <w:jc w:val="both"/>
      </w:pPr>
      <w:r>
        <w:t>kontrola těch částí dodávek, které budou v dalším postupu zakryté nebo se stanou nepřístupnými, zapsání výsledků kontroly do stavebního deníku,</w:t>
      </w:r>
    </w:p>
    <w:p w14:paraId="7FC53B33" w14:textId="77777777" w:rsidR="00A6510C" w:rsidRDefault="00A6510C" w:rsidP="00A6510C">
      <w:pPr>
        <w:pStyle w:val="Odstavecseseznamem"/>
        <w:numPr>
          <w:ilvl w:val="0"/>
          <w:numId w:val="4"/>
        </w:numPr>
        <w:ind w:left="426"/>
        <w:jc w:val="both"/>
      </w:pPr>
      <w:r>
        <w:t>spolupráce s projektantem a se zhotoviteli při provádění nebo navrhování opatření na odstranění případných závad projektu,</w:t>
      </w:r>
    </w:p>
    <w:p w14:paraId="4C7D14A1" w14:textId="77777777" w:rsidR="00A6510C" w:rsidRDefault="00A6510C" w:rsidP="00A6510C">
      <w:pPr>
        <w:pStyle w:val="Odstavecseseznamem"/>
        <w:numPr>
          <w:ilvl w:val="0"/>
          <w:numId w:val="4"/>
        </w:numPr>
        <w:ind w:left="426"/>
        <w:jc w:val="both"/>
      </w:pPr>
      <w:r>
        <w:t>sledování a kontrola, jestli zhotovitelé provádějí předepsané a dohodnuté zkoušky materiálů, konstrukcí a prací, kontrolu jejich výsledků a vyžaduje doklady, které prokazují kvalitu prováděných prací a dodávek (certifikáty, atesty, protokoly apod.),</w:t>
      </w:r>
    </w:p>
    <w:p w14:paraId="758D3D20" w14:textId="77777777" w:rsidR="00A6510C" w:rsidRDefault="00A6510C" w:rsidP="00A6510C">
      <w:pPr>
        <w:pStyle w:val="Odstavecseseznamem"/>
        <w:numPr>
          <w:ilvl w:val="0"/>
          <w:numId w:val="4"/>
        </w:numPr>
        <w:ind w:left="426"/>
        <w:jc w:val="both"/>
      </w:pPr>
      <w:r>
        <w:t>sledování vedení stavebních a montážních deníků v souladu s podmínkami uvedených v příslušných smlouvách,</w:t>
      </w:r>
    </w:p>
    <w:p w14:paraId="466EF042" w14:textId="77777777" w:rsidR="00A6510C" w:rsidRDefault="00A6510C" w:rsidP="00A6510C">
      <w:pPr>
        <w:pStyle w:val="Odstavecseseznamem"/>
        <w:numPr>
          <w:ilvl w:val="0"/>
          <w:numId w:val="4"/>
        </w:numPr>
        <w:ind w:left="426"/>
        <w:jc w:val="both"/>
      </w:pPr>
      <w:r>
        <w:t>kontrola postupu prací podle časového plánu stavby a ustanoveními smluv a upozorňuje zhotovitele na nedodržení termínů, včetně přípravy podkladů pro uplatnění majetkových sankcí,</w:t>
      </w:r>
    </w:p>
    <w:p w14:paraId="2903E2BA" w14:textId="77777777" w:rsidR="00A6510C" w:rsidRDefault="00A6510C" w:rsidP="00A6510C">
      <w:pPr>
        <w:pStyle w:val="Odstavecseseznamem"/>
        <w:numPr>
          <w:ilvl w:val="0"/>
          <w:numId w:val="4"/>
        </w:numPr>
        <w:ind w:left="426"/>
        <w:jc w:val="both"/>
      </w:pPr>
      <w:r>
        <w:t>kontrolu řádného uskladnění materiálu, strojů a konstrukcí,</w:t>
      </w:r>
    </w:p>
    <w:p w14:paraId="151DCFBE" w14:textId="77777777" w:rsidR="00A6510C" w:rsidRDefault="00A6510C" w:rsidP="00A6510C">
      <w:pPr>
        <w:pStyle w:val="Odstavecseseznamem"/>
        <w:numPr>
          <w:ilvl w:val="0"/>
          <w:numId w:val="4"/>
        </w:numPr>
        <w:ind w:left="426"/>
        <w:jc w:val="both"/>
      </w:pPr>
      <w:r>
        <w:t>kontrola dokladů, které předložil zhotovitel k fakturaci,</w:t>
      </w:r>
    </w:p>
    <w:p w14:paraId="33B75B28" w14:textId="77777777" w:rsidR="00A6510C" w:rsidRDefault="00A6510C" w:rsidP="00A6510C">
      <w:pPr>
        <w:pStyle w:val="Odstavecseseznamem"/>
        <w:numPr>
          <w:ilvl w:val="0"/>
          <w:numId w:val="4"/>
        </w:numPr>
        <w:ind w:left="426"/>
        <w:jc w:val="both"/>
      </w:pPr>
      <w:r>
        <w:t>informovat o všech závažných okolnostech bez odkladu objednatele,</w:t>
      </w:r>
    </w:p>
    <w:p w14:paraId="1C30CAAD" w14:textId="77777777" w:rsidR="00A6510C" w:rsidRDefault="00A6510C" w:rsidP="00A6510C">
      <w:pPr>
        <w:pStyle w:val="Odstavecseseznamem"/>
        <w:numPr>
          <w:ilvl w:val="0"/>
          <w:numId w:val="4"/>
        </w:numPr>
        <w:ind w:left="426"/>
        <w:jc w:val="both"/>
      </w:pPr>
      <w:r>
        <w:t>kontrola řádného vedení stavebního deníku,</w:t>
      </w:r>
    </w:p>
    <w:p w14:paraId="16DC0AB8" w14:textId="77777777" w:rsidR="00A6510C" w:rsidRDefault="00A6510C" w:rsidP="00A6510C">
      <w:pPr>
        <w:pStyle w:val="Odstavecseseznamem"/>
        <w:numPr>
          <w:ilvl w:val="0"/>
          <w:numId w:val="4"/>
        </w:numPr>
        <w:ind w:left="426"/>
        <w:jc w:val="both"/>
      </w:pPr>
      <w:r>
        <w:t>kontrola odstraňování vad a nedodělků zjištěných při přebírání v dohodnutých termínech,</w:t>
      </w:r>
    </w:p>
    <w:p w14:paraId="49611310" w14:textId="77777777" w:rsidR="00A6510C" w:rsidRDefault="00A6510C" w:rsidP="00A6510C">
      <w:pPr>
        <w:pStyle w:val="Odstavecseseznamem"/>
        <w:numPr>
          <w:ilvl w:val="0"/>
          <w:numId w:val="4"/>
        </w:numPr>
        <w:spacing w:after="0"/>
        <w:ind w:left="425" w:hanging="357"/>
        <w:jc w:val="both"/>
      </w:pPr>
      <w:r>
        <w:t>vedení kontrolních dnů a vypracování zápisů z kontrolních dnů, včetně rozeslání všem účastníkům dle prezenční listiny,</w:t>
      </w:r>
    </w:p>
    <w:p w14:paraId="47A6053B" w14:textId="4CEDEC0A" w:rsidR="007171CB" w:rsidRDefault="007171CB" w:rsidP="009D1D5D">
      <w:pPr>
        <w:pStyle w:val="Odstavecseseznamem"/>
        <w:numPr>
          <w:ilvl w:val="0"/>
          <w:numId w:val="4"/>
        </w:numPr>
        <w:spacing w:after="0"/>
        <w:ind w:left="425" w:hanging="357"/>
        <w:jc w:val="both"/>
      </w:pPr>
      <w:r>
        <w:t xml:space="preserve">zpracování dokladové části stavby a předání </w:t>
      </w:r>
      <w:r w:rsidR="006C4846">
        <w:t>objednateli</w:t>
      </w:r>
      <w:r>
        <w:t xml:space="preserve"> kompletní</w:t>
      </w:r>
      <w:r w:rsidR="008B4DA4">
        <w:t>ho</w:t>
      </w:r>
      <w:r>
        <w:t xml:space="preserve"> soubor</w:t>
      </w:r>
      <w:r w:rsidR="008B4DA4">
        <w:t>u</w:t>
      </w:r>
      <w:r>
        <w:t xml:space="preserve"> v počtu 2ks </w:t>
      </w:r>
      <w:proofErr w:type="spellStart"/>
      <w:r>
        <w:t>paré</w:t>
      </w:r>
      <w:proofErr w:type="spellEnd"/>
      <w:r>
        <w:t xml:space="preserve"> </w:t>
      </w:r>
      <w:r w:rsidR="00BF63E6">
        <w:t xml:space="preserve">v </w:t>
      </w:r>
      <w:r>
        <w:t>listinné podob</w:t>
      </w:r>
      <w:r w:rsidR="00BF63E6">
        <w:t>ě</w:t>
      </w:r>
      <w:r w:rsidR="00911427">
        <w:t xml:space="preserve">, </w:t>
      </w:r>
      <w:r>
        <w:t>1 x digitálního záznamu na CD</w:t>
      </w:r>
      <w:r w:rsidR="007A6EF0">
        <w:t>,</w:t>
      </w:r>
      <w:r w:rsidR="008B4DA4">
        <w:t xml:space="preserve"> nebo jiném digitálním nosiči</w:t>
      </w:r>
    </w:p>
    <w:p w14:paraId="47238CFD" w14:textId="70BB764E" w:rsidR="00B027B5" w:rsidRDefault="00A6510C" w:rsidP="00BA5C6E">
      <w:pPr>
        <w:spacing w:after="0"/>
        <w:jc w:val="both"/>
      </w:pPr>
      <w:r>
        <w:t>3</w:t>
      </w:r>
      <w:r w:rsidR="00B027B5">
        <w:t>) Technický dozor se při plnění této smlouvy (výkonu TDI) bude řídit pokyny objednatele a postupovat v úzké součinnosti s objednatelem.</w:t>
      </w:r>
    </w:p>
    <w:p w14:paraId="15108DA6" w14:textId="2C3BA53D" w:rsidR="00A6510C" w:rsidRDefault="00A6510C" w:rsidP="00B027B5">
      <w:pPr>
        <w:jc w:val="both"/>
      </w:pPr>
      <w:r>
        <w:t xml:space="preserve">4) </w:t>
      </w:r>
      <w:r w:rsidRPr="00A6510C">
        <w:t>Technický dozor je povinen mít po celou dobu provádění výkonu činnosti TDI dle smlouvy uzavřenou pojistnou smlouvou na pojištění profesní odpovědnosti s pojistnou částkou předmětného pojištění ve výši minimálně 2</w:t>
      </w:r>
      <w:r>
        <w:t>.</w:t>
      </w:r>
      <w:r w:rsidRPr="00A6510C">
        <w:t>000</w:t>
      </w:r>
      <w:r>
        <w:t>.</w:t>
      </w:r>
      <w:r w:rsidRPr="00A6510C">
        <w:t>000</w:t>
      </w:r>
      <w:r>
        <w:t>,00</w:t>
      </w:r>
      <w:r w:rsidRPr="00A6510C">
        <w:t xml:space="preserve"> Kč</w:t>
      </w:r>
      <w:r>
        <w:t>.</w:t>
      </w:r>
    </w:p>
    <w:p w14:paraId="39E4969C" w14:textId="77777777" w:rsidR="00B027B5" w:rsidRDefault="00B027B5" w:rsidP="00B027B5">
      <w:pPr>
        <w:jc w:val="center"/>
        <w:rPr>
          <w:b/>
        </w:rPr>
      </w:pPr>
    </w:p>
    <w:p w14:paraId="1172AA34" w14:textId="77777777" w:rsidR="00B027B5" w:rsidRPr="00B027B5" w:rsidRDefault="00F76B74" w:rsidP="00B027B5">
      <w:pPr>
        <w:jc w:val="center"/>
        <w:rPr>
          <w:b/>
        </w:rPr>
      </w:pPr>
      <w:r>
        <w:rPr>
          <w:b/>
        </w:rPr>
        <w:t xml:space="preserve">Článek </w:t>
      </w:r>
      <w:r w:rsidR="00B027B5" w:rsidRPr="00B027B5">
        <w:rPr>
          <w:b/>
        </w:rPr>
        <w:t>II.</w:t>
      </w:r>
    </w:p>
    <w:p w14:paraId="76F843F6" w14:textId="77777777" w:rsidR="00B027B5" w:rsidRPr="00B027B5" w:rsidRDefault="00B027B5" w:rsidP="00B027B5">
      <w:pPr>
        <w:jc w:val="center"/>
        <w:rPr>
          <w:b/>
        </w:rPr>
      </w:pPr>
      <w:r w:rsidRPr="00B027B5">
        <w:rPr>
          <w:b/>
        </w:rPr>
        <w:t>Práva a povinnosti smluvní stran</w:t>
      </w:r>
    </w:p>
    <w:p w14:paraId="2D54219D" w14:textId="77777777" w:rsidR="00B027B5" w:rsidRDefault="00B027B5" w:rsidP="00A6510C">
      <w:pPr>
        <w:pStyle w:val="Odstavecseseznamem"/>
        <w:numPr>
          <w:ilvl w:val="0"/>
          <w:numId w:val="3"/>
        </w:numPr>
        <w:ind w:left="426"/>
        <w:jc w:val="both"/>
      </w:pPr>
      <w:r>
        <w:t>Technický dozor se zavazuje provádět výkon činnosti TDI poctivě, pečlivě podle svých schopností a v souladu se zájmy objednatele.</w:t>
      </w:r>
    </w:p>
    <w:p w14:paraId="0F9A5795" w14:textId="46DFD839" w:rsidR="00475AF9" w:rsidRDefault="00475AF9" w:rsidP="00A6510C">
      <w:pPr>
        <w:pStyle w:val="Odstavecseseznamem"/>
        <w:numPr>
          <w:ilvl w:val="0"/>
          <w:numId w:val="3"/>
        </w:numPr>
        <w:ind w:left="426"/>
        <w:jc w:val="both"/>
      </w:pPr>
      <w:r>
        <w:t>Technický dozor se bude účastnit všech kontrolních dnů a v případě potřeby technických konzultací v době mimo kontrolní dny stavby</w:t>
      </w:r>
      <w:r w:rsidR="00A6510C">
        <w:t>.</w:t>
      </w:r>
    </w:p>
    <w:p w14:paraId="2F1EB6E9" w14:textId="77777777" w:rsidR="00475AF9" w:rsidRDefault="00475AF9" w:rsidP="00A6510C">
      <w:pPr>
        <w:pStyle w:val="Odstavecseseznamem"/>
        <w:numPr>
          <w:ilvl w:val="0"/>
          <w:numId w:val="3"/>
        </w:numPr>
        <w:ind w:left="426"/>
        <w:jc w:val="both"/>
      </w:pPr>
      <w:r>
        <w:t>Technický dozor není oprávněn činit právní úkony jménem objednatele.</w:t>
      </w:r>
    </w:p>
    <w:p w14:paraId="485BE2EF" w14:textId="77777777" w:rsidR="00475AF9" w:rsidRDefault="00475AF9" w:rsidP="00A6510C">
      <w:pPr>
        <w:pStyle w:val="Odstavecseseznamem"/>
        <w:numPr>
          <w:ilvl w:val="0"/>
          <w:numId w:val="3"/>
        </w:numPr>
        <w:ind w:left="426"/>
        <w:jc w:val="both"/>
      </w:pPr>
      <w:r>
        <w:t>Technický dozor je povinen oznámit objednateli všechny okolnosti, které zjistil při výkonu činnosti TDI a jež mohou mít vliv na změnu pokynů objednatele.</w:t>
      </w:r>
    </w:p>
    <w:p w14:paraId="081DBFF2" w14:textId="03E8EB95" w:rsidR="00475AF9" w:rsidRDefault="00475AF9" w:rsidP="00A6510C">
      <w:pPr>
        <w:pStyle w:val="Odstavecseseznamem"/>
        <w:numPr>
          <w:ilvl w:val="0"/>
          <w:numId w:val="3"/>
        </w:numPr>
        <w:ind w:left="426"/>
        <w:jc w:val="both"/>
      </w:pPr>
      <w:r>
        <w:t>Technický dozor není oprávněn</w:t>
      </w:r>
      <w:r w:rsidR="007A6EF0">
        <w:t>,</w:t>
      </w:r>
      <w:r>
        <w:t xml:space="preserve"> jakkoliv měnit stavbu, ani dávat jakékoliv jiné pokyny než předvídané smlouvou. Technický dozor není oprávněn přijímat jakékoliv listiny od zhotovitele stavby určené a adresované objednatel</w:t>
      </w:r>
      <w:r w:rsidR="003E409B">
        <w:t>i</w:t>
      </w:r>
      <w:r>
        <w:t>, ani jejich doručení</w:t>
      </w:r>
      <w:r w:rsidR="007A6EF0">
        <w:t>,</w:t>
      </w:r>
      <w:r>
        <w:t xml:space="preserve"> jakkoliv potvrzovat.</w:t>
      </w:r>
    </w:p>
    <w:p w14:paraId="18E7693E" w14:textId="77777777" w:rsidR="001E2FAA" w:rsidRDefault="00475AF9" w:rsidP="00A6510C">
      <w:pPr>
        <w:pStyle w:val="Odstavecseseznamem"/>
        <w:numPr>
          <w:ilvl w:val="0"/>
          <w:numId w:val="3"/>
        </w:numPr>
        <w:ind w:left="426"/>
      </w:pPr>
      <w:r>
        <w:t>Technický dozor je oprávněn dát pokyn k přerušení provádění stavby, pokud:</w:t>
      </w:r>
    </w:p>
    <w:p w14:paraId="00BD264D" w14:textId="77777777" w:rsidR="001E2FAA" w:rsidRDefault="001E2FAA" w:rsidP="001E2FAA">
      <w:pPr>
        <w:pStyle w:val="Odstavecseseznamem"/>
        <w:numPr>
          <w:ilvl w:val="1"/>
          <w:numId w:val="3"/>
        </w:numPr>
      </w:pPr>
      <w:r>
        <w:t>odpovědný zástupce zhotovitele stavby není dosažitelný</w:t>
      </w:r>
    </w:p>
    <w:p w14:paraId="737302FB" w14:textId="77777777" w:rsidR="001E2FAA" w:rsidRDefault="001E2FAA" w:rsidP="001E2FAA">
      <w:pPr>
        <w:pStyle w:val="Odstavecseseznamem"/>
        <w:numPr>
          <w:ilvl w:val="1"/>
          <w:numId w:val="3"/>
        </w:numPr>
      </w:pPr>
      <w:r>
        <w:t>je ohrožena bezpečnost prováděné stavby</w:t>
      </w:r>
    </w:p>
    <w:p w14:paraId="1E463B11" w14:textId="77777777" w:rsidR="001E2FAA" w:rsidRDefault="001E2FAA" w:rsidP="001E2FAA">
      <w:pPr>
        <w:pStyle w:val="Odstavecseseznamem"/>
        <w:numPr>
          <w:ilvl w:val="1"/>
          <w:numId w:val="3"/>
        </w:numPr>
      </w:pPr>
      <w:r>
        <w:t>je ohroženo zdraví nebo život osob podílejících se na provádění stavby, případně jiných osob</w:t>
      </w:r>
    </w:p>
    <w:p w14:paraId="0754BF24" w14:textId="77777777" w:rsidR="001E2FAA" w:rsidRDefault="001E2FAA" w:rsidP="001E2FAA">
      <w:pPr>
        <w:pStyle w:val="Odstavecseseznamem"/>
        <w:numPr>
          <w:ilvl w:val="1"/>
          <w:numId w:val="3"/>
        </w:numPr>
      </w:pPr>
      <w:r>
        <w:lastRenderedPageBreak/>
        <w:t>hrozí nebezpečí vzniku větší škody ve smyslu vymezení tohoto pojmu v § 138 zákona č. 40 /2009 Sb., trestního zákoníku, ve znění pozdějších předpisů</w:t>
      </w:r>
    </w:p>
    <w:p w14:paraId="593571E3" w14:textId="0E7B0B9A" w:rsidR="001E2FAA" w:rsidRDefault="001E2FAA" w:rsidP="00A6510C">
      <w:pPr>
        <w:pStyle w:val="Odstavecseseznamem"/>
        <w:numPr>
          <w:ilvl w:val="0"/>
          <w:numId w:val="3"/>
        </w:numPr>
        <w:ind w:left="426"/>
        <w:jc w:val="both"/>
      </w:pPr>
      <w:r>
        <w:t>Objednatel se zavazuje poskytovat technickému dozoru potřebnou součinnost nutnou k řádnému plnění povinností technického dozoru z</w:t>
      </w:r>
      <w:r w:rsidR="00A6510C">
        <w:t>e</w:t>
      </w:r>
      <w:r>
        <w:t xml:space="preserve"> smlouvy vyplývajících, za tímto účelem se objednatel zavazuje poskytovat technickému dozoru potřebné doklady a konzultace.</w:t>
      </w:r>
    </w:p>
    <w:p w14:paraId="725EF8F0" w14:textId="77777777" w:rsidR="00B027B5" w:rsidRPr="001E2FAA" w:rsidRDefault="00B027B5" w:rsidP="001E2FAA">
      <w:pPr>
        <w:jc w:val="both"/>
      </w:pPr>
    </w:p>
    <w:p w14:paraId="40810979" w14:textId="77777777" w:rsidR="00B027B5" w:rsidRPr="00B027B5" w:rsidRDefault="00F76B74" w:rsidP="00B027B5">
      <w:pPr>
        <w:jc w:val="center"/>
        <w:rPr>
          <w:b/>
        </w:rPr>
      </w:pPr>
      <w:r>
        <w:rPr>
          <w:b/>
        </w:rPr>
        <w:t>Článek III</w:t>
      </w:r>
      <w:r w:rsidR="00B027B5" w:rsidRPr="00B027B5">
        <w:rPr>
          <w:b/>
        </w:rPr>
        <w:t>.</w:t>
      </w:r>
    </w:p>
    <w:p w14:paraId="31552B38" w14:textId="77777777" w:rsidR="00B027B5" w:rsidRPr="00B027B5" w:rsidRDefault="00B027B5" w:rsidP="00B027B5">
      <w:pPr>
        <w:jc w:val="center"/>
        <w:rPr>
          <w:b/>
        </w:rPr>
      </w:pPr>
      <w:r w:rsidRPr="00B027B5">
        <w:rPr>
          <w:b/>
        </w:rPr>
        <w:t>Doba plnění</w:t>
      </w:r>
    </w:p>
    <w:p w14:paraId="2B67C907" w14:textId="77777777" w:rsidR="00B027B5" w:rsidRDefault="00C53B23" w:rsidP="00E06FF5">
      <w:pPr>
        <w:spacing w:after="0"/>
        <w:jc w:val="both"/>
      </w:pPr>
      <w:r>
        <w:t xml:space="preserve">1) </w:t>
      </w:r>
      <w:r w:rsidR="00B027B5">
        <w:t>Výkon činnosti TDI zahájí technický dozor na výzvu objednatele ke dni zahájení provádění stavby, která bude technickému dozoru doručena nejpozději 5 pracovních dnů před zahájením těchto prací.</w:t>
      </w:r>
    </w:p>
    <w:p w14:paraId="4797E889" w14:textId="7234DD2F" w:rsidR="00004A5A" w:rsidRPr="009D1D5D" w:rsidRDefault="00C53B23" w:rsidP="00E06FF5">
      <w:pPr>
        <w:spacing w:after="0"/>
        <w:jc w:val="both"/>
        <w:rPr>
          <w:rFonts w:ascii="Calibri" w:hAnsi="Calibri" w:cs="Calibri"/>
        </w:rPr>
      </w:pPr>
      <w:r w:rsidRPr="009D1D5D">
        <w:rPr>
          <w:rFonts w:ascii="Calibri" w:hAnsi="Calibri" w:cs="Calibri"/>
        </w:rPr>
        <w:t xml:space="preserve">2) Celková doba provádění výkonu činnosti TDI dle </w:t>
      </w:r>
      <w:r w:rsidR="007171CB" w:rsidRPr="009D1D5D">
        <w:rPr>
          <w:rFonts w:ascii="Calibri" w:hAnsi="Calibri" w:cs="Calibri"/>
        </w:rPr>
        <w:t xml:space="preserve">odhadu </w:t>
      </w:r>
      <w:r w:rsidR="00A26492" w:rsidRPr="009D1D5D">
        <w:rPr>
          <w:rFonts w:ascii="Calibri" w:hAnsi="Calibri" w:cs="Calibri"/>
        </w:rPr>
        <w:t xml:space="preserve">je </w:t>
      </w:r>
      <w:r w:rsidR="0056139C">
        <w:rPr>
          <w:rFonts w:ascii="Calibri" w:hAnsi="Calibri" w:cs="Calibri"/>
        </w:rPr>
        <w:t>88 kalendářních dnů</w:t>
      </w:r>
      <w:r w:rsidR="00970D7C" w:rsidRPr="009D1D5D">
        <w:rPr>
          <w:rFonts w:ascii="Calibri" w:hAnsi="Calibri" w:cs="Calibri"/>
        </w:rPr>
        <w:t>,</w:t>
      </w:r>
      <w:r w:rsidR="007171CB" w:rsidRPr="009D1D5D">
        <w:rPr>
          <w:rFonts w:ascii="Calibri" w:hAnsi="Calibri" w:cs="Calibri"/>
        </w:rPr>
        <w:t xml:space="preserve"> a bude upravena dle doby</w:t>
      </w:r>
      <w:r w:rsidRPr="009D1D5D">
        <w:rPr>
          <w:rFonts w:ascii="Calibri" w:hAnsi="Calibri" w:cs="Calibri"/>
        </w:rPr>
        <w:t xml:space="preserve"> </w:t>
      </w:r>
      <w:r w:rsidR="00A6510C">
        <w:rPr>
          <w:rFonts w:ascii="Calibri" w:hAnsi="Calibri" w:cs="Calibri"/>
        </w:rPr>
        <w:t>provádění stavby</w:t>
      </w:r>
      <w:r w:rsidR="00A6510C" w:rsidRPr="009D1D5D">
        <w:rPr>
          <w:rFonts w:ascii="Calibri" w:hAnsi="Calibri" w:cs="Calibri"/>
        </w:rPr>
        <w:t xml:space="preserve"> </w:t>
      </w:r>
      <w:r w:rsidRPr="009D1D5D">
        <w:rPr>
          <w:rFonts w:ascii="Calibri" w:hAnsi="Calibri" w:cs="Calibri"/>
        </w:rPr>
        <w:t>„</w:t>
      </w:r>
      <w:r w:rsidR="0056139C" w:rsidRPr="0056139C">
        <w:rPr>
          <w:rFonts w:ascii="Calibri" w:hAnsi="Calibri" w:cs="Calibri"/>
          <w:i/>
        </w:rPr>
        <w:t xml:space="preserve">Dodávka a provedení interiéru </w:t>
      </w:r>
      <w:proofErr w:type="spellStart"/>
      <w:r w:rsidR="0056139C" w:rsidRPr="0056139C">
        <w:rPr>
          <w:rFonts w:ascii="Calibri" w:hAnsi="Calibri" w:cs="Calibri"/>
          <w:i/>
        </w:rPr>
        <w:t>Clam-Gallasova</w:t>
      </w:r>
      <w:proofErr w:type="spellEnd"/>
      <w:r w:rsidR="0056139C" w:rsidRPr="0056139C">
        <w:rPr>
          <w:rFonts w:ascii="Calibri" w:hAnsi="Calibri" w:cs="Calibri"/>
          <w:i/>
        </w:rPr>
        <w:t xml:space="preserve"> paláce</w:t>
      </w:r>
      <w:r w:rsidR="007171CB" w:rsidRPr="00A6510C">
        <w:rPr>
          <w:rFonts w:ascii="Calibri" w:eastAsia="Calibri" w:hAnsi="Calibri" w:cs="Calibri"/>
        </w:rPr>
        <w:t>“</w:t>
      </w:r>
      <w:r w:rsidR="00004A5A" w:rsidRPr="009D1D5D">
        <w:rPr>
          <w:rFonts w:ascii="Calibri" w:hAnsi="Calibri" w:cs="Calibri"/>
        </w:rPr>
        <w:t>.</w:t>
      </w:r>
    </w:p>
    <w:p w14:paraId="29C0A531" w14:textId="689F229B" w:rsidR="00C53B23" w:rsidRPr="009D1D5D" w:rsidRDefault="00C7158B" w:rsidP="00E06FF5">
      <w:pPr>
        <w:spacing w:after="0"/>
        <w:jc w:val="both"/>
        <w:rPr>
          <w:rFonts w:ascii="Calibri" w:hAnsi="Calibri" w:cs="Calibri"/>
        </w:rPr>
      </w:pPr>
      <w:r w:rsidRPr="009D1D5D">
        <w:rPr>
          <w:rFonts w:ascii="Calibri" w:hAnsi="Calibri" w:cs="Calibri"/>
        </w:rPr>
        <w:t xml:space="preserve">3) Doba plnění </w:t>
      </w:r>
      <w:r w:rsidR="003E409B">
        <w:rPr>
          <w:rFonts w:ascii="Calibri" w:hAnsi="Calibri" w:cs="Calibri"/>
        </w:rPr>
        <w:t xml:space="preserve">výkonu činnosti TDI </w:t>
      </w:r>
      <w:r w:rsidRPr="009D1D5D">
        <w:rPr>
          <w:rFonts w:ascii="Calibri" w:hAnsi="Calibri" w:cs="Calibri"/>
        </w:rPr>
        <w:t xml:space="preserve">počíná běžet souběžně </w:t>
      </w:r>
      <w:r w:rsidR="00FA0D2D" w:rsidRPr="009D1D5D">
        <w:rPr>
          <w:rFonts w:ascii="Calibri" w:hAnsi="Calibri" w:cs="Calibri"/>
        </w:rPr>
        <w:t xml:space="preserve">s předáním staveniště vybranému zhotoviteli </w:t>
      </w:r>
      <w:r w:rsidR="003E409B">
        <w:rPr>
          <w:rFonts w:ascii="Calibri" w:hAnsi="Calibri" w:cs="Calibri"/>
        </w:rPr>
        <w:t>stavby.</w:t>
      </w:r>
    </w:p>
    <w:p w14:paraId="5E8DFEF9" w14:textId="76D1A48D" w:rsidR="00B027B5" w:rsidRDefault="00C7158B" w:rsidP="00E06FF5">
      <w:pPr>
        <w:spacing w:after="0"/>
        <w:jc w:val="both"/>
      </w:pPr>
      <w:r>
        <w:t>4</w:t>
      </w:r>
      <w:r w:rsidR="00B027B5">
        <w:t>) Výkon činnosti TDI bude technickým dozorem ukončen v den předání kompletní dokumentace o průběhu výstavby</w:t>
      </w:r>
      <w:r w:rsidR="003E409B">
        <w:t>, vztahující se ke stavbě,</w:t>
      </w:r>
      <w:r w:rsidR="00B027B5">
        <w:t xml:space="preserve"> objednateli.</w:t>
      </w:r>
    </w:p>
    <w:p w14:paraId="087B7CD0" w14:textId="77777777" w:rsidR="00B027B5" w:rsidRDefault="00B027B5" w:rsidP="00B027B5">
      <w:pPr>
        <w:jc w:val="both"/>
      </w:pPr>
    </w:p>
    <w:p w14:paraId="046FEFB0" w14:textId="77777777" w:rsidR="00B027B5" w:rsidRPr="00B027B5" w:rsidRDefault="00B027B5" w:rsidP="00B027B5">
      <w:pPr>
        <w:jc w:val="center"/>
        <w:rPr>
          <w:b/>
        </w:rPr>
      </w:pPr>
      <w:r w:rsidRPr="00B027B5">
        <w:rPr>
          <w:b/>
        </w:rPr>
        <w:t xml:space="preserve">Článek </w:t>
      </w:r>
      <w:r w:rsidR="00F76B74">
        <w:rPr>
          <w:b/>
        </w:rPr>
        <w:t>I</w:t>
      </w:r>
      <w:r w:rsidRPr="00B027B5">
        <w:rPr>
          <w:b/>
        </w:rPr>
        <w:t>V.</w:t>
      </w:r>
    </w:p>
    <w:p w14:paraId="554AE849" w14:textId="77777777" w:rsidR="00B027B5" w:rsidRPr="00B027B5" w:rsidRDefault="00B027B5" w:rsidP="00B027B5">
      <w:pPr>
        <w:jc w:val="center"/>
        <w:rPr>
          <w:b/>
        </w:rPr>
      </w:pPr>
      <w:r w:rsidRPr="00B027B5">
        <w:rPr>
          <w:b/>
        </w:rPr>
        <w:t>Místo plnění</w:t>
      </w:r>
    </w:p>
    <w:p w14:paraId="35BE1EF3" w14:textId="22A864FE" w:rsidR="00C7158B" w:rsidRDefault="00B027B5" w:rsidP="0056139C">
      <w:pPr>
        <w:jc w:val="both"/>
      </w:pPr>
      <w:r>
        <w:t>Místem výkonu činnosti TDI je objekt</w:t>
      </w:r>
      <w:r w:rsidR="00D93D24">
        <w:t xml:space="preserve"> MHMP</w:t>
      </w:r>
      <w:r w:rsidR="00657D99">
        <w:t xml:space="preserve">: </w:t>
      </w:r>
      <w:r w:rsidR="007D2137" w:rsidRPr="003236FE">
        <w:t>Hlavní město Praha,</w:t>
      </w:r>
      <w:r w:rsidR="007D2137">
        <w:t xml:space="preserve"> </w:t>
      </w:r>
      <w:proofErr w:type="spellStart"/>
      <w:r w:rsidR="0056139C" w:rsidRPr="00552277">
        <w:rPr>
          <w:bCs/>
        </w:rPr>
        <w:t>Clam-Gallas</w:t>
      </w:r>
      <w:r w:rsidR="0056139C">
        <w:rPr>
          <w:bCs/>
        </w:rPr>
        <w:t>ů</w:t>
      </w:r>
      <w:r w:rsidR="0056139C" w:rsidRPr="00552277">
        <w:rPr>
          <w:bCs/>
        </w:rPr>
        <w:t>v</w:t>
      </w:r>
      <w:proofErr w:type="spellEnd"/>
      <w:r w:rsidR="0056139C" w:rsidRPr="00552277">
        <w:rPr>
          <w:bCs/>
        </w:rPr>
        <w:t xml:space="preserve"> palác, </w:t>
      </w:r>
      <w:r w:rsidR="0056139C" w:rsidRPr="00552277">
        <w:t>Husova 158/20</w:t>
      </w:r>
      <w:r w:rsidR="0056139C">
        <w:t>, 110 00 Praha 1 – Staré Město</w:t>
      </w:r>
      <w:r w:rsidR="0056139C" w:rsidRPr="00552277">
        <w:t>.</w:t>
      </w:r>
    </w:p>
    <w:p w14:paraId="387860BE" w14:textId="77777777" w:rsidR="00C7158B" w:rsidRDefault="00C7158B" w:rsidP="00B027B5"/>
    <w:p w14:paraId="7D241975" w14:textId="77777777" w:rsidR="00B027B5" w:rsidRPr="00B027B5" w:rsidRDefault="00F76B74" w:rsidP="00B027B5">
      <w:pPr>
        <w:jc w:val="center"/>
        <w:rPr>
          <w:b/>
        </w:rPr>
      </w:pPr>
      <w:r>
        <w:rPr>
          <w:b/>
        </w:rPr>
        <w:t>Článek V</w:t>
      </w:r>
      <w:r w:rsidR="00B027B5" w:rsidRPr="00B027B5">
        <w:rPr>
          <w:b/>
        </w:rPr>
        <w:t>.</w:t>
      </w:r>
    </w:p>
    <w:p w14:paraId="6CF1A5CC" w14:textId="77777777" w:rsidR="00B027B5" w:rsidRPr="00B027B5" w:rsidRDefault="00B027B5" w:rsidP="00B027B5">
      <w:pPr>
        <w:jc w:val="center"/>
        <w:rPr>
          <w:b/>
        </w:rPr>
      </w:pPr>
      <w:r w:rsidRPr="00B027B5">
        <w:rPr>
          <w:b/>
        </w:rPr>
        <w:t>Odměna za výkon činnosti TDI</w:t>
      </w:r>
    </w:p>
    <w:p w14:paraId="0D726C89" w14:textId="77777777" w:rsidR="00B027B5" w:rsidRPr="00FA0D2D" w:rsidRDefault="00B027B5" w:rsidP="00C7158B">
      <w:pPr>
        <w:pStyle w:val="Odstavecseseznamem"/>
        <w:numPr>
          <w:ilvl w:val="0"/>
          <w:numId w:val="1"/>
        </w:numPr>
        <w:ind w:left="284" w:hanging="284"/>
        <w:jc w:val="both"/>
      </w:pPr>
      <w:r w:rsidRPr="00FA0D2D">
        <w:t xml:space="preserve">Objednatel se za níže uvedených podmínek zavazuje uhradit </w:t>
      </w:r>
      <w:r w:rsidR="001E085D" w:rsidRPr="00FA0D2D">
        <w:t xml:space="preserve">zhotoviteli </w:t>
      </w:r>
      <w:r w:rsidRPr="00FA0D2D">
        <w:t>sjednanou odměnu za výkon činnosti TDI</w:t>
      </w:r>
      <w:r w:rsidR="001E085D" w:rsidRPr="00FA0D2D">
        <w:t xml:space="preserve"> dle této smlouvy</w:t>
      </w:r>
      <w:r w:rsidR="00207B1B" w:rsidRPr="00FA0D2D">
        <w:t xml:space="preserve"> v celkové výši:</w:t>
      </w:r>
    </w:p>
    <w:p w14:paraId="79BA8D1F" w14:textId="77777777" w:rsidR="00B027B5" w:rsidRDefault="00B027B5" w:rsidP="00B027B5">
      <w:pPr>
        <w:pStyle w:val="Odstavecseseznamem"/>
        <w:jc w:val="both"/>
      </w:pPr>
    </w:p>
    <w:p w14:paraId="0E977891" w14:textId="2CD365B9" w:rsidR="00B027B5" w:rsidRDefault="00B027B5" w:rsidP="00773BB7">
      <w:pPr>
        <w:pStyle w:val="Odstavecseseznamem"/>
        <w:tabs>
          <w:tab w:val="left" w:pos="851"/>
          <w:tab w:val="left" w:pos="1418"/>
        </w:tabs>
        <w:ind w:firstLine="696"/>
        <w:jc w:val="both"/>
      </w:pPr>
      <w:r>
        <w:t xml:space="preserve">Základní cena bez DPH             </w:t>
      </w:r>
      <w:r w:rsidR="00773BB7">
        <w:rPr>
          <w:rFonts w:eastAsia="Times New Roman" w:cs="Times New Roman"/>
          <w:lang w:eastAsia="cs-CZ"/>
        </w:rPr>
        <w:t>294.000,00</w:t>
      </w:r>
      <w:r w:rsidR="009D1D5D">
        <w:t xml:space="preserve"> </w:t>
      </w:r>
      <w:r>
        <w:t xml:space="preserve">Kč </w:t>
      </w:r>
    </w:p>
    <w:p w14:paraId="63F902C7" w14:textId="122D615E" w:rsidR="00B027B5" w:rsidRDefault="00B027B5" w:rsidP="00773BB7">
      <w:pPr>
        <w:tabs>
          <w:tab w:val="left" w:pos="851"/>
          <w:tab w:val="left" w:pos="1418"/>
        </w:tabs>
        <w:jc w:val="both"/>
      </w:pPr>
      <w:r>
        <w:tab/>
        <w:t xml:space="preserve">       </w:t>
      </w:r>
      <w:r>
        <w:tab/>
        <w:t>DPH 21 %</w:t>
      </w:r>
      <w:r>
        <w:tab/>
      </w:r>
      <w:r w:rsidR="00773BB7">
        <w:tab/>
        <w:t xml:space="preserve">             </w:t>
      </w:r>
      <w:r w:rsidR="00773BB7" w:rsidRPr="00773BB7">
        <w:t>61</w:t>
      </w:r>
      <w:r w:rsidR="00773BB7">
        <w:t>.</w:t>
      </w:r>
      <w:r w:rsidR="00773BB7" w:rsidRPr="00773BB7">
        <w:t>740</w:t>
      </w:r>
      <w:r w:rsidR="00773BB7">
        <w:t>,00</w:t>
      </w:r>
      <w:r w:rsidR="00773BB7" w:rsidRPr="00773BB7">
        <w:rPr>
          <w:iCs/>
        </w:rPr>
        <w:t xml:space="preserve"> </w:t>
      </w:r>
      <w:r w:rsidR="00FB058C" w:rsidRPr="00773BB7">
        <w:rPr>
          <w:iCs/>
        </w:rPr>
        <w:t>Kč</w:t>
      </w:r>
    </w:p>
    <w:p w14:paraId="62EC7DA8" w14:textId="402BE15E" w:rsidR="00B027B5" w:rsidRPr="009D1D5D" w:rsidRDefault="00B027B5" w:rsidP="00773BB7">
      <w:pPr>
        <w:tabs>
          <w:tab w:val="left" w:pos="851"/>
          <w:tab w:val="left" w:pos="1418"/>
        </w:tabs>
        <w:jc w:val="both"/>
        <w:rPr>
          <w:b/>
          <w:bCs/>
        </w:rPr>
      </w:pPr>
      <w:r>
        <w:tab/>
        <w:t xml:space="preserve">       </w:t>
      </w:r>
      <w:r>
        <w:tab/>
      </w:r>
      <w:r w:rsidRPr="009D1D5D">
        <w:rPr>
          <w:b/>
          <w:bCs/>
        </w:rPr>
        <w:t xml:space="preserve">Cena celkem včetně DPH </w:t>
      </w:r>
      <w:r w:rsidR="009D1D5D">
        <w:rPr>
          <w:b/>
          <w:bCs/>
        </w:rPr>
        <w:t xml:space="preserve">      </w:t>
      </w:r>
      <w:r w:rsidR="00773BB7" w:rsidRPr="00773BB7">
        <w:rPr>
          <w:b/>
          <w:bCs/>
        </w:rPr>
        <w:t>355.740,00</w:t>
      </w:r>
      <w:r w:rsidR="009D1D5D" w:rsidRPr="00773BB7">
        <w:rPr>
          <w:b/>
          <w:bCs/>
        </w:rPr>
        <w:t xml:space="preserve"> </w:t>
      </w:r>
      <w:r w:rsidRPr="00773BB7">
        <w:rPr>
          <w:b/>
          <w:bCs/>
        </w:rPr>
        <w:t>Kč</w:t>
      </w:r>
      <w:r w:rsidRPr="009D1D5D">
        <w:rPr>
          <w:b/>
          <w:bCs/>
        </w:rPr>
        <w:t xml:space="preserve"> </w:t>
      </w:r>
    </w:p>
    <w:p w14:paraId="259D8F6B" w14:textId="2540309F" w:rsidR="00B027B5" w:rsidRDefault="00B027B5" w:rsidP="008507D2">
      <w:pPr>
        <w:pStyle w:val="Odstavecseseznamem"/>
        <w:numPr>
          <w:ilvl w:val="0"/>
          <w:numId w:val="1"/>
        </w:numPr>
        <w:ind w:left="426"/>
        <w:jc w:val="both"/>
      </w:pPr>
      <w:r>
        <w:t>Součástí této odměny jsou veškeré náklady související s řádným výkonem činnosti TDI, a to včetně veškerých nákladů nezbytných ke splnění všech povinností technického dozoru dle smlouvy, či dle obecně závazných právních předpisů (bez zřetele na to, zda je v této smlouvě uvedeno, že technický dozor splní tu</w:t>
      </w:r>
      <w:r w:rsidR="007A6EF0">
        <w:t>,</w:t>
      </w:r>
      <w:r>
        <w:t xml:space="preserve"> kterou povinnost na své vlastní náklady, či nikoliv).</w:t>
      </w:r>
    </w:p>
    <w:p w14:paraId="63C24259" w14:textId="593198E2" w:rsidR="00BA5C6E" w:rsidRPr="0056139C" w:rsidRDefault="00A26492" w:rsidP="00BA5C6E">
      <w:pPr>
        <w:pStyle w:val="Odstavecseseznamem"/>
        <w:numPr>
          <w:ilvl w:val="0"/>
          <w:numId w:val="1"/>
        </w:numPr>
        <w:ind w:left="426"/>
        <w:jc w:val="both"/>
        <w:rPr>
          <w:rFonts w:ascii="Calibri" w:hAnsi="Calibri" w:cs="Calibri"/>
        </w:rPr>
      </w:pPr>
      <w:r w:rsidRPr="0056139C">
        <w:rPr>
          <w:rFonts w:ascii="Calibri" w:hAnsi="Calibri" w:cs="Calibri"/>
        </w:rPr>
        <w:t>Rozpočtový odhad ceny</w:t>
      </w:r>
      <w:r w:rsidR="00004A5A" w:rsidRPr="0056139C">
        <w:rPr>
          <w:rFonts w:ascii="Calibri" w:hAnsi="Calibri" w:cs="Calibri"/>
        </w:rPr>
        <w:t xml:space="preserve"> </w:t>
      </w:r>
      <w:r w:rsidR="003E409B" w:rsidRPr="0056139C">
        <w:rPr>
          <w:rFonts w:ascii="Calibri" w:hAnsi="Calibri" w:cs="Calibri"/>
        </w:rPr>
        <w:t>stavby</w:t>
      </w:r>
      <w:r w:rsidR="00004A5A" w:rsidRPr="0056139C">
        <w:rPr>
          <w:rFonts w:ascii="Calibri" w:hAnsi="Calibri" w:cs="Calibri"/>
        </w:rPr>
        <w:t xml:space="preserve"> </w:t>
      </w:r>
      <w:r w:rsidR="0056139C">
        <w:rPr>
          <w:rFonts w:ascii="Calibri" w:hAnsi="Calibri" w:cs="Calibri"/>
        </w:rPr>
        <w:t>„</w:t>
      </w:r>
      <w:r w:rsidR="0056139C" w:rsidRPr="0056139C">
        <w:rPr>
          <w:rFonts w:ascii="Calibri" w:hAnsi="Calibri" w:cs="Calibri"/>
          <w:i/>
          <w:iCs/>
        </w:rPr>
        <w:t xml:space="preserve">Dodávka a provedení interiéru </w:t>
      </w:r>
      <w:proofErr w:type="spellStart"/>
      <w:r w:rsidR="0056139C" w:rsidRPr="0056139C">
        <w:rPr>
          <w:rFonts w:ascii="Calibri" w:hAnsi="Calibri" w:cs="Calibri"/>
          <w:i/>
          <w:iCs/>
        </w:rPr>
        <w:t>Clam-Gallasova</w:t>
      </w:r>
      <w:proofErr w:type="spellEnd"/>
      <w:r w:rsidR="0056139C" w:rsidRPr="0056139C">
        <w:rPr>
          <w:rFonts w:ascii="Calibri" w:hAnsi="Calibri" w:cs="Calibri"/>
          <w:i/>
          <w:iCs/>
        </w:rPr>
        <w:t xml:space="preserve"> paláce“ je 19.916.000,00 Kč bez DPH</w:t>
      </w:r>
      <w:r w:rsidR="0056139C">
        <w:rPr>
          <w:rFonts w:ascii="Calibri" w:hAnsi="Calibri" w:cs="Calibri"/>
          <w:i/>
          <w:iCs/>
        </w:rPr>
        <w:t>.</w:t>
      </w:r>
    </w:p>
    <w:p w14:paraId="5EC2FF86" w14:textId="77777777" w:rsidR="0056139C" w:rsidRPr="0056139C" w:rsidRDefault="0056139C" w:rsidP="0056139C">
      <w:pPr>
        <w:pStyle w:val="Odstavecseseznamem"/>
        <w:ind w:left="426"/>
        <w:jc w:val="both"/>
        <w:rPr>
          <w:rFonts w:ascii="Calibri" w:hAnsi="Calibri" w:cs="Calibri"/>
        </w:rPr>
      </w:pPr>
    </w:p>
    <w:p w14:paraId="463629EF" w14:textId="00E23863" w:rsidR="00B027B5" w:rsidRDefault="00B027B5" w:rsidP="00B027B5"/>
    <w:p w14:paraId="0199E305" w14:textId="07A6DB03" w:rsidR="0056139C" w:rsidRDefault="0056139C" w:rsidP="00B027B5"/>
    <w:p w14:paraId="272CB6CD" w14:textId="77777777" w:rsidR="0056139C" w:rsidRDefault="0056139C" w:rsidP="00B027B5"/>
    <w:p w14:paraId="5A15C034" w14:textId="77777777" w:rsidR="00B0382C" w:rsidRDefault="00B0382C" w:rsidP="00B027B5">
      <w:pPr>
        <w:jc w:val="center"/>
        <w:rPr>
          <w:b/>
        </w:rPr>
      </w:pPr>
    </w:p>
    <w:p w14:paraId="0FEA7C89" w14:textId="77777777" w:rsidR="00B0382C" w:rsidRDefault="00B0382C" w:rsidP="00B027B5">
      <w:pPr>
        <w:jc w:val="center"/>
        <w:rPr>
          <w:b/>
        </w:rPr>
      </w:pPr>
    </w:p>
    <w:p w14:paraId="26F38852" w14:textId="0F7B8002" w:rsidR="00B027B5" w:rsidRPr="00B027B5" w:rsidRDefault="00F76B74" w:rsidP="00B027B5">
      <w:pPr>
        <w:jc w:val="center"/>
        <w:rPr>
          <w:b/>
        </w:rPr>
      </w:pPr>
      <w:r>
        <w:rPr>
          <w:b/>
        </w:rPr>
        <w:t>Článek V</w:t>
      </w:r>
      <w:r w:rsidR="00B027B5" w:rsidRPr="00B027B5">
        <w:rPr>
          <w:b/>
        </w:rPr>
        <w:t>I.</w:t>
      </w:r>
    </w:p>
    <w:p w14:paraId="67C18B1A" w14:textId="77777777" w:rsidR="00B027B5" w:rsidRPr="00B027B5" w:rsidRDefault="00B027B5" w:rsidP="00B027B5">
      <w:pPr>
        <w:jc w:val="center"/>
        <w:rPr>
          <w:b/>
        </w:rPr>
      </w:pPr>
      <w:r w:rsidRPr="00B027B5">
        <w:rPr>
          <w:b/>
        </w:rPr>
        <w:t>Platební podmínky</w:t>
      </w:r>
    </w:p>
    <w:p w14:paraId="07025212" w14:textId="77777777" w:rsidR="00B027B5" w:rsidRDefault="00B027B5" w:rsidP="00E06FF5">
      <w:pPr>
        <w:spacing w:after="0"/>
      </w:pPr>
      <w:r>
        <w:t>1) Objednatel neposkytuje na výkon činnosti TDI zálohu.</w:t>
      </w:r>
    </w:p>
    <w:p w14:paraId="7F13260C" w14:textId="5C39394A" w:rsidR="00B027B5" w:rsidRDefault="00B027B5" w:rsidP="00E06FF5">
      <w:pPr>
        <w:spacing w:after="0"/>
        <w:jc w:val="both"/>
      </w:pPr>
      <w:r>
        <w:t xml:space="preserve">2) Odměna bude placena postupně na základě </w:t>
      </w:r>
      <w:r w:rsidR="003E409B">
        <w:t xml:space="preserve">daňových dokladů („dále jen </w:t>
      </w:r>
      <w:r w:rsidR="003E409B" w:rsidRPr="009D1D5D">
        <w:rPr>
          <w:b/>
          <w:bCs/>
          <w:i/>
          <w:iCs/>
        </w:rPr>
        <w:t>„faktura“)</w:t>
      </w:r>
      <w:r w:rsidR="003E409B">
        <w:t xml:space="preserve"> </w:t>
      </w:r>
      <w:r>
        <w:t>vystavených technickým dozorem po skončení běžného měsíce. Technický dozor se zavazuje vystavit fakturu vždy do 15. dne po skončení měsíce.</w:t>
      </w:r>
    </w:p>
    <w:p w14:paraId="1CA78C54" w14:textId="77777777" w:rsidR="00B027B5" w:rsidRDefault="00B027B5" w:rsidP="00E06FF5">
      <w:pPr>
        <w:spacing w:after="0"/>
        <w:jc w:val="both"/>
      </w:pPr>
      <w:r>
        <w:t>3) Faktura vystavená technickým dozorem musí splňovat náležitosti účetního a daňového dokladu dle příslušných právních předpisů, zejména zákona o účetnictví a zákona a dani z přidané hodnoty, konkrétně musí obsahovat zejména:</w:t>
      </w:r>
    </w:p>
    <w:p w14:paraId="62BF30A1" w14:textId="77777777" w:rsidR="00B027B5" w:rsidRDefault="00B027B5" w:rsidP="008507D2">
      <w:pPr>
        <w:spacing w:after="60"/>
      </w:pPr>
      <w:r>
        <w:t>- označení povinné a oprávněné osoby, adresu, sídlo, DIČ,</w:t>
      </w:r>
    </w:p>
    <w:p w14:paraId="5BB98094" w14:textId="77777777" w:rsidR="00B027B5" w:rsidRDefault="00B027B5" w:rsidP="008507D2">
      <w:pPr>
        <w:spacing w:after="60"/>
      </w:pPr>
      <w:r>
        <w:t>- číslo dokladu,</w:t>
      </w:r>
    </w:p>
    <w:p w14:paraId="7686A3C6" w14:textId="77777777" w:rsidR="00B027B5" w:rsidRDefault="00B027B5" w:rsidP="008507D2">
      <w:pPr>
        <w:spacing w:after="60"/>
      </w:pPr>
      <w:r>
        <w:t>- den odeslání a den splatnosti, den zdanitelného plnění,</w:t>
      </w:r>
    </w:p>
    <w:p w14:paraId="2645E65B" w14:textId="77777777" w:rsidR="00B027B5" w:rsidRDefault="00B027B5" w:rsidP="008507D2">
      <w:pPr>
        <w:spacing w:after="60"/>
      </w:pPr>
      <w:r>
        <w:t>- označení peněžního ústavu a číslo účtu, na který se má platit,</w:t>
      </w:r>
    </w:p>
    <w:p w14:paraId="62A2FB9C" w14:textId="77777777" w:rsidR="00B027B5" w:rsidRDefault="00B027B5" w:rsidP="008507D2">
      <w:pPr>
        <w:spacing w:after="60"/>
      </w:pPr>
      <w:r>
        <w:t>- konstantní a variabilní symbol,</w:t>
      </w:r>
    </w:p>
    <w:p w14:paraId="219B859C" w14:textId="77777777" w:rsidR="00B027B5" w:rsidRDefault="005952F5" w:rsidP="008507D2">
      <w:pPr>
        <w:spacing w:after="60"/>
      </w:pPr>
      <w:r>
        <w:t xml:space="preserve">- </w:t>
      </w:r>
      <w:r w:rsidR="00B027B5">
        <w:t>účtovanou částku, DPH, účtovanou částku vč. DPH,</w:t>
      </w:r>
    </w:p>
    <w:p w14:paraId="666187C3" w14:textId="77777777" w:rsidR="00B027B5" w:rsidRDefault="005952F5" w:rsidP="008507D2">
      <w:pPr>
        <w:spacing w:after="60"/>
      </w:pPr>
      <w:r>
        <w:t xml:space="preserve">- </w:t>
      </w:r>
      <w:r w:rsidR="00B027B5">
        <w:t>název díla, označení části díla,</w:t>
      </w:r>
    </w:p>
    <w:p w14:paraId="46A238BA" w14:textId="0AF5AFBF" w:rsidR="00B027B5" w:rsidRDefault="005952F5" w:rsidP="008507D2">
      <w:pPr>
        <w:spacing w:after="60"/>
      </w:pPr>
      <w:r>
        <w:t xml:space="preserve">- </w:t>
      </w:r>
      <w:r w:rsidR="00B027B5">
        <w:t>důvod účtování s odvoláním na smlouvu</w:t>
      </w:r>
      <w:r w:rsidR="008507D2">
        <w:t>, s uvedením čísla smlouvy</w:t>
      </w:r>
      <w:r w:rsidR="00B027B5">
        <w:t>,</w:t>
      </w:r>
    </w:p>
    <w:p w14:paraId="58671F32" w14:textId="77777777" w:rsidR="00B027B5" w:rsidRDefault="005952F5" w:rsidP="008507D2">
      <w:pPr>
        <w:spacing w:after="60"/>
      </w:pPr>
      <w:r>
        <w:t xml:space="preserve">- </w:t>
      </w:r>
      <w:r w:rsidR="00B027B5">
        <w:t>razítko a podpis osoby oprávněné k vystavení daňového a účetního dokladu,</w:t>
      </w:r>
    </w:p>
    <w:p w14:paraId="0724A306" w14:textId="77777777" w:rsidR="00B027B5" w:rsidRDefault="005952F5" w:rsidP="008507D2">
      <w:pPr>
        <w:spacing w:after="60"/>
      </w:pPr>
      <w:r>
        <w:t xml:space="preserve">- </w:t>
      </w:r>
      <w:r w:rsidR="00B027B5">
        <w:t>seznam příloh,</w:t>
      </w:r>
    </w:p>
    <w:p w14:paraId="238ED933" w14:textId="1A57BAA1" w:rsidR="00B027B5" w:rsidRDefault="005952F5" w:rsidP="008507D2">
      <w:pPr>
        <w:spacing w:after="60"/>
      </w:pPr>
      <w:r>
        <w:t xml:space="preserve">- </w:t>
      </w:r>
      <w:r w:rsidR="00B027B5">
        <w:t>další náležitosti, pokud je stanoví obecně závazný předpis</w:t>
      </w:r>
      <w:r w:rsidR="008507D2">
        <w:t>,</w:t>
      </w:r>
    </w:p>
    <w:p w14:paraId="3A2F3FF6" w14:textId="3F11B731" w:rsidR="00D93D24" w:rsidRDefault="00D93D24" w:rsidP="008507D2">
      <w:pPr>
        <w:spacing w:after="60"/>
      </w:pPr>
      <w:r>
        <w:t>- přílohou každé faktury musí být hodinový výkaz činnosti se soupisem prací</w:t>
      </w:r>
      <w:r w:rsidR="008507D2">
        <w:t>.</w:t>
      </w:r>
    </w:p>
    <w:p w14:paraId="41B59051" w14:textId="39145D8F" w:rsidR="00B027B5" w:rsidRDefault="00B027B5" w:rsidP="00E06FF5">
      <w:pPr>
        <w:spacing w:after="0"/>
        <w:jc w:val="both"/>
      </w:pPr>
      <w:r>
        <w:t xml:space="preserve">4) Faktury včetně příloh </w:t>
      </w:r>
      <w:r w:rsidR="008507D2">
        <w:t xml:space="preserve">doručí zhotovitel do </w:t>
      </w:r>
      <w:r w:rsidR="008507D2" w:rsidRPr="008507D2">
        <w:t>DS objednatele</w:t>
      </w:r>
      <w:r w:rsidR="008507D2">
        <w:t xml:space="preserve">, nebo do sídla objednatele </w:t>
      </w:r>
      <w:r>
        <w:t>ve 2 vyhotoveních</w:t>
      </w:r>
      <w:r w:rsidR="009D1D5D">
        <w:t>.</w:t>
      </w:r>
    </w:p>
    <w:p w14:paraId="6D6E45FF" w14:textId="2CC4402E" w:rsidR="00B027B5" w:rsidRDefault="00B027B5" w:rsidP="00E06FF5">
      <w:pPr>
        <w:spacing w:after="0"/>
        <w:jc w:val="both"/>
      </w:pPr>
      <w:r>
        <w:t>5) V případě, že faktura nebude obsahovat náležitosti výše uvedené nebo k n</w:t>
      </w:r>
      <w:r w:rsidR="008507D2">
        <w:t>í</w:t>
      </w:r>
      <w:r>
        <w:t xml:space="preserve"> nebudou přiloženy řádné doklady (přílohy) smlouvou vyžadované, je objednatel oprávněn vrátit j</w:t>
      </w:r>
      <w:r w:rsidR="008507D2">
        <w:t>i</w:t>
      </w:r>
      <w:r>
        <w:t xml:space="preserve"> technickému dozoru a požadovat vystavení nové</w:t>
      </w:r>
      <w:r w:rsidR="007A6EF0">
        <w:t xml:space="preserve"> </w:t>
      </w:r>
      <w:r>
        <w:t>faktury. Právo vrátit tento doklad technickému dozoru zaniká, neuplatní-li jej objednatel do deseti pracovních dnů ode dne doručení takového dokladu technickému dozoru. Počínaje dnem doručení opravené faktury objednateli začne plynout nová lhůta splatnosti. Technický dozor, je však povinen opravit vady dokladu nebo doklad doplnit o smlouvou požadované přílohy, je-li k tomu objednatelem dodatečně vyzván i po lhůtě výše uvedené s tím, že však takováto výzva nemá účinky spojené s vrácením faktury dle tohoto odstavce.</w:t>
      </w:r>
    </w:p>
    <w:p w14:paraId="3A8027EC" w14:textId="77777777" w:rsidR="00B027B5" w:rsidRDefault="00B027B5" w:rsidP="00E06FF5">
      <w:pPr>
        <w:spacing w:after="0"/>
        <w:jc w:val="both"/>
      </w:pPr>
      <w:r>
        <w:t xml:space="preserve">6) Doba splatnosti daňových dokladů je stanovena na </w:t>
      </w:r>
      <w:r w:rsidR="005952F5">
        <w:t>dvacet jedna (21</w:t>
      </w:r>
      <w:r>
        <w:t>) kalendářních dnů ode dne doručení daňového dokladu objednateli.</w:t>
      </w:r>
    </w:p>
    <w:p w14:paraId="61884BF1" w14:textId="4215ED91" w:rsidR="005952F5" w:rsidRDefault="005952F5" w:rsidP="005952F5">
      <w:pPr>
        <w:jc w:val="both"/>
      </w:pPr>
    </w:p>
    <w:p w14:paraId="5E47B7C7" w14:textId="006240E9" w:rsidR="009D1D5D" w:rsidRDefault="009D1D5D" w:rsidP="005952F5">
      <w:pPr>
        <w:jc w:val="both"/>
      </w:pPr>
    </w:p>
    <w:p w14:paraId="5460E889" w14:textId="24C5AAF6" w:rsidR="009D1D5D" w:rsidRDefault="009D1D5D" w:rsidP="005952F5">
      <w:pPr>
        <w:jc w:val="both"/>
      </w:pPr>
    </w:p>
    <w:p w14:paraId="4E3C6367" w14:textId="2E7830C4" w:rsidR="009D1D5D" w:rsidRDefault="009D1D5D" w:rsidP="005952F5">
      <w:pPr>
        <w:jc w:val="both"/>
      </w:pPr>
    </w:p>
    <w:p w14:paraId="04EB5510" w14:textId="532B02AE" w:rsidR="00B0382C" w:rsidRDefault="00B0382C" w:rsidP="005952F5">
      <w:pPr>
        <w:jc w:val="both"/>
      </w:pPr>
    </w:p>
    <w:p w14:paraId="3412AC12" w14:textId="77777777" w:rsidR="00B0382C" w:rsidRDefault="00B0382C" w:rsidP="005952F5">
      <w:pPr>
        <w:jc w:val="both"/>
      </w:pPr>
    </w:p>
    <w:p w14:paraId="44D65A21" w14:textId="77777777" w:rsidR="005952F5" w:rsidRDefault="005952F5" w:rsidP="005952F5">
      <w:pPr>
        <w:jc w:val="both"/>
      </w:pPr>
    </w:p>
    <w:p w14:paraId="6E4C8E4F" w14:textId="77777777" w:rsidR="00B027B5" w:rsidRPr="005952F5" w:rsidRDefault="00F76B74" w:rsidP="005952F5">
      <w:pPr>
        <w:jc w:val="center"/>
        <w:rPr>
          <w:b/>
        </w:rPr>
      </w:pPr>
      <w:r>
        <w:rPr>
          <w:b/>
        </w:rPr>
        <w:t>Článek VI</w:t>
      </w:r>
      <w:r w:rsidR="00B027B5" w:rsidRPr="005952F5">
        <w:rPr>
          <w:b/>
        </w:rPr>
        <w:t>I.</w:t>
      </w:r>
    </w:p>
    <w:p w14:paraId="09FC633D" w14:textId="77777777" w:rsidR="00B027B5" w:rsidRPr="005952F5" w:rsidRDefault="00B027B5" w:rsidP="005952F5">
      <w:pPr>
        <w:jc w:val="center"/>
        <w:rPr>
          <w:b/>
        </w:rPr>
      </w:pPr>
      <w:r w:rsidRPr="005952F5">
        <w:rPr>
          <w:b/>
        </w:rPr>
        <w:t>Sankce</w:t>
      </w:r>
    </w:p>
    <w:p w14:paraId="3277DC6D" w14:textId="77777777" w:rsidR="00B027B5" w:rsidRDefault="00B027B5" w:rsidP="00E06FF5">
      <w:pPr>
        <w:spacing w:after="0"/>
        <w:jc w:val="both"/>
      </w:pPr>
      <w:r>
        <w:t>1) Bude-li objednatel v prodlení s úhradou faktury, je technický dozor oprávněn požadovat zaplacení úroku z prodlení ve výši 0,</w:t>
      </w:r>
      <w:r w:rsidR="005952F5">
        <w:t>0</w:t>
      </w:r>
      <w:r>
        <w:t>5 % z dlužné částky za každý započatý den prodlení až do úplného zaplacení dlužné částky.</w:t>
      </w:r>
    </w:p>
    <w:p w14:paraId="3B4FFD17" w14:textId="24E4666B" w:rsidR="00B027B5" w:rsidRDefault="00B027B5" w:rsidP="00E06FF5">
      <w:pPr>
        <w:spacing w:after="0"/>
        <w:jc w:val="both"/>
      </w:pPr>
      <w:r>
        <w:t>2) V případě porušení povinností technického dozor</w:t>
      </w:r>
      <w:r w:rsidR="00080C45">
        <w:t>u</w:t>
      </w:r>
      <w:r>
        <w:t xml:space="preserve"> při výkonu činnosti dle smlouvy je objednatel oprávněn požadovat zaplacení smluvní pokuty ve výši 5</w:t>
      </w:r>
      <w:r w:rsidR="008507D2">
        <w:t>.</w:t>
      </w:r>
      <w:r w:rsidR="005952F5">
        <w:t>0</w:t>
      </w:r>
      <w:r>
        <w:t>00</w:t>
      </w:r>
      <w:r w:rsidR="008507D2">
        <w:t>,00</w:t>
      </w:r>
      <w:r>
        <w:t xml:space="preserve"> Kč za každé porušení povinnosti technického dozoru.</w:t>
      </w:r>
    </w:p>
    <w:p w14:paraId="06AD3DBD" w14:textId="77777777" w:rsidR="00B027B5" w:rsidRDefault="00B027B5" w:rsidP="00E06FF5">
      <w:pPr>
        <w:spacing w:after="0"/>
        <w:jc w:val="both"/>
      </w:pPr>
      <w:r>
        <w:t>3) Uhrazení smluvní pokuty není dotčeno právo poškozené smluvní strany domáhat se náhrady škody, jež jí vznikla porušením smluvní povinnosti, které se smluvní pokuta týká.</w:t>
      </w:r>
    </w:p>
    <w:p w14:paraId="3F264218" w14:textId="77777777" w:rsidR="00B027B5" w:rsidRDefault="00B027B5" w:rsidP="00E06FF5">
      <w:pPr>
        <w:spacing w:after="0"/>
        <w:jc w:val="both"/>
      </w:pPr>
      <w:r>
        <w:t>4) Veškeré smluvní pokuty jsou splatné do 60 dnů od jejich uplatnění u druhé smluvní strany.</w:t>
      </w:r>
    </w:p>
    <w:p w14:paraId="39C262AB" w14:textId="77777777" w:rsidR="005952F5" w:rsidRDefault="005952F5" w:rsidP="005952F5">
      <w:pPr>
        <w:jc w:val="both"/>
      </w:pPr>
    </w:p>
    <w:p w14:paraId="71500CB0" w14:textId="77777777" w:rsidR="00B027B5" w:rsidRPr="005952F5" w:rsidRDefault="00F76B74" w:rsidP="005952F5">
      <w:pPr>
        <w:jc w:val="center"/>
        <w:rPr>
          <w:b/>
        </w:rPr>
      </w:pPr>
      <w:r>
        <w:rPr>
          <w:b/>
        </w:rPr>
        <w:t>Článek VIII</w:t>
      </w:r>
      <w:r w:rsidR="00B027B5" w:rsidRPr="005952F5">
        <w:rPr>
          <w:b/>
        </w:rPr>
        <w:t>.</w:t>
      </w:r>
    </w:p>
    <w:p w14:paraId="2703C296" w14:textId="77777777" w:rsidR="00B027B5" w:rsidRDefault="00B027B5" w:rsidP="005952F5">
      <w:pPr>
        <w:jc w:val="center"/>
        <w:rPr>
          <w:b/>
        </w:rPr>
      </w:pPr>
      <w:r w:rsidRPr="005952F5">
        <w:rPr>
          <w:b/>
        </w:rPr>
        <w:t>Doba trvání a možnosti ukončení smlouvy</w:t>
      </w:r>
    </w:p>
    <w:p w14:paraId="564CB7B4" w14:textId="6939E937" w:rsidR="00B027B5" w:rsidRDefault="00B027B5" w:rsidP="00E06FF5">
      <w:pPr>
        <w:spacing w:after="0"/>
        <w:jc w:val="both"/>
      </w:pPr>
      <w:r>
        <w:t xml:space="preserve">1) </w:t>
      </w:r>
      <w:r w:rsidR="008507D2">
        <w:t>S</w:t>
      </w:r>
      <w:r>
        <w:t xml:space="preserve">mlouvu lze ukončit vzájemnou </w:t>
      </w:r>
      <w:r w:rsidR="007A6EF0">
        <w:t xml:space="preserve">písemnou </w:t>
      </w:r>
      <w:r>
        <w:t>dohodou smluvních stran, odstoupením od smlouvy nebo výpovědí.</w:t>
      </w:r>
    </w:p>
    <w:p w14:paraId="58304B9B" w14:textId="77777777" w:rsidR="00B027B5" w:rsidRDefault="00B027B5" w:rsidP="00E06FF5">
      <w:pPr>
        <w:spacing w:after="0"/>
        <w:jc w:val="both"/>
      </w:pPr>
      <w:r>
        <w:t>2) Objednatel je oprávněn písemně odstoupit od smlouvy, pokud technický dozor:</w:t>
      </w:r>
    </w:p>
    <w:p w14:paraId="4FD163A2" w14:textId="77777777" w:rsidR="00B027B5" w:rsidRDefault="00B027B5" w:rsidP="00E06FF5">
      <w:pPr>
        <w:spacing w:after="0"/>
        <w:ind w:left="284"/>
        <w:jc w:val="both"/>
      </w:pPr>
      <w:r>
        <w:t>a) nezahájí výkon činnosti do 7 dnů od termínu stanoveného pro zahájení činnosti,</w:t>
      </w:r>
    </w:p>
    <w:p w14:paraId="2EE80E07" w14:textId="77777777" w:rsidR="00B027B5" w:rsidRDefault="00B027B5" w:rsidP="00E06FF5">
      <w:pPr>
        <w:spacing w:after="0"/>
        <w:ind w:left="284"/>
        <w:jc w:val="both"/>
      </w:pPr>
      <w:r>
        <w:t>b) bude v prodlení s plněním závazku dle této smlouvy po dobu delší než 5 dnů,</w:t>
      </w:r>
    </w:p>
    <w:p w14:paraId="176EE3A9" w14:textId="6DB4D4B8" w:rsidR="00B027B5" w:rsidRDefault="00B027B5" w:rsidP="00E06FF5">
      <w:pPr>
        <w:spacing w:after="0"/>
        <w:ind w:left="284"/>
        <w:jc w:val="both"/>
      </w:pPr>
      <w:r>
        <w:t>c) bezdůvodně přeruší výkon činnosti TDI</w:t>
      </w:r>
      <w:r w:rsidR="008507D2">
        <w:t>,</w:t>
      </w:r>
    </w:p>
    <w:p w14:paraId="142077F4" w14:textId="77777777" w:rsidR="00B027B5" w:rsidRDefault="00B027B5" w:rsidP="00E06FF5">
      <w:pPr>
        <w:spacing w:after="0"/>
        <w:jc w:val="both"/>
      </w:pPr>
      <w:r>
        <w:t>3) Objednatel je dále oprávněn písemně odstoupit od smlouvy, pokud:</w:t>
      </w:r>
    </w:p>
    <w:p w14:paraId="3CA68FE7" w14:textId="77777777" w:rsidR="00B027B5" w:rsidRDefault="00B027B5" w:rsidP="00E06FF5">
      <w:pPr>
        <w:spacing w:after="0"/>
        <w:ind w:left="284"/>
        <w:jc w:val="both"/>
      </w:pPr>
      <w:r>
        <w:t>a) na majetek technického dozoru bylo zahájeno insolvenční řízení,</w:t>
      </w:r>
    </w:p>
    <w:p w14:paraId="5CEB569A" w14:textId="77777777" w:rsidR="00B027B5" w:rsidRDefault="00B027B5" w:rsidP="00E06FF5">
      <w:pPr>
        <w:spacing w:after="0"/>
        <w:ind w:left="284"/>
        <w:jc w:val="both"/>
      </w:pPr>
      <w:r>
        <w:t>b) návrh na prohlášení konkurzu byl zamítnut pro nedostatek majetku technického dozoru,</w:t>
      </w:r>
    </w:p>
    <w:p w14:paraId="4B6628F0" w14:textId="77777777" w:rsidR="00B027B5" w:rsidRDefault="00B027B5" w:rsidP="00E06FF5">
      <w:pPr>
        <w:spacing w:after="0"/>
        <w:ind w:left="284"/>
        <w:jc w:val="both"/>
      </w:pPr>
      <w:r>
        <w:t>c) technický dozor vstoupí do likvidace.</w:t>
      </w:r>
    </w:p>
    <w:p w14:paraId="293D549C" w14:textId="77777777" w:rsidR="00B027B5" w:rsidRDefault="00B027B5" w:rsidP="00E06FF5">
      <w:pPr>
        <w:spacing w:after="0"/>
        <w:jc w:val="both"/>
      </w:pPr>
      <w:r>
        <w:t>4) 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30E39AD9" w14:textId="4D518CB5" w:rsidR="00B027B5" w:rsidRDefault="00B027B5" w:rsidP="00E06FF5">
      <w:pPr>
        <w:spacing w:after="0"/>
        <w:jc w:val="both"/>
      </w:pPr>
      <w:r>
        <w:t>5) Každá ze smluvních stran je oprávněna smlouvu vypovědět bez udání důvodů. Výpovědní doba činí 30 dní a počíná běžet okamžikem doručení písemné výpovědi druhé smluvní straně.</w:t>
      </w:r>
    </w:p>
    <w:p w14:paraId="26B836D3" w14:textId="77777777" w:rsidR="005952F5" w:rsidRDefault="005952F5" w:rsidP="005952F5">
      <w:pPr>
        <w:jc w:val="both"/>
      </w:pPr>
    </w:p>
    <w:p w14:paraId="041BF4C7" w14:textId="77777777" w:rsidR="00B027B5" w:rsidRPr="005952F5" w:rsidRDefault="00B027B5" w:rsidP="005952F5">
      <w:pPr>
        <w:jc w:val="center"/>
        <w:rPr>
          <w:b/>
        </w:rPr>
      </w:pPr>
      <w:r w:rsidRPr="005952F5">
        <w:rPr>
          <w:b/>
        </w:rPr>
        <w:t xml:space="preserve">Článek </w:t>
      </w:r>
      <w:r w:rsidR="00F76B74">
        <w:rPr>
          <w:b/>
        </w:rPr>
        <w:t>I</w:t>
      </w:r>
      <w:r w:rsidRPr="005952F5">
        <w:rPr>
          <w:b/>
        </w:rPr>
        <w:t>X.</w:t>
      </w:r>
    </w:p>
    <w:p w14:paraId="3F8A2BA4" w14:textId="77777777" w:rsidR="00B027B5" w:rsidRPr="005952F5" w:rsidRDefault="00B027B5" w:rsidP="005952F5">
      <w:pPr>
        <w:jc w:val="center"/>
        <w:rPr>
          <w:b/>
        </w:rPr>
      </w:pPr>
      <w:r w:rsidRPr="005952F5">
        <w:rPr>
          <w:b/>
        </w:rPr>
        <w:t>Závěrečná ustanovení</w:t>
      </w:r>
    </w:p>
    <w:p w14:paraId="32B91902" w14:textId="4369CC41" w:rsidR="005952F5" w:rsidRDefault="00B027B5" w:rsidP="00E06FF5">
      <w:pPr>
        <w:spacing w:after="0"/>
        <w:jc w:val="both"/>
      </w:pPr>
      <w:r>
        <w:t xml:space="preserve">1) </w:t>
      </w:r>
      <w:r w:rsidR="005952F5">
        <w:t xml:space="preserve">Smlouva nabývá platnosti dnem jejího podpisu oběma smluvními stranami a účinnosti dnem jejího uveřejnění prostřednictvím registru smluv dle článku IX. odst. </w:t>
      </w:r>
      <w:r w:rsidR="00062211">
        <w:t>2</w:t>
      </w:r>
      <w:r w:rsidR="005952F5">
        <w:t xml:space="preserve">. smlouvy. </w:t>
      </w:r>
    </w:p>
    <w:p w14:paraId="0054C985" w14:textId="7BF73601" w:rsidR="00B027B5" w:rsidRDefault="00062211" w:rsidP="00E06FF5">
      <w:pPr>
        <w:spacing w:after="0"/>
        <w:jc w:val="both"/>
      </w:pPr>
      <w:r>
        <w:t>2</w:t>
      </w:r>
      <w:r w:rsidR="005952F5">
        <w:t>) Smluvní strany výslovně sjednávají, že uveřejnění smlouvy o dílo v registru smluv dle zákona č. 340/2015 Sb., o zvláštních podmínkách účinnosti některých smluv, uveřejňování těchto smluv a o registru smluv</w:t>
      </w:r>
      <w:r>
        <w:t>, ve znění pozdějších předpisů</w:t>
      </w:r>
      <w:r w:rsidR="005952F5">
        <w:t xml:space="preserve"> (zákon o registru smluv) zajistí objednatel.</w:t>
      </w:r>
    </w:p>
    <w:p w14:paraId="4FC3B3C2" w14:textId="572FB6A3" w:rsidR="005952F5" w:rsidRDefault="00062211" w:rsidP="00E06FF5">
      <w:pPr>
        <w:spacing w:after="0"/>
        <w:jc w:val="both"/>
      </w:pPr>
      <w:r>
        <w:t>3</w:t>
      </w:r>
      <w:r w:rsidR="005952F5">
        <w:t xml:space="preserve">) </w:t>
      </w:r>
      <w:r w:rsidR="005952F5" w:rsidRPr="005952F5">
        <w:t xml:space="preserve">Smluvní strany výslovně souhlasí s tím, aby tato smlouva byla uvedena v Centrální evidenci smluv (CES) vedené </w:t>
      </w:r>
      <w:r>
        <w:t>objednatelem</w:t>
      </w:r>
      <w:r w:rsidR="005952F5" w:rsidRPr="005952F5">
        <w:t>, která je veřejně přístupná a která obsahuje údaje o smluvních stranách, číselné označení smlouvy</w:t>
      </w:r>
      <w:r w:rsidR="007A6EF0">
        <w:t>,</w:t>
      </w:r>
      <w:r w:rsidR="005952F5" w:rsidRPr="005952F5">
        <w:t xml:space="preserve"> datum jejího podpisu</w:t>
      </w:r>
      <w:r>
        <w:t xml:space="preserve"> a text smlouvy</w:t>
      </w:r>
      <w:r w:rsidR="005952F5" w:rsidRPr="005952F5">
        <w:t>. Smluvní strany prohlašují, že skutečnosti uvedené v</w:t>
      </w:r>
      <w:r>
        <w:t>e</w:t>
      </w:r>
      <w:r w:rsidR="005952F5" w:rsidRPr="005952F5">
        <w:t xml:space="preserve"> smlouvě nepovažují za obchodní tajemství ve smyslu § 504 OZ a udělují svolení k jejich užití a zveřejnění bez stanovení jakýchkoli dalších podmínek.</w:t>
      </w:r>
    </w:p>
    <w:p w14:paraId="21D3EC0B" w14:textId="1C8B4EAA" w:rsidR="00B027B5" w:rsidRDefault="00062211" w:rsidP="00E06FF5">
      <w:pPr>
        <w:spacing w:after="0"/>
        <w:jc w:val="both"/>
      </w:pPr>
      <w:r>
        <w:lastRenderedPageBreak/>
        <w:t>4</w:t>
      </w:r>
      <w:r w:rsidR="00B027B5">
        <w:t xml:space="preserve">) Smlouva a skutečnosti v této smlouvě neupravené se řídí právním řádem České republiky, zejména </w:t>
      </w:r>
      <w:r>
        <w:t>OZ.</w:t>
      </w:r>
    </w:p>
    <w:p w14:paraId="5A133205" w14:textId="27558A21" w:rsidR="00B027B5" w:rsidRDefault="00062211" w:rsidP="00E06FF5">
      <w:pPr>
        <w:spacing w:after="0"/>
        <w:jc w:val="both"/>
      </w:pPr>
      <w:r>
        <w:t>5</w:t>
      </w:r>
      <w:r w:rsidR="00B027B5">
        <w:t>) Nestanoví-li smlouva jinak, lze ji měnit pouze písemně formou číslovaných dodatků podepsaných oběma smluvními stranami.</w:t>
      </w:r>
    </w:p>
    <w:p w14:paraId="2D72C35B" w14:textId="17A0DA93" w:rsidR="00B027B5" w:rsidRDefault="00062211" w:rsidP="00E06FF5">
      <w:pPr>
        <w:spacing w:after="0"/>
        <w:jc w:val="both"/>
      </w:pPr>
      <w:r>
        <w:t>6</w:t>
      </w:r>
      <w:r w:rsidR="00B027B5">
        <w:t xml:space="preserve">) Jednotlivá ustanovení smlouvy jsou oddělitelná v tom smyslu, že neplatnost některého z nich nepůsobí neplatnost smlouvy jako celku. Pokud by se v důsledku změny právní úpravy některé ustanovení smlouvy dostalo do rozporu s českým právním řádem (dále jen </w:t>
      </w:r>
      <w:r w:rsidR="00B027B5" w:rsidRPr="009D1D5D">
        <w:rPr>
          <w:b/>
          <w:bCs/>
          <w:i/>
          <w:iCs/>
        </w:rPr>
        <w:t>„kolizní ustanovení“)</w:t>
      </w:r>
      <w:r w:rsidR="00B027B5">
        <w:t xml:space="preserve"> a předmětný rozpor by působil neplatnosti smlouvy jako takové, bude smlouva posuzována, jako</w:t>
      </w:r>
      <w:r>
        <w:t xml:space="preserve"> </w:t>
      </w:r>
      <w:r w:rsidR="00B027B5">
        <w:t>by kolizní ustanovení nikdy neobsahovala a vztah smluvních stran se bude v této záležitosti řídit obecně závaznými právními předpisy, pokud se smluvní strany nedohodnou na znění nového ustanovení, jež by nahradilo kolizní ustanovení.</w:t>
      </w:r>
    </w:p>
    <w:p w14:paraId="26BD5639" w14:textId="4836B96B" w:rsidR="00B027B5" w:rsidRDefault="00062211" w:rsidP="00E06FF5">
      <w:pPr>
        <w:spacing w:after="0"/>
        <w:jc w:val="both"/>
      </w:pPr>
      <w:r>
        <w:t>7</w:t>
      </w:r>
      <w:r w:rsidR="00B027B5">
        <w:t xml:space="preserve">) Smlouva je vyhotovena ve </w:t>
      </w:r>
      <w:r w:rsidR="005952F5">
        <w:t>pěti (5)</w:t>
      </w:r>
      <w:r w:rsidR="00B027B5">
        <w:t xml:space="preserve"> vyhotoveních, z nichž každé vyhotovení má platnost originálu a </w:t>
      </w:r>
      <w:r w:rsidR="00F76B74">
        <w:t>objednatel obdrží 4</w:t>
      </w:r>
      <w:r w:rsidR="00B027B5">
        <w:t xml:space="preserve"> vzájemně potvrzená vyhotovení smlouvy</w:t>
      </w:r>
      <w:r w:rsidR="00F76B74">
        <w:t xml:space="preserve"> a zhotovitel 1 vzájemně potvrzené vyhotovení smlouvy.</w:t>
      </w:r>
      <w:r w:rsidR="007A6EF0">
        <w:t xml:space="preserve"> </w:t>
      </w:r>
      <w:r w:rsidR="007A6EF0" w:rsidRPr="007A6EF0">
        <w:t>Předchozí věta neplatí, bude</w:t>
      </w:r>
      <w:r w:rsidR="0056139C">
        <w:t>-</w:t>
      </w:r>
      <w:r w:rsidR="007A6EF0" w:rsidRPr="007A6EF0">
        <w:t xml:space="preserve">li </w:t>
      </w:r>
      <w:r w:rsidR="007A6EF0">
        <w:t>s</w:t>
      </w:r>
      <w:r w:rsidR="007A6EF0" w:rsidRPr="007A6EF0">
        <w:t xml:space="preserve">mlouva uzavřena v elektronické podobě s připojením platných elektronických podpisů oprávněných zástupců smluvních stran, v takovém případě postačí jedno vyhotovení </w:t>
      </w:r>
      <w:r w:rsidR="007A6EF0">
        <w:t>s</w:t>
      </w:r>
      <w:r w:rsidR="007A6EF0" w:rsidRPr="007A6EF0">
        <w:t>mlouvy, na kterém jsou zaznamenány platné elektronické podpisy zástupců obou smluvních stran.</w:t>
      </w:r>
    </w:p>
    <w:p w14:paraId="48A18C38" w14:textId="76018CAD" w:rsidR="00F76B74" w:rsidRDefault="00062211" w:rsidP="00E06FF5">
      <w:pPr>
        <w:spacing w:after="0"/>
        <w:jc w:val="both"/>
      </w:pPr>
      <w:r>
        <w:t>8) Smluvní strany prohlašují, že si smlouvu před jejím podpisem přečetly, jejímu obsahu porozuměly, že byla uzavřena po vzájemném projednání, že jim nejsou známy žádné důvody, pro které by smlouva nemohla být řádně plněna, nebo které by způsobovaly neplatnost smlouvy a že se nepříčí dobrým mravům a neodporuje zákonu. Na důkaz toho připojují vlastnoruční podpisy.</w:t>
      </w:r>
    </w:p>
    <w:p w14:paraId="7B5BF2DA" w14:textId="77777777" w:rsidR="009D1D5D" w:rsidRDefault="009D1D5D" w:rsidP="00F76B74">
      <w:pPr>
        <w:jc w:val="both"/>
      </w:pPr>
    </w:p>
    <w:p w14:paraId="788D0D11" w14:textId="6A75E252" w:rsidR="00F76B74" w:rsidRDefault="00F76B74" w:rsidP="00F76B74">
      <w:pPr>
        <w:jc w:val="both"/>
      </w:pPr>
      <w:r>
        <w:t xml:space="preserve">V Praze dne </w:t>
      </w:r>
      <w:r w:rsidR="005179E4">
        <w:t>30. 09. 2022</w:t>
      </w:r>
      <w:r>
        <w:t xml:space="preserve">                            </w:t>
      </w:r>
      <w:proofErr w:type="gramStart"/>
      <w:r>
        <w:tab/>
      </w:r>
      <w:r w:rsidR="005179E4">
        <w:t xml:space="preserve">  </w:t>
      </w:r>
      <w:r>
        <w:t>V</w:t>
      </w:r>
      <w:proofErr w:type="gramEnd"/>
      <w:r w:rsidR="005E5C97">
        <w:t xml:space="preserve"> Praze </w:t>
      </w:r>
      <w:r>
        <w:t xml:space="preserve">dne </w:t>
      </w:r>
      <w:r w:rsidR="005179E4">
        <w:t>04. 10. 2022</w:t>
      </w:r>
    </w:p>
    <w:p w14:paraId="563B4561" w14:textId="77777777" w:rsidR="00F76B74" w:rsidRDefault="00F76B74" w:rsidP="00F76B74">
      <w:pPr>
        <w:jc w:val="both"/>
      </w:pPr>
      <w:r>
        <w:tab/>
      </w:r>
    </w:p>
    <w:p w14:paraId="3AE16BFC" w14:textId="77777777" w:rsidR="00F76B74" w:rsidRDefault="00F76B74" w:rsidP="00F76B74">
      <w:pPr>
        <w:jc w:val="both"/>
      </w:pPr>
      <w:r>
        <w:tab/>
      </w:r>
    </w:p>
    <w:p w14:paraId="74F882E7" w14:textId="77777777" w:rsidR="00F76B74" w:rsidRDefault="00F76B74" w:rsidP="00F76B74">
      <w:pPr>
        <w:jc w:val="both"/>
      </w:pPr>
      <w:r>
        <w:t xml:space="preserve">Za </w:t>
      </w:r>
      <w:proofErr w:type="gramStart"/>
      <w:r>
        <w:t xml:space="preserve">objednatele:   </w:t>
      </w:r>
      <w:proofErr w:type="gramEnd"/>
      <w:r>
        <w:t xml:space="preserve">                                                          Za zhotovitele:</w:t>
      </w:r>
      <w:r>
        <w:tab/>
      </w:r>
    </w:p>
    <w:p w14:paraId="7CC2C862" w14:textId="77777777" w:rsidR="00F76B74" w:rsidRDefault="00F76B74" w:rsidP="00F76B74">
      <w:pPr>
        <w:jc w:val="both"/>
      </w:pPr>
    </w:p>
    <w:p w14:paraId="578E4A2A" w14:textId="77777777" w:rsidR="00F76B74" w:rsidRDefault="00F76B74" w:rsidP="00F76B74">
      <w:pPr>
        <w:jc w:val="both"/>
      </w:pPr>
    </w:p>
    <w:p w14:paraId="08C02320" w14:textId="77777777" w:rsidR="00F76B74" w:rsidRDefault="00A26492" w:rsidP="00F76B74">
      <w:pPr>
        <w:jc w:val="both"/>
      </w:pPr>
      <w:r>
        <w:t xml:space="preserve">   </w:t>
      </w:r>
      <w:r w:rsidR="00F76B74">
        <w:t xml:space="preserve">___________________                                 </w:t>
      </w:r>
      <w:r w:rsidR="00F76B74">
        <w:tab/>
        <w:t>________________________</w:t>
      </w:r>
    </w:p>
    <w:p w14:paraId="4E102B63" w14:textId="01E7F9E6" w:rsidR="00F76B74" w:rsidRDefault="00A26492" w:rsidP="009D1D5D">
      <w:pPr>
        <w:spacing w:after="0"/>
        <w:jc w:val="both"/>
      </w:pPr>
      <w:r>
        <w:t xml:space="preserve">         </w:t>
      </w:r>
      <w:r w:rsidR="00F76B74">
        <w:t xml:space="preserve">Hlavní město Praha                                         </w:t>
      </w:r>
      <w:r w:rsidR="005E5C97">
        <w:t xml:space="preserve">    </w:t>
      </w:r>
      <w:r w:rsidR="005E5C97" w:rsidRPr="005E5C97">
        <w:t>IMPERCOMM, spol. s r.o.</w:t>
      </w:r>
    </w:p>
    <w:p w14:paraId="5D5D479C" w14:textId="30C75C7F" w:rsidR="00F76B74" w:rsidRDefault="00A26492" w:rsidP="009D1D5D">
      <w:pPr>
        <w:spacing w:after="0"/>
        <w:jc w:val="both"/>
      </w:pPr>
      <w:r>
        <w:t xml:space="preserve">         </w:t>
      </w:r>
      <w:r w:rsidR="00F76B74">
        <w:t xml:space="preserve">Ing. </w:t>
      </w:r>
      <w:r>
        <w:t>Lukáš Stránský</w:t>
      </w:r>
      <w:r w:rsidR="005E5C97">
        <w:tab/>
      </w:r>
      <w:r w:rsidR="005E5C97">
        <w:tab/>
      </w:r>
      <w:r w:rsidR="005E5C97">
        <w:tab/>
        <w:t xml:space="preserve">      </w:t>
      </w:r>
      <w:r w:rsidR="003C5269">
        <w:tab/>
        <w:t xml:space="preserve">    *****</w:t>
      </w:r>
    </w:p>
    <w:p w14:paraId="5E9112EC" w14:textId="715CBF30" w:rsidR="00F76B74" w:rsidRDefault="00062211" w:rsidP="009D1D5D">
      <w:pPr>
        <w:spacing w:after="0"/>
        <w:jc w:val="both"/>
      </w:pPr>
      <w:r>
        <w:t>p</w:t>
      </w:r>
      <w:r w:rsidR="00A26492">
        <w:t>ověřený řízením</w:t>
      </w:r>
      <w:r w:rsidR="00F76B74">
        <w:t xml:space="preserve"> odboru služeb</w:t>
      </w:r>
      <w:r w:rsidR="005E5C97">
        <w:tab/>
      </w:r>
      <w:r w:rsidR="005E5C97">
        <w:tab/>
        <w:t xml:space="preserve">                jednatel</w:t>
      </w:r>
    </w:p>
    <w:p w14:paraId="7E8FCD1C" w14:textId="77777777" w:rsidR="00F76B74" w:rsidRDefault="00A26492" w:rsidP="009D1D5D">
      <w:pPr>
        <w:spacing w:after="0"/>
        <w:jc w:val="both"/>
      </w:pPr>
      <w:r>
        <w:t xml:space="preserve">       </w:t>
      </w:r>
      <w:r w:rsidR="00F76B74">
        <w:t>Magistrátu hl. m. Prahy</w:t>
      </w:r>
    </w:p>
    <w:sectPr w:rsidR="00F76B74" w:rsidSect="009D1D5D">
      <w:footerReference w:type="default" r:id="rId8"/>
      <w:headerReference w:type="firs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1374" w14:textId="77777777" w:rsidR="00D70A62" w:rsidRDefault="00D70A62" w:rsidP="00FA0D2D">
      <w:pPr>
        <w:spacing w:after="0" w:line="240" w:lineRule="auto"/>
      </w:pPr>
      <w:r>
        <w:separator/>
      </w:r>
    </w:p>
  </w:endnote>
  <w:endnote w:type="continuationSeparator" w:id="0">
    <w:p w14:paraId="33054045" w14:textId="77777777" w:rsidR="00D70A62" w:rsidRDefault="00D70A62" w:rsidP="00FA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092221"/>
      <w:docPartObj>
        <w:docPartGallery w:val="Page Numbers (Bottom of Page)"/>
        <w:docPartUnique/>
      </w:docPartObj>
    </w:sdtPr>
    <w:sdtEndPr/>
    <w:sdtContent>
      <w:p w14:paraId="7B09C09D" w14:textId="6F629133" w:rsidR="002006E9" w:rsidRDefault="002006E9">
        <w:pPr>
          <w:pStyle w:val="Zpat"/>
          <w:jc w:val="center"/>
        </w:pPr>
        <w:r>
          <w:fldChar w:fldCharType="begin"/>
        </w:r>
        <w:r>
          <w:instrText>PAGE   \* MERGEFORMAT</w:instrText>
        </w:r>
        <w:r>
          <w:fldChar w:fldCharType="separate"/>
        </w:r>
        <w:r w:rsidR="00B0444E">
          <w:rPr>
            <w:noProof/>
          </w:rPr>
          <w:t>2</w:t>
        </w:r>
        <w:r>
          <w:fldChar w:fldCharType="end"/>
        </w:r>
      </w:p>
    </w:sdtContent>
  </w:sdt>
  <w:p w14:paraId="46387645" w14:textId="77777777" w:rsidR="002006E9" w:rsidRDefault="00200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F73B" w14:textId="77777777" w:rsidR="00D70A62" w:rsidRDefault="00D70A62" w:rsidP="00FA0D2D">
      <w:pPr>
        <w:spacing w:after="0" w:line="240" w:lineRule="auto"/>
      </w:pPr>
      <w:r>
        <w:separator/>
      </w:r>
    </w:p>
  </w:footnote>
  <w:footnote w:type="continuationSeparator" w:id="0">
    <w:p w14:paraId="5B06C307" w14:textId="77777777" w:rsidR="00D70A62" w:rsidRDefault="00D70A62" w:rsidP="00FA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8F9E" w14:textId="3DDBE675" w:rsidR="00FA0D2D" w:rsidRPr="00773BB7" w:rsidRDefault="00773BB7" w:rsidP="00773BB7">
    <w:pPr>
      <w:pStyle w:val="Zhlav"/>
      <w:jc w:val="right"/>
    </w:pPr>
    <w:r w:rsidRPr="00773BB7">
      <w:t>MHMPP04U9NTK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19BF"/>
    <w:multiLevelType w:val="hybridMultilevel"/>
    <w:tmpl w:val="07B64C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A59CE"/>
    <w:multiLevelType w:val="hybridMultilevel"/>
    <w:tmpl w:val="B6789914"/>
    <w:lvl w:ilvl="0" w:tplc="04050011">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5852D3"/>
    <w:multiLevelType w:val="hybridMultilevel"/>
    <w:tmpl w:val="ED28A7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D112C"/>
    <w:multiLevelType w:val="hybridMultilevel"/>
    <w:tmpl w:val="15AE0CB0"/>
    <w:lvl w:ilvl="0" w:tplc="59C204B8">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B5"/>
    <w:rsid w:val="00004A5A"/>
    <w:rsid w:val="00062211"/>
    <w:rsid w:val="000668EC"/>
    <w:rsid w:val="00080C45"/>
    <w:rsid w:val="00104350"/>
    <w:rsid w:val="00111F21"/>
    <w:rsid w:val="00125DA8"/>
    <w:rsid w:val="001B5D49"/>
    <w:rsid w:val="001E085D"/>
    <w:rsid w:val="001E2FAA"/>
    <w:rsid w:val="002006E9"/>
    <w:rsid w:val="002075CC"/>
    <w:rsid w:val="00207B1B"/>
    <w:rsid w:val="00213E7A"/>
    <w:rsid w:val="00293559"/>
    <w:rsid w:val="00324D09"/>
    <w:rsid w:val="003300A7"/>
    <w:rsid w:val="003C012C"/>
    <w:rsid w:val="003C5269"/>
    <w:rsid w:val="003E409B"/>
    <w:rsid w:val="00423C10"/>
    <w:rsid w:val="00475AF9"/>
    <w:rsid w:val="004B4D40"/>
    <w:rsid w:val="005179E4"/>
    <w:rsid w:val="0056139C"/>
    <w:rsid w:val="005952F5"/>
    <w:rsid w:val="005D2F7B"/>
    <w:rsid w:val="005D6F69"/>
    <w:rsid w:val="005E5C97"/>
    <w:rsid w:val="00657D99"/>
    <w:rsid w:val="006C4846"/>
    <w:rsid w:val="007171CB"/>
    <w:rsid w:val="00730EE6"/>
    <w:rsid w:val="00737846"/>
    <w:rsid w:val="00773BB7"/>
    <w:rsid w:val="0077694D"/>
    <w:rsid w:val="007A6EF0"/>
    <w:rsid w:val="007D2137"/>
    <w:rsid w:val="00837415"/>
    <w:rsid w:val="00845B53"/>
    <w:rsid w:val="0085057E"/>
    <w:rsid w:val="008507D2"/>
    <w:rsid w:val="00884462"/>
    <w:rsid w:val="00892C19"/>
    <w:rsid w:val="008B4DA4"/>
    <w:rsid w:val="00911427"/>
    <w:rsid w:val="009172AA"/>
    <w:rsid w:val="00960153"/>
    <w:rsid w:val="00970D7C"/>
    <w:rsid w:val="009730C1"/>
    <w:rsid w:val="009D1D5D"/>
    <w:rsid w:val="00A26492"/>
    <w:rsid w:val="00A6510C"/>
    <w:rsid w:val="00B027B5"/>
    <w:rsid w:val="00B0382C"/>
    <w:rsid w:val="00B0444E"/>
    <w:rsid w:val="00BA5C6E"/>
    <w:rsid w:val="00BB50D3"/>
    <w:rsid w:val="00BC4E66"/>
    <w:rsid w:val="00BF63E6"/>
    <w:rsid w:val="00C53B23"/>
    <w:rsid w:val="00C7158B"/>
    <w:rsid w:val="00D65B0E"/>
    <w:rsid w:val="00D70A62"/>
    <w:rsid w:val="00D93D24"/>
    <w:rsid w:val="00DB71D4"/>
    <w:rsid w:val="00DC109A"/>
    <w:rsid w:val="00E06FF5"/>
    <w:rsid w:val="00E279A5"/>
    <w:rsid w:val="00EB5739"/>
    <w:rsid w:val="00ED34C4"/>
    <w:rsid w:val="00F75C39"/>
    <w:rsid w:val="00F76B74"/>
    <w:rsid w:val="00F81C90"/>
    <w:rsid w:val="00FA0D2D"/>
    <w:rsid w:val="00FB058C"/>
    <w:rsid w:val="00FE4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0A0E"/>
  <w15:docId w15:val="{7048B736-0F3F-460E-AA54-C0F0601C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27B5"/>
    <w:pPr>
      <w:ind w:left="720"/>
      <w:contextualSpacing/>
    </w:pPr>
  </w:style>
  <w:style w:type="paragraph" w:styleId="Textbubliny">
    <w:name w:val="Balloon Text"/>
    <w:basedOn w:val="Normln"/>
    <w:link w:val="TextbublinyChar"/>
    <w:uiPriority w:val="99"/>
    <w:semiHidden/>
    <w:unhideWhenUsed/>
    <w:rsid w:val="00657D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7D99"/>
    <w:rPr>
      <w:rFonts w:ascii="Segoe UI" w:hAnsi="Segoe UI" w:cs="Segoe UI"/>
      <w:sz w:val="18"/>
      <w:szCs w:val="18"/>
    </w:rPr>
  </w:style>
  <w:style w:type="character" w:styleId="Odkaznakoment">
    <w:name w:val="annotation reference"/>
    <w:basedOn w:val="Standardnpsmoodstavce"/>
    <w:uiPriority w:val="99"/>
    <w:semiHidden/>
    <w:unhideWhenUsed/>
    <w:rsid w:val="00657D99"/>
    <w:rPr>
      <w:sz w:val="16"/>
      <w:szCs w:val="16"/>
    </w:rPr>
  </w:style>
  <w:style w:type="paragraph" w:styleId="Textkomente">
    <w:name w:val="annotation text"/>
    <w:basedOn w:val="Normln"/>
    <w:link w:val="TextkomenteChar"/>
    <w:uiPriority w:val="99"/>
    <w:semiHidden/>
    <w:unhideWhenUsed/>
    <w:rsid w:val="00657D99"/>
    <w:pPr>
      <w:spacing w:line="240" w:lineRule="auto"/>
    </w:pPr>
    <w:rPr>
      <w:sz w:val="20"/>
      <w:szCs w:val="20"/>
    </w:rPr>
  </w:style>
  <w:style w:type="character" w:customStyle="1" w:styleId="TextkomenteChar">
    <w:name w:val="Text komentáře Char"/>
    <w:basedOn w:val="Standardnpsmoodstavce"/>
    <w:link w:val="Textkomente"/>
    <w:uiPriority w:val="99"/>
    <w:semiHidden/>
    <w:rsid w:val="00657D99"/>
    <w:rPr>
      <w:sz w:val="20"/>
      <w:szCs w:val="20"/>
    </w:rPr>
  </w:style>
  <w:style w:type="paragraph" w:styleId="Pedmtkomente">
    <w:name w:val="annotation subject"/>
    <w:basedOn w:val="Textkomente"/>
    <w:next w:val="Textkomente"/>
    <w:link w:val="PedmtkomenteChar"/>
    <w:uiPriority w:val="99"/>
    <w:semiHidden/>
    <w:unhideWhenUsed/>
    <w:rsid w:val="00657D99"/>
    <w:rPr>
      <w:b/>
      <w:bCs/>
    </w:rPr>
  </w:style>
  <w:style w:type="character" w:customStyle="1" w:styleId="PedmtkomenteChar">
    <w:name w:val="Předmět komentáře Char"/>
    <w:basedOn w:val="TextkomenteChar"/>
    <w:link w:val="Pedmtkomente"/>
    <w:uiPriority w:val="99"/>
    <w:semiHidden/>
    <w:rsid w:val="00657D99"/>
    <w:rPr>
      <w:b/>
      <w:bCs/>
      <w:sz w:val="20"/>
      <w:szCs w:val="20"/>
    </w:rPr>
  </w:style>
  <w:style w:type="paragraph" w:styleId="Zhlav">
    <w:name w:val="header"/>
    <w:basedOn w:val="Normln"/>
    <w:link w:val="ZhlavChar"/>
    <w:uiPriority w:val="99"/>
    <w:unhideWhenUsed/>
    <w:rsid w:val="00FA0D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D2D"/>
  </w:style>
  <w:style w:type="paragraph" w:styleId="Zpat">
    <w:name w:val="footer"/>
    <w:basedOn w:val="Normln"/>
    <w:link w:val="ZpatChar"/>
    <w:uiPriority w:val="99"/>
    <w:unhideWhenUsed/>
    <w:rsid w:val="00FA0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4DD9-6401-4FFD-AC64-D343D56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2129</Words>
  <Characters>12563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Langová Hýbalová Hana (MHMP, SLU)</dc:creator>
  <cp:lastModifiedBy>Benešová Denisa (MHMP, SLU)</cp:lastModifiedBy>
  <cp:revision>11</cp:revision>
  <cp:lastPrinted>2018-05-17T07:32:00Z</cp:lastPrinted>
  <dcterms:created xsi:type="dcterms:W3CDTF">2022-08-19T08:50:00Z</dcterms:created>
  <dcterms:modified xsi:type="dcterms:W3CDTF">2022-10-05T07:25:00Z</dcterms:modified>
</cp:coreProperties>
</file>