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35" w:rsidRPr="005C6E81" w:rsidRDefault="00B26835" w:rsidP="00B26835">
      <w:pPr>
        <w:pStyle w:val="Normlnweb"/>
        <w:spacing w:before="0"/>
        <w:jc w:val="center"/>
        <w:rPr>
          <w:rFonts w:ascii="Arial" w:hAnsi="Arial" w:cs="Arial"/>
          <w:b/>
          <w:bCs/>
        </w:rPr>
      </w:pPr>
      <w:r w:rsidRPr="005C6E81">
        <w:rPr>
          <w:rFonts w:ascii="Arial" w:hAnsi="Arial" w:cs="Arial"/>
          <w:b/>
          <w:bCs/>
        </w:rPr>
        <w:t>Dodatek č. 1</w:t>
      </w:r>
    </w:p>
    <w:p w:rsidR="00B26835" w:rsidRDefault="00B26835" w:rsidP="00B26835">
      <w:pPr>
        <w:pStyle w:val="Normlnweb"/>
        <w:spacing w:befor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5C6E81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 xml:space="preserve">smlouvě </w:t>
      </w:r>
      <w:r w:rsidRPr="001049C7">
        <w:rPr>
          <w:rFonts w:ascii="Arial" w:hAnsi="Arial" w:cs="Arial"/>
          <w:b/>
          <w:bCs/>
        </w:rPr>
        <w:t xml:space="preserve">o poskytnutí poradenských služeb </w:t>
      </w:r>
    </w:p>
    <w:p w:rsidR="00B26835" w:rsidRPr="001049C7" w:rsidRDefault="00B26835" w:rsidP="00B26835">
      <w:pPr>
        <w:pStyle w:val="Normlnweb"/>
        <w:spacing w:before="0"/>
        <w:jc w:val="center"/>
        <w:rPr>
          <w:rFonts w:ascii="Arial" w:hAnsi="Arial" w:cs="Arial"/>
          <w:b/>
          <w:bCs/>
        </w:rPr>
      </w:pPr>
      <w:r w:rsidRPr="001049C7">
        <w:rPr>
          <w:rFonts w:ascii="Arial" w:hAnsi="Arial" w:cs="Arial"/>
          <w:b/>
          <w:bCs/>
        </w:rPr>
        <w:t>a služeb správy IT infrastruktury</w:t>
      </w:r>
    </w:p>
    <w:p w:rsidR="00B26835" w:rsidRPr="005463BB" w:rsidRDefault="00B26835" w:rsidP="00B26835">
      <w:pPr>
        <w:shd w:val="clear" w:color="auto" w:fill="FFFFFF"/>
        <w:spacing w:before="480"/>
        <w:rPr>
          <w:rFonts w:ascii="Arial" w:hAnsi="Arial" w:cs="Arial"/>
          <w:b/>
          <w:sz w:val="22"/>
          <w:szCs w:val="22"/>
        </w:rPr>
      </w:pPr>
      <w:r w:rsidRPr="005463BB">
        <w:rPr>
          <w:rFonts w:ascii="Arial" w:hAnsi="Arial" w:cs="Arial"/>
          <w:b/>
          <w:bCs/>
          <w:sz w:val="22"/>
          <w:szCs w:val="22"/>
        </w:rPr>
        <w:t xml:space="preserve">Matematický ústav </w:t>
      </w:r>
      <w:r w:rsidRPr="005463BB">
        <w:rPr>
          <w:rFonts w:ascii="Arial" w:hAnsi="Arial" w:cs="Arial"/>
          <w:b/>
          <w:sz w:val="22"/>
          <w:szCs w:val="22"/>
        </w:rPr>
        <w:t>AV ČR, v. v. i.</w:t>
      </w:r>
    </w:p>
    <w:p w:rsidR="00B26835" w:rsidRPr="005463BB" w:rsidRDefault="00B26835" w:rsidP="00B26835">
      <w:pPr>
        <w:shd w:val="clear" w:color="auto" w:fill="FFFFFF"/>
        <w:rPr>
          <w:rFonts w:ascii="Arial" w:hAnsi="Arial" w:cs="Arial"/>
          <w:sz w:val="22"/>
          <w:szCs w:val="22"/>
        </w:rPr>
      </w:pPr>
      <w:r w:rsidRPr="005463BB">
        <w:rPr>
          <w:rFonts w:ascii="Arial" w:hAnsi="Arial" w:cs="Arial"/>
          <w:spacing w:val="-1"/>
          <w:sz w:val="22"/>
          <w:szCs w:val="22"/>
        </w:rPr>
        <w:t>Žitná 609/25, 115 67 Praha 1</w:t>
      </w:r>
    </w:p>
    <w:p w:rsidR="00B26835" w:rsidRDefault="00B26835" w:rsidP="00B26835">
      <w:pPr>
        <w:shd w:val="clear" w:color="auto" w:fill="FFFFFF"/>
        <w:tabs>
          <w:tab w:val="left" w:pos="1843"/>
        </w:tabs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z</w:t>
      </w:r>
      <w:r w:rsidRPr="005463BB">
        <w:rPr>
          <w:rFonts w:ascii="Arial" w:hAnsi="Arial" w:cs="Arial"/>
          <w:spacing w:val="-1"/>
          <w:sz w:val="22"/>
          <w:szCs w:val="22"/>
        </w:rPr>
        <w:t xml:space="preserve">astoupený </w:t>
      </w:r>
      <w:r>
        <w:rPr>
          <w:rFonts w:ascii="Arial" w:hAnsi="Arial" w:cs="Arial"/>
          <w:spacing w:val="-1"/>
          <w:sz w:val="22"/>
          <w:szCs w:val="22"/>
        </w:rPr>
        <w:tab/>
        <w:t xml:space="preserve">Doc. </w:t>
      </w:r>
      <w:r w:rsidRPr="005463BB">
        <w:rPr>
          <w:rFonts w:ascii="Arial" w:hAnsi="Arial" w:cs="Arial"/>
          <w:spacing w:val="-1"/>
          <w:sz w:val="22"/>
          <w:szCs w:val="22"/>
        </w:rPr>
        <w:t xml:space="preserve">RNDr. </w:t>
      </w:r>
      <w:r>
        <w:rPr>
          <w:rFonts w:ascii="Arial" w:hAnsi="Arial" w:cs="Arial"/>
          <w:spacing w:val="-1"/>
          <w:sz w:val="22"/>
          <w:szCs w:val="22"/>
        </w:rPr>
        <w:t xml:space="preserve">Tomášem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Vejchodským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Ph</w:t>
      </w:r>
      <w:proofErr w:type="spellEnd"/>
      <w:r>
        <w:rPr>
          <w:rFonts w:ascii="Arial" w:hAnsi="Arial" w:cs="Arial"/>
          <w:spacing w:val="-1"/>
          <w:sz w:val="22"/>
          <w:szCs w:val="22"/>
        </w:rPr>
        <w:t>. D., ředitelem</w:t>
      </w:r>
    </w:p>
    <w:p w:rsidR="00B26835" w:rsidRDefault="00B26835" w:rsidP="00B26835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5463BB">
        <w:rPr>
          <w:rFonts w:ascii="Arial" w:hAnsi="Arial" w:cs="Arial"/>
          <w:spacing w:val="-9"/>
          <w:sz w:val="22"/>
          <w:szCs w:val="22"/>
        </w:rPr>
        <w:t>IČ:</w:t>
      </w:r>
      <w:r w:rsidRPr="005463BB">
        <w:rPr>
          <w:rFonts w:ascii="Arial" w:hAnsi="Arial" w:cs="Arial"/>
          <w:sz w:val="22"/>
          <w:szCs w:val="22"/>
        </w:rPr>
        <w:tab/>
        <w:t>67985840</w:t>
      </w:r>
    </w:p>
    <w:p w:rsidR="00B26835" w:rsidRDefault="00B26835" w:rsidP="00B26835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</w:t>
      </w:r>
      <w:r w:rsidRPr="005463BB">
        <w:rPr>
          <w:rFonts w:ascii="Arial" w:hAnsi="Arial" w:cs="Arial"/>
          <w:sz w:val="22"/>
          <w:szCs w:val="22"/>
        </w:rPr>
        <w:t>67985840</w:t>
      </w:r>
    </w:p>
    <w:p w:rsidR="00B26835" w:rsidRPr="00A25639" w:rsidRDefault="00B26835" w:rsidP="00B26835">
      <w:pPr>
        <w:shd w:val="clear" w:color="auto" w:fill="FFFFFF"/>
        <w:tabs>
          <w:tab w:val="left" w:pos="1843"/>
        </w:tabs>
        <w:rPr>
          <w:rFonts w:ascii="Arial" w:hAnsi="Arial" w:cs="Arial"/>
          <w:spacing w:val="-3"/>
          <w:sz w:val="22"/>
          <w:szCs w:val="22"/>
        </w:rPr>
      </w:pPr>
      <w:r w:rsidRPr="00A25639">
        <w:rPr>
          <w:rFonts w:ascii="Arial" w:hAnsi="Arial"/>
          <w:sz w:val="22"/>
          <w:szCs w:val="22"/>
        </w:rPr>
        <w:t>zapsaný v rejstříku veřejných výzkumných institucí vedeném MŠMT</w:t>
      </w:r>
      <w:r w:rsidRPr="00A25639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B26835" w:rsidRPr="005463BB" w:rsidRDefault="00B26835" w:rsidP="00B26835">
      <w:pPr>
        <w:shd w:val="clear" w:color="auto" w:fill="FFFFFF"/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5463BB">
        <w:rPr>
          <w:rFonts w:ascii="Arial" w:hAnsi="Arial" w:cs="Arial"/>
          <w:spacing w:val="-3"/>
          <w:sz w:val="22"/>
          <w:szCs w:val="22"/>
        </w:rPr>
        <w:t xml:space="preserve">bank. </w:t>
      </w:r>
      <w:proofErr w:type="gramStart"/>
      <w:r w:rsidRPr="005463BB">
        <w:rPr>
          <w:rFonts w:ascii="Arial" w:hAnsi="Arial" w:cs="Arial"/>
          <w:spacing w:val="-3"/>
          <w:sz w:val="22"/>
          <w:szCs w:val="22"/>
        </w:rPr>
        <w:t>spojení</w:t>
      </w:r>
      <w:proofErr w:type="gramEnd"/>
      <w:r w:rsidRPr="005463BB">
        <w:rPr>
          <w:rFonts w:ascii="Arial" w:hAnsi="Arial" w:cs="Arial"/>
          <w:spacing w:val="-3"/>
          <w:sz w:val="22"/>
          <w:szCs w:val="22"/>
        </w:rPr>
        <w:t>:</w:t>
      </w:r>
      <w:r w:rsidRPr="005463BB">
        <w:rPr>
          <w:rFonts w:ascii="Arial" w:hAnsi="Arial" w:cs="Arial"/>
          <w:sz w:val="22"/>
          <w:szCs w:val="22"/>
        </w:rPr>
        <w:tab/>
      </w:r>
      <w:proofErr w:type="spellStart"/>
      <w:r w:rsidR="0050295B">
        <w:rPr>
          <w:rFonts w:ascii="Arial" w:hAnsi="Arial" w:cs="Arial"/>
          <w:sz w:val="22"/>
          <w:szCs w:val="22"/>
        </w:rPr>
        <w:t>xxxxxxxxxxxxxxxxxxxxxxxxxxxxxxxxxxxxxx</w:t>
      </w:r>
      <w:proofErr w:type="spellEnd"/>
    </w:p>
    <w:p w:rsidR="00B26835" w:rsidRDefault="00B26835" w:rsidP="00B26835">
      <w:pPr>
        <w:shd w:val="clear" w:color="auto" w:fill="FFFFFF"/>
        <w:spacing w:before="120"/>
        <w:rPr>
          <w:rFonts w:ascii="Arial" w:hAnsi="Arial" w:cs="Arial"/>
          <w:i/>
          <w:iCs/>
          <w:spacing w:val="-1"/>
          <w:sz w:val="22"/>
          <w:szCs w:val="22"/>
        </w:rPr>
      </w:pPr>
      <w:r w:rsidRPr="005463BB">
        <w:rPr>
          <w:rFonts w:ascii="Arial" w:hAnsi="Arial" w:cs="Arial"/>
          <w:spacing w:val="-1"/>
          <w:sz w:val="22"/>
          <w:szCs w:val="22"/>
        </w:rPr>
        <w:t xml:space="preserve">jako </w:t>
      </w:r>
      <w:r>
        <w:rPr>
          <w:rFonts w:ascii="Arial" w:hAnsi="Arial" w:cs="Arial"/>
          <w:spacing w:val="-1"/>
          <w:sz w:val="22"/>
          <w:szCs w:val="22"/>
        </w:rPr>
        <w:t xml:space="preserve">objednatel </w:t>
      </w:r>
      <w:r w:rsidRPr="005463BB">
        <w:rPr>
          <w:rFonts w:ascii="Arial" w:hAnsi="Arial" w:cs="Arial"/>
          <w:spacing w:val="-1"/>
          <w:sz w:val="22"/>
          <w:szCs w:val="22"/>
        </w:rPr>
        <w:t xml:space="preserve">na straně jedné </w:t>
      </w:r>
      <w:r w:rsidRPr="005463BB">
        <w:rPr>
          <w:rFonts w:ascii="Arial" w:hAnsi="Arial" w:cs="Arial"/>
          <w:i/>
          <w:iCs/>
          <w:spacing w:val="-1"/>
          <w:sz w:val="22"/>
          <w:szCs w:val="22"/>
        </w:rPr>
        <w:t xml:space="preserve">(dále jen </w:t>
      </w:r>
      <w:r>
        <w:rPr>
          <w:rFonts w:ascii="Arial" w:hAnsi="Arial" w:cs="Arial"/>
          <w:i/>
          <w:iCs/>
          <w:spacing w:val="-1"/>
          <w:sz w:val="22"/>
          <w:szCs w:val="22"/>
        </w:rPr>
        <w:t>objednatel</w:t>
      </w:r>
      <w:r w:rsidRPr="005463BB">
        <w:rPr>
          <w:rFonts w:ascii="Arial" w:hAnsi="Arial" w:cs="Arial"/>
          <w:i/>
          <w:iCs/>
          <w:spacing w:val="-1"/>
          <w:sz w:val="22"/>
          <w:szCs w:val="22"/>
        </w:rPr>
        <w:t>)</w:t>
      </w:r>
    </w:p>
    <w:p w:rsidR="00B26835" w:rsidRDefault="00B26835" w:rsidP="00B26835">
      <w:pPr>
        <w:shd w:val="clear" w:color="auto" w:fill="FFFFFF"/>
        <w:tabs>
          <w:tab w:val="left" w:pos="2131"/>
        </w:tabs>
        <w:rPr>
          <w:rFonts w:ascii="Arial" w:hAnsi="Arial" w:cs="Arial"/>
          <w:spacing w:val="-1"/>
          <w:sz w:val="22"/>
          <w:szCs w:val="22"/>
        </w:rPr>
      </w:pPr>
    </w:p>
    <w:p w:rsidR="00B26835" w:rsidRDefault="00B26835" w:rsidP="00B26835">
      <w:pPr>
        <w:shd w:val="clear" w:color="auto" w:fill="FFFFFF"/>
        <w:tabs>
          <w:tab w:val="left" w:pos="2131"/>
        </w:tabs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a</w:t>
      </w:r>
    </w:p>
    <w:p w:rsidR="00B26835" w:rsidRPr="005463BB" w:rsidRDefault="00B26835" w:rsidP="00B26835">
      <w:pPr>
        <w:shd w:val="clear" w:color="auto" w:fill="FFFFFF"/>
        <w:tabs>
          <w:tab w:val="left" w:pos="2131"/>
        </w:tabs>
        <w:rPr>
          <w:rFonts w:ascii="Arial" w:hAnsi="Arial" w:cs="Arial"/>
          <w:spacing w:val="-1"/>
          <w:sz w:val="22"/>
          <w:szCs w:val="22"/>
        </w:rPr>
      </w:pPr>
    </w:p>
    <w:p w:rsidR="00B26835" w:rsidRPr="001049C7" w:rsidRDefault="00B26835" w:rsidP="00B26835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 xml:space="preserve">pan </w:t>
      </w:r>
      <w:r w:rsidRPr="001049C7">
        <w:rPr>
          <w:rFonts w:ascii="Arial" w:hAnsi="Arial" w:cs="Arial"/>
          <w:b/>
          <w:bCs/>
          <w:sz w:val="22"/>
          <w:szCs w:val="22"/>
        </w:rPr>
        <w:t>David Šulc</w:t>
      </w:r>
    </w:p>
    <w:p w:rsidR="00B26835" w:rsidRDefault="00B26835" w:rsidP="00B26835">
      <w:pPr>
        <w:pStyle w:val="Normlnweb"/>
        <w:tabs>
          <w:tab w:val="left" w:pos="1843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podnikání:</w:t>
      </w:r>
      <w:r>
        <w:rPr>
          <w:rFonts w:ascii="Arial" w:hAnsi="Arial" w:cs="Arial"/>
          <w:sz w:val="22"/>
          <w:szCs w:val="22"/>
        </w:rPr>
        <w:tab/>
      </w:r>
      <w:r w:rsidRPr="001049C7">
        <w:rPr>
          <w:rFonts w:ascii="Arial" w:hAnsi="Arial" w:cs="Arial"/>
          <w:sz w:val="22"/>
          <w:szCs w:val="22"/>
        </w:rPr>
        <w:t>Štěpánská 544/1, Praha 2, 120 00</w:t>
      </w:r>
    </w:p>
    <w:p w:rsidR="00B26835" w:rsidRDefault="00B26835" w:rsidP="00B26835">
      <w:pPr>
        <w:pStyle w:val="Normlnweb"/>
        <w:tabs>
          <w:tab w:val="left" w:pos="1843"/>
        </w:tabs>
        <w:spacing w:before="0" w:after="0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Pr="001049C7">
        <w:rPr>
          <w:rFonts w:ascii="Arial" w:hAnsi="Arial" w:cs="Arial"/>
          <w:sz w:val="22"/>
          <w:szCs w:val="22"/>
        </w:rPr>
        <w:t>71570705</w:t>
      </w:r>
    </w:p>
    <w:p w:rsidR="00B26835" w:rsidRPr="001049C7" w:rsidRDefault="00B26835" w:rsidP="00B26835">
      <w:pPr>
        <w:pStyle w:val="Normlnweb"/>
        <w:tabs>
          <w:tab w:val="left" w:pos="1843"/>
        </w:tabs>
        <w:spacing w:before="0" w:after="0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50295B">
        <w:rPr>
          <w:rFonts w:ascii="Arial" w:hAnsi="Arial" w:cs="Arial"/>
          <w:sz w:val="22"/>
          <w:szCs w:val="22"/>
        </w:rPr>
        <w:t>xxxxxxxxxxxxxxxxxxxxxxxxxxxxxxxxxxxxxx</w:t>
      </w:r>
      <w:bookmarkStart w:id="0" w:name="_GoBack"/>
      <w:bookmarkEnd w:id="0"/>
    </w:p>
    <w:p w:rsidR="00B26835" w:rsidRPr="001049C7" w:rsidRDefault="00B26835" w:rsidP="00B26835">
      <w:pPr>
        <w:pStyle w:val="Normlnweb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dodavatel na straně druhé </w:t>
      </w:r>
      <w:r w:rsidRPr="001049C7">
        <w:rPr>
          <w:rFonts w:ascii="Arial" w:hAnsi="Arial" w:cs="Arial"/>
          <w:sz w:val="22"/>
          <w:szCs w:val="22"/>
        </w:rPr>
        <w:t>(</w:t>
      </w:r>
      <w:r w:rsidRPr="00F62F9E">
        <w:rPr>
          <w:rFonts w:ascii="Arial" w:hAnsi="Arial" w:cs="Arial"/>
          <w:i/>
          <w:sz w:val="22"/>
          <w:szCs w:val="22"/>
        </w:rPr>
        <w:t>dále jen „dodavatel“</w:t>
      </w:r>
      <w:r w:rsidRPr="001049C7">
        <w:rPr>
          <w:rFonts w:ascii="Arial" w:hAnsi="Arial" w:cs="Arial"/>
          <w:sz w:val="22"/>
          <w:szCs w:val="22"/>
        </w:rPr>
        <w:t>)</w:t>
      </w:r>
    </w:p>
    <w:p w:rsidR="00B26835" w:rsidRDefault="00B26835" w:rsidP="00B26835">
      <w:pPr>
        <w:pStyle w:val="Normln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</w:t>
      </w:r>
      <w:r w:rsidRPr="00FB38A2">
        <w:rPr>
          <w:rFonts w:ascii="Arial" w:hAnsi="Arial"/>
          <w:sz w:val="22"/>
          <w:szCs w:val="22"/>
        </w:rPr>
        <w:t>níže uvedeného dne, měsíce a roku podle ustanovení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1746 odst. 2 zákona č. </w:t>
      </w:r>
      <w:r w:rsidRPr="001049C7">
        <w:rPr>
          <w:rFonts w:ascii="Arial" w:hAnsi="Arial" w:cs="Arial"/>
          <w:sz w:val="22"/>
          <w:szCs w:val="22"/>
        </w:rPr>
        <w:t>89/2012 Sb.</w:t>
      </w:r>
      <w:r>
        <w:rPr>
          <w:rFonts w:ascii="Arial" w:hAnsi="Arial" w:cs="Arial"/>
          <w:sz w:val="22"/>
          <w:szCs w:val="22"/>
        </w:rPr>
        <w:t>,</w:t>
      </w:r>
      <w:r w:rsidRPr="00D3097B">
        <w:rPr>
          <w:rFonts w:ascii="Arial" w:hAnsi="Arial" w:cs="Arial"/>
          <w:sz w:val="22"/>
          <w:szCs w:val="22"/>
        </w:rPr>
        <w:t xml:space="preserve"> </w:t>
      </w:r>
      <w:r w:rsidRPr="001049C7">
        <w:rPr>
          <w:rFonts w:ascii="Arial" w:hAnsi="Arial" w:cs="Arial"/>
          <w:sz w:val="22"/>
          <w:szCs w:val="22"/>
        </w:rPr>
        <w:t>občanský zákoník,</w:t>
      </w:r>
      <w:r>
        <w:rPr>
          <w:rFonts w:ascii="Arial" w:hAnsi="Arial" w:cs="Arial"/>
          <w:sz w:val="22"/>
          <w:szCs w:val="22"/>
        </w:rPr>
        <w:t xml:space="preserve"> tento</w:t>
      </w:r>
      <w:r w:rsidRPr="001049C7">
        <w:rPr>
          <w:rFonts w:ascii="Arial" w:hAnsi="Arial" w:cs="Arial"/>
          <w:sz w:val="22"/>
          <w:szCs w:val="22"/>
        </w:rPr>
        <w:t xml:space="preserve"> </w:t>
      </w:r>
    </w:p>
    <w:p w:rsidR="00B26835" w:rsidRDefault="00B26835" w:rsidP="00B26835">
      <w:pPr>
        <w:pStyle w:val="Normlnweb"/>
        <w:spacing w:after="0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dodatek ke </w:t>
      </w:r>
      <w:r w:rsidRPr="001049C7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ě</w:t>
      </w:r>
      <w:r w:rsidRPr="001049C7">
        <w:rPr>
          <w:rFonts w:ascii="Arial" w:hAnsi="Arial" w:cs="Arial"/>
          <w:b/>
          <w:bCs/>
          <w:sz w:val="22"/>
          <w:szCs w:val="22"/>
        </w:rPr>
        <w:t xml:space="preserve"> o poskytnutí poradenských služeb </w:t>
      </w:r>
    </w:p>
    <w:p w:rsidR="00B26835" w:rsidRDefault="00B26835" w:rsidP="00B26835">
      <w:pPr>
        <w:pStyle w:val="Normlnweb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1049C7">
        <w:rPr>
          <w:rFonts w:ascii="Arial" w:hAnsi="Arial" w:cs="Arial"/>
          <w:b/>
          <w:bCs/>
          <w:sz w:val="22"/>
          <w:szCs w:val="22"/>
        </w:rPr>
        <w:t>a služeb správy IT infrastruktury</w:t>
      </w:r>
      <w:r>
        <w:rPr>
          <w:rFonts w:ascii="Arial" w:hAnsi="Arial" w:cs="Arial"/>
          <w:b/>
          <w:bCs/>
          <w:sz w:val="22"/>
          <w:szCs w:val="22"/>
        </w:rPr>
        <w:t xml:space="preserve"> ze dne 17. 07. 2014</w:t>
      </w:r>
    </w:p>
    <w:p w:rsidR="00B26835" w:rsidRPr="001049C7" w:rsidRDefault="00B26835" w:rsidP="00B26835">
      <w:pPr>
        <w:pStyle w:val="Normlnweb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spacing w:after="0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>(</w:t>
      </w:r>
      <w:r w:rsidRPr="00D3097B">
        <w:rPr>
          <w:rFonts w:ascii="Arial" w:hAnsi="Arial" w:cs="Arial"/>
          <w:i/>
          <w:sz w:val="22"/>
          <w:szCs w:val="22"/>
        </w:rPr>
        <w:t>dále jen „</w:t>
      </w:r>
      <w:r>
        <w:rPr>
          <w:rFonts w:ascii="Arial" w:hAnsi="Arial" w:cs="Arial"/>
          <w:i/>
          <w:sz w:val="22"/>
          <w:szCs w:val="22"/>
        </w:rPr>
        <w:t>dodatek</w:t>
      </w:r>
      <w:r w:rsidRPr="00D3097B">
        <w:rPr>
          <w:rFonts w:ascii="Arial" w:hAnsi="Arial" w:cs="Arial"/>
          <w:i/>
          <w:sz w:val="22"/>
          <w:szCs w:val="22"/>
        </w:rPr>
        <w:t>“</w:t>
      </w:r>
      <w:r w:rsidRPr="001049C7">
        <w:rPr>
          <w:rFonts w:ascii="Arial" w:hAnsi="Arial" w:cs="Arial"/>
          <w:sz w:val="22"/>
          <w:szCs w:val="22"/>
        </w:rPr>
        <w:t>)</w:t>
      </w:r>
    </w:p>
    <w:p w:rsidR="00B26835" w:rsidRDefault="00B26835" w:rsidP="00B26835">
      <w:pPr>
        <w:pStyle w:val="Normlnweb"/>
        <w:spacing w:after="0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II se doplňuje o odstavce:</w:t>
      </w:r>
    </w:p>
    <w:p w:rsidR="00B26835" w:rsidRPr="008E0E70" w:rsidRDefault="00B26835" w:rsidP="00B26835">
      <w:pPr>
        <w:pStyle w:val="Normlnweb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B65296">
        <w:rPr>
          <w:rFonts w:ascii="Arial" w:hAnsi="Arial" w:cs="Arial"/>
          <w:sz w:val="22"/>
          <w:szCs w:val="22"/>
        </w:rPr>
        <w:t xml:space="preserve">Počínaje dnem 1. </w:t>
      </w:r>
      <w:r>
        <w:rPr>
          <w:rFonts w:ascii="Arial" w:hAnsi="Arial" w:cs="Arial"/>
          <w:sz w:val="22"/>
          <w:szCs w:val="22"/>
        </w:rPr>
        <w:t>ledna 2023</w:t>
      </w:r>
      <w:r w:rsidRPr="00B65296">
        <w:rPr>
          <w:rFonts w:ascii="Arial" w:hAnsi="Arial" w:cs="Arial"/>
          <w:sz w:val="22"/>
          <w:szCs w:val="22"/>
        </w:rPr>
        <w:t xml:space="preserve"> se bude </w:t>
      </w:r>
      <w:r>
        <w:rPr>
          <w:rFonts w:ascii="Arial" w:hAnsi="Arial" w:cs="Arial"/>
          <w:sz w:val="22"/>
          <w:szCs w:val="22"/>
        </w:rPr>
        <w:t xml:space="preserve">odměna </w:t>
      </w:r>
      <w:r w:rsidRPr="00B65296">
        <w:rPr>
          <w:rFonts w:ascii="Arial" w:hAnsi="Arial" w:cs="Arial"/>
          <w:sz w:val="22"/>
          <w:szCs w:val="22"/>
        </w:rPr>
        <w:t xml:space="preserve">každoročně k 1. </w:t>
      </w:r>
      <w:r>
        <w:rPr>
          <w:rFonts w:ascii="Arial" w:hAnsi="Arial" w:cs="Arial"/>
          <w:sz w:val="22"/>
          <w:szCs w:val="22"/>
        </w:rPr>
        <w:t xml:space="preserve">březnu </w:t>
      </w:r>
      <w:r w:rsidRPr="00B65296">
        <w:rPr>
          <w:rFonts w:ascii="Arial" w:hAnsi="Arial" w:cs="Arial"/>
          <w:sz w:val="22"/>
          <w:szCs w:val="22"/>
        </w:rPr>
        <w:t xml:space="preserve">příslušného kalendářního roku zvyšovat o roční míru inflace vyjádřenou přírůstkem průměrného indexu spotřebitelských cen v České republice za dvanáct (12) měsíců předcházejícího kalendářního roku, zveřejňovaného Českým statistickým úřadem, který vyjadřuje procentní změnu průměrné cenové hladiny za období uplynulých 12 měsíců („Index“) s tím, že za základ bude považována výše </w:t>
      </w:r>
      <w:r>
        <w:rPr>
          <w:rFonts w:ascii="Arial" w:hAnsi="Arial" w:cs="Arial"/>
          <w:sz w:val="22"/>
          <w:szCs w:val="22"/>
        </w:rPr>
        <w:t>odměny</w:t>
      </w:r>
      <w:r w:rsidRPr="00B65296">
        <w:rPr>
          <w:rFonts w:ascii="Arial" w:hAnsi="Arial" w:cs="Arial"/>
          <w:sz w:val="22"/>
          <w:szCs w:val="22"/>
        </w:rPr>
        <w:t xml:space="preserve"> ke dni podpisu tohoto dodatku, resp. výše </w:t>
      </w:r>
      <w:r>
        <w:rPr>
          <w:rFonts w:ascii="Arial" w:hAnsi="Arial" w:cs="Arial"/>
          <w:sz w:val="22"/>
          <w:szCs w:val="22"/>
        </w:rPr>
        <w:t>odměny</w:t>
      </w:r>
      <w:r w:rsidRPr="00B65296">
        <w:rPr>
          <w:rFonts w:ascii="Arial" w:hAnsi="Arial" w:cs="Arial"/>
          <w:sz w:val="22"/>
          <w:szCs w:val="22"/>
        </w:rPr>
        <w:t xml:space="preserve"> ke dni posledního předcházejícího zvýšení </w:t>
      </w:r>
      <w:r>
        <w:rPr>
          <w:rFonts w:ascii="Arial" w:hAnsi="Arial" w:cs="Arial"/>
          <w:sz w:val="22"/>
          <w:szCs w:val="22"/>
        </w:rPr>
        <w:t>odměny</w:t>
      </w:r>
      <w:r w:rsidRPr="00B65296">
        <w:rPr>
          <w:rFonts w:ascii="Arial" w:hAnsi="Arial" w:cs="Arial"/>
          <w:sz w:val="22"/>
          <w:szCs w:val="22"/>
        </w:rPr>
        <w:t xml:space="preserve">. Pro vyloučení pochybností se smluvní strany dohodly, že </w:t>
      </w:r>
      <w:r>
        <w:rPr>
          <w:rFonts w:ascii="Arial" w:hAnsi="Arial" w:cs="Arial"/>
          <w:sz w:val="22"/>
          <w:szCs w:val="22"/>
        </w:rPr>
        <w:t xml:space="preserve">odměna </w:t>
      </w:r>
      <w:r w:rsidRPr="00B65296">
        <w:rPr>
          <w:rFonts w:ascii="Arial" w:hAnsi="Arial" w:cs="Arial"/>
          <w:sz w:val="22"/>
          <w:szCs w:val="22"/>
        </w:rPr>
        <w:t xml:space="preserve">nebude výše uvedenou úpravou o Index po dobu </w:t>
      </w:r>
      <w:r>
        <w:rPr>
          <w:rFonts w:ascii="Arial" w:hAnsi="Arial" w:cs="Arial"/>
          <w:sz w:val="22"/>
          <w:szCs w:val="22"/>
        </w:rPr>
        <w:t>trvání Smlouvy</w:t>
      </w:r>
      <w:r w:rsidRPr="00B65296">
        <w:rPr>
          <w:rFonts w:ascii="Arial" w:hAnsi="Arial" w:cs="Arial"/>
          <w:sz w:val="22"/>
          <w:szCs w:val="22"/>
        </w:rPr>
        <w:t xml:space="preserve"> nikdy snižován</w:t>
      </w:r>
      <w:r>
        <w:rPr>
          <w:rFonts w:ascii="Arial" w:hAnsi="Arial" w:cs="Arial"/>
          <w:sz w:val="22"/>
          <w:szCs w:val="22"/>
        </w:rPr>
        <w:t>a</w:t>
      </w:r>
      <w:r w:rsidRPr="00B65296">
        <w:rPr>
          <w:rFonts w:ascii="Arial" w:hAnsi="Arial" w:cs="Arial"/>
          <w:sz w:val="22"/>
          <w:szCs w:val="22"/>
        </w:rPr>
        <w:t xml:space="preserve">. </w:t>
      </w:r>
      <w:r w:rsidRPr="0037438C">
        <w:rPr>
          <w:rFonts w:ascii="Tahoma" w:hAnsi="Tahoma" w:cs="Tahoma"/>
          <w:sz w:val="21"/>
          <w:szCs w:val="21"/>
        </w:rPr>
        <w:t>Navýšení ceny bude vyčísleno vždy v celých korunách</w:t>
      </w:r>
      <w:r w:rsidRPr="00AF5158">
        <w:rPr>
          <w:rFonts w:ascii="Tahoma" w:hAnsi="Tahoma" w:cs="Tahoma"/>
          <w:sz w:val="21"/>
          <w:szCs w:val="21"/>
        </w:rPr>
        <w:t xml:space="preserve">. Vypočtené navýšení se zaokrouhlí na celé koruny způsobem, že částka 0,50 Kč a vyšší se zaokrouhlí na celou korunu nahoru a částka nižší než 0,50 Kč se zaokrouhlí na celou korunu dolů. </w:t>
      </w:r>
      <w:r>
        <w:rPr>
          <w:rFonts w:ascii="Tahoma" w:hAnsi="Tahoma" w:cs="Tahoma"/>
          <w:sz w:val="21"/>
          <w:szCs w:val="21"/>
        </w:rPr>
        <w:t xml:space="preserve">Navýšení odměny je povinen vyčíslit dodavatel, </w:t>
      </w:r>
      <w:proofErr w:type="gramStart"/>
      <w:r>
        <w:rPr>
          <w:rFonts w:ascii="Tahoma" w:hAnsi="Tahoma" w:cs="Tahoma"/>
          <w:sz w:val="21"/>
          <w:szCs w:val="21"/>
        </w:rPr>
        <w:t>který  doručí</w:t>
      </w:r>
      <w:proofErr w:type="gramEnd"/>
      <w:r>
        <w:rPr>
          <w:rFonts w:ascii="Tahoma" w:hAnsi="Tahoma" w:cs="Tahoma"/>
          <w:sz w:val="21"/>
          <w:szCs w:val="21"/>
        </w:rPr>
        <w:t xml:space="preserve">  objednateli oznámení o zvýšení sjednané odměny vždy nejpozději do 28. února.</w:t>
      </w:r>
      <w:r w:rsidRPr="00AF5158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Nedoručí-li jej v tomto termínu, </w:t>
      </w:r>
      <w:r w:rsidRPr="00AF5158">
        <w:rPr>
          <w:rFonts w:ascii="Tahoma" w:hAnsi="Tahoma" w:cs="Tahoma"/>
          <w:sz w:val="21"/>
          <w:szCs w:val="21"/>
        </w:rPr>
        <w:t xml:space="preserve">právo na uplatnění zvýšení </w:t>
      </w:r>
      <w:r>
        <w:rPr>
          <w:rFonts w:ascii="Tahoma" w:hAnsi="Tahoma" w:cs="Tahoma"/>
          <w:sz w:val="21"/>
          <w:szCs w:val="21"/>
        </w:rPr>
        <w:t xml:space="preserve">odměny </w:t>
      </w:r>
      <w:r w:rsidRPr="00AF5158">
        <w:rPr>
          <w:rFonts w:ascii="Tahoma" w:hAnsi="Tahoma" w:cs="Tahoma"/>
          <w:sz w:val="21"/>
          <w:szCs w:val="21"/>
        </w:rPr>
        <w:t>v daném kalendářním roce zanikne.</w:t>
      </w:r>
    </w:p>
    <w:p w:rsidR="00B26835" w:rsidRPr="00AC437D" w:rsidRDefault="00B26835" w:rsidP="00B26835">
      <w:pPr>
        <w:pStyle w:val="Normlnweb"/>
        <w:spacing w:before="120" w:after="0"/>
        <w:ind w:left="397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rPr>
          <w:rFonts w:ascii="Arial" w:hAnsi="Arial" w:cs="Arial"/>
          <w:sz w:val="22"/>
          <w:szCs w:val="22"/>
        </w:rPr>
      </w:pPr>
    </w:p>
    <w:p w:rsidR="00B26835" w:rsidRPr="00B65296" w:rsidRDefault="00B26835" w:rsidP="00B26835">
      <w:pPr>
        <w:jc w:val="both"/>
        <w:rPr>
          <w:rFonts w:ascii="Arial" w:hAnsi="Arial" w:cs="Arial"/>
          <w:sz w:val="22"/>
          <w:szCs w:val="22"/>
        </w:rPr>
      </w:pPr>
      <w:r w:rsidRPr="00B65296">
        <w:rPr>
          <w:rFonts w:ascii="Arial" w:hAnsi="Arial" w:cs="Arial"/>
          <w:sz w:val="22"/>
          <w:szCs w:val="22"/>
        </w:rPr>
        <w:t>Ostatní ujednání smlouvy ve smyslu veškerých uzavřených dodatků zůstávají v platnosti beze změny.</w:t>
      </w:r>
    </w:p>
    <w:p w:rsidR="00B26835" w:rsidRDefault="00B26835" w:rsidP="00B26835">
      <w:pPr>
        <w:jc w:val="both"/>
        <w:rPr>
          <w:rFonts w:ascii="Arial" w:hAnsi="Arial" w:cs="Arial"/>
          <w:sz w:val="22"/>
          <w:szCs w:val="22"/>
        </w:rPr>
      </w:pPr>
    </w:p>
    <w:p w:rsidR="00B26835" w:rsidRPr="001049C7" w:rsidRDefault="00B26835" w:rsidP="00B26835">
      <w:pPr>
        <w:jc w:val="both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Pr="001049C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dodatek </w:t>
      </w:r>
      <w:r w:rsidRPr="001049C7">
        <w:rPr>
          <w:rFonts w:ascii="Arial" w:hAnsi="Arial" w:cs="Arial"/>
          <w:sz w:val="22"/>
          <w:szCs w:val="22"/>
        </w:rPr>
        <w:t>byl vyhotoven ve dvou vyhotoveních s platností originálu, z nichž jeden obdrží objednatel a druhý obdrží dodavatel.</w:t>
      </w:r>
    </w:p>
    <w:p w:rsidR="00B26835" w:rsidRPr="00B65296" w:rsidRDefault="00B26835" w:rsidP="00B26835">
      <w:pPr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jc w:val="both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Pr="001049C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dodatek </w:t>
      </w:r>
      <w:r w:rsidRPr="001049C7">
        <w:rPr>
          <w:rFonts w:ascii="Arial" w:hAnsi="Arial" w:cs="Arial"/>
          <w:sz w:val="22"/>
          <w:szCs w:val="22"/>
        </w:rPr>
        <w:t>nabývá</w:t>
      </w:r>
      <w:r>
        <w:rPr>
          <w:rFonts w:ascii="Arial" w:hAnsi="Arial" w:cs="Arial"/>
          <w:sz w:val="22"/>
          <w:szCs w:val="22"/>
        </w:rPr>
        <w:t xml:space="preserve"> platnosti a účinnosti dnem je</w:t>
      </w:r>
      <w:r w:rsidRPr="001049C7">
        <w:rPr>
          <w:rFonts w:ascii="Arial" w:hAnsi="Arial" w:cs="Arial"/>
          <w:sz w:val="22"/>
          <w:szCs w:val="22"/>
        </w:rPr>
        <w:t>ho podpisu oběma smluvními stranami.</w:t>
      </w:r>
    </w:p>
    <w:p w:rsidR="00B26835" w:rsidRPr="001049C7" w:rsidRDefault="00B26835" w:rsidP="00B26835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26835" w:rsidRPr="001049C7" w:rsidRDefault="00B26835" w:rsidP="00B26835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tabs>
          <w:tab w:val="left" w:pos="453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 w:rsidRPr="001049C7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ab/>
      </w:r>
      <w:r w:rsidRPr="001049C7">
        <w:rPr>
          <w:rFonts w:ascii="Arial" w:hAnsi="Arial" w:cs="Arial"/>
          <w:sz w:val="22"/>
          <w:szCs w:val="22"/>
        </w:rPr>
        <w:t xml:space="preserve">V Praze dne </w:t>
      </w:r>
    </w:p>
    <w:p w:rsidR="00B26835" w:rsidRDefault="00B26835" w:rsidP="00B26835">
      <w:pPr>
        <w:pStyle w:val="Normlnweb"/>
        <w:tabs>
          <w:tab w:val="left" w:pos="453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tabs>
          <w:tab w:val="left" w:pos="453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tabs>
          <w:tab w:val="left" w:pos="453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tabs>
          <w:tab w:val="left" w:pos="453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26835" w:rsidRDefault="00B26835" w:rsidP="00B26835">
      <w:pPr>
        <w:pStyle w:val="Normlnweb"/>
        <w:tabs>
          <w:tab w:val="center" w:pos="1843"/>
          <w:tab w:val="center" w:pos="609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049C7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ab/>
      </w:r>
      <w:r w:rsidRPr="001049C7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B26835" w:rsidRDefault="00B26835" w:rsidP="00B26835">
      <w:pPr>
        <w:pStyle w:val="Normlnweb"/>
        <w:tabs>
          <w:tab w:val="center" w:pos="1843"/>
          <w:tab w:val="center" w:pos="6096"/>
        </w:tabs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Matematický ústav AV Č</w:t>
      </w:r>
      <w:r w:rsidRPr="001049C7">
        <w:rPr>
          <w:rFonts w:ascii="Arial" w:hAnsi="Arial" w:cs="Arial"/>
          <w:b/>
          <w:bCs/>
          <w:sz w:val="22"/>
          <w:szCs w:val="22"/>
        </w:rPr>
        <w:t>R, v.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049C7">
        <w:rPr>
          <w:rFonts w:ascii="Arial" w:hAnsi="Arial" w:cs="Arial"/>
          <w:b/>
          <w:bCs/>
          <w:sz w:val="22"/>
          <w:szCs w:val="22"/>
        </w:rPr>
        <w:t>v.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049C7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ab/>
        <w:t>David Š</w:t>
      </w:r>
      <w:r w:rsidRPr="001049C7">
        <w:rPr>
          <w:rFonts w:ascii="Arial" w:hAnsi="Arial" w:cs="Arial"/>
          <w:b/>
          <w:bCs/>
          <w:sz w:val="22"/>
          <w:szCs w:val="22"/>
        </w:rPr>
        <w:t>ulc</w:t>
      </w:r>
    </w:p>
    <w:p w:rsidR="00B26835" w:rsidRDefault="00B26835" w:rsidP="00B26835">
      <w:pPr>
        <w:pStyle w:val="Normlnweb"/>
        <w:tabs>
          <w:tab w:val="center" w:pos="1843"/>
          <w:tab w:val="center" w:pos="6096"/>
        </w:tabs>
        <w:spacing w:before="0" w:after="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Doc. </w:t>
      </w:r>
      <w:r w:rsidRPr="005463BB">
        <w:rPr>
          <w:rFonts w:ascii="Arial" w:hAnsi="Arial" w:cs="Arial"/>
          <w:spacing w:val="-1"/>
          <w:sz w:val="22"/>
          <w:szCs w:val="22"/>
        </w:rPr>
        <w:t xml:space="preserve">RNDr. </w:t>
      </w:r>
      <w:r>
        <w:rPr>
          <w:rFonts w:ascii="Arial" w:hAnsi="Arial" w:cs="Arial"/>
          <w:spacing w:val="-1"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Vejchodský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Ph</w:t>
      </w:r>
      <w:proofErr w:type="spellEnd"/>
      <w:r>
        <w:rPr>
          <w:rFonts w:ascii="Arial" w:hAnsi="Arial" w:cs="Arial"/>
          <w:spacing w:val="-1"/>
          <w:sz w:val="22"/>
          <w:szCs w:val="22"/>
        </w:rPr>
        <w:t>. D.</w:t>
      </w:r>
    </w:p>
    <w:p w:rsidR="00B26835" w:rsidRPr="001049C7" w:rsidRDefault="00B26835" w:rsidP="00B26835">
      <w:pPr>
        <w:pStyle w:val="Normlnweb"/>
        <w:tabs>
          <w:tab w:val="center" w:pos="1843"/>
          <w:tab w:val="center" w:pos="609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ab/>
        <w:t>ředitel</w:t>
      </w:r>
    </w:p>
    <w:p w:rsidR="00825CBA" w:rsidRDefault="00825CBA"/>
    <w:sectPr w:rsidR="0082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55A"/>
    <w:multiLevelType w:val="hybridMultilevel"/>
    <w:tmpl w:val="BCA47E4A"/>
    <w:lvl w:ilvl="0" w:tplc="02DC1A8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35"/>
    <w:rsid w:val="0050295B"/>
    <w:rsid w:val="00825CBA"/>
    <w:rsid w:val="00B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FB19"/>
  <w15:chartTrackingRefBased/>
  <w15:docId w15:val="{6894FE3C-1E25-4E91-8312-F31F98C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26835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 CAS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2</cp:revision>
  <dcterms:created xsi:type="dcterms:W3CDTF">2022-10-03T05:45:00Z</dcterms:created>
  <dcterms:modified xsi:type="dcterms:W3CDTF">2022-10-04T12:43:00Z</dcterms:modified>
</cp:coreProperties>
</file>