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8E384" w14:textId="77777777" w:rsidR="00D25B6A" w:rsidRPr="00ED6401" w:rsidRDefault="00D25B6A" w:rsidP="005D5309">
      <w:pPr>
        <w:spacing w:before="100" w:beforeAutospacing="1" w:after="100" w:afterAutospacing="1"/>
        <w:contextualSpacing/>
        <w:jc w:val="center"/>
        <w:rPr>
          <w:b/>
          <w:szCs w:val="24"/>
        </w:rPr>
      </w:pPr>
      <w:r w:rsidRPr="00ED6401">
        <w:rPr>
          <w:b/>
          <w:szCs w:val="24"/>
        </w:rPr>
        <w:t>Dodatek č. 1</w:t>
      </w:r>
      <w:r w:rsidR="007B7111" w:rsidRPr="00ED6401">
        <w:rPr>
          <w:b/>
          <w:szCs w:val="24"/>
        </w:rPr>
        <w:t xml:space="preserve"> k</w:t>
      </w:r>
    </w:p>
    <w:p w14:paraId="2C2D1340" w14:textId="77777777" w:rsidR="00D25B6A" w:rsidRPr="00ED6401" w:rsidRDefault="00D25B6A" w:rsidP="005D5309">
      <w:pPr>
        <w:spacing w:before="100" w:beforeAutospacing="1" w:after="100" w:afterAutospacing="1"/>
        <w:contextualSpacing/>
        <w:jc w:val="center"/>
        <w:rPr>
          <w:b/>
          <w:szCs w:val="24"/>
          <w:u w:val="single"/>
        </w:rPr>
      </w:pPr>
      <w:r w:rsidRPr="00ED6401">
        <w:rPr>
          <w:b/>
          <w:szCs w:val="24"/>
          <w:u w:val="single"/>
        </w:rPr>
        <w:t>POVĚŘENÍ K POSKYTOVÁNÍ SLUŽEB OBECNÉHO HOSPODÁŘSKÉHO ZÁJMU</w:t>
      </w:r>
    </w:p>
    <w:p w14:paraId="58483EFD" w14:textId="77777777" w:rsidR="00D25B6A" w:rsidRPr="00ED6401" w:rsidRDefault="00D25B6A" w:rsidP="00D25B6A">
      <w:pPr>
        <w:spacing w:before="100" w:beforeAutospacing="1" w:after="100" w:afterAutospacing="1"/>
        <w:contextualSpacing/>
        <w:rPr>
          <w:szCs w:val="24"/>
        </w:rPr>
      </w:pPr>
    </w:p>
    <w:p w14:paraId="66A54759" w14:textId="77777777" w:rsidR="00D25B6A" w:rsidRPr="00ED6401" w:rsidRDefault="00D25B6A" w:rsidP="00D25B6A">
      <w:pPr>
        <w:spacing w:before="100" w:beforeAutospacing="1" w:after="100" w:afterAutospacing="1"/>
        <w:contextualSpacing/>
        <w:rPr>
          <w:b/>
          <w:szCs w:val="24"/>
        </w:rPr>
      </w:pPr>
      <w:r w:rsidRPr="00ED6401">
        <w:rPr>
          <w:b/>
          <w:szCs w:val="24"/>
        </w:rPr>
        <w:t>statutární město Liberec</w:t>
      </w:r>
    </w:p>
    <w:p w14:paraId="6DAF208F" w14:textId="77777777" w:rsidR="00D25B6A" w:rsidRPr="00ED6401" w:rsidRDefault="00D25B6A" w:rsidP="00D25B6A">
      <w:pPr>
        <w:spacing w:before="100" w:beforeAutospacing="1" w:after="100" w:afterAutospacing="1"/>
        <w:contextualSpacing/>
        <w:rPr>
          <w:szCs w:val="24"/>
        </w:rPr>
      </w:pPr>
      <w:r w:rsidRPr="00ED6401">
        <w:rPr>
          <w:szCs w:val="24"/>
        </w:rPr>
        <w:t xml:space="preserve">sídlo: nám. Dr.E.Beneše 1, Liberec 1, PSČ 460 59, </w:t>
      </w:r>
    </w:p>
    <w:p w14:paraId="7280F81F" w14:textId="77777777" w:rsidR="00D25B6A" w:rsidRPr="00ED6401" w:rsidRDefault="00D25B6A" w:rsidP="00D25B6A">
      <w:pPr>
        <w:spacing w:before="100" w:beforeAutospacing="1" w:after="100" w:afterAutospacing="1"/>
        <w:contextualSpacing/>
        <w:rPr>
          <w:szCs w:val="24"/>
        </w:rPr>
      </w:pPr>
      <w:r w:rsidRPr="00ED6401">
        <w:rPr>
          <w:szCs w:val="24"/>
        </w:rPr>
        <w:t>IČ: 00262978</w:t>
      </w:r>
    </w:p>
    <w:p w14:paraId="58BBA5EF" w14:textId="77777777" w:rsidR="00D25B6A" w:rsidRPr="00ED6401" w:rsidRDefault="00D25B6A" w:rsidP="00D25B6A">
      <w:pPr>
        <w:spacing w:before="100" w:beforeAutospacing="1" w:after="100" w:afterAutospacing="1"/>
        <w:contextualSpacing/>
        <w:rPr>
          <w:szCs w:val="24"/>
        </w:rPr>
      </w:pPr>
      <w:r w:rsidRPr="00ED6401">
        <w:rPr>
          <w:szCs w:val="24"/>
        </w:rPr>
        <w:t>zastoupené: Tiborem Batthyánym, primátorem města</w:t>
      </w:r>
    </w:p>
    <w:p w14:paraId="31D9B896" w14:textId="77777777" w:rsidR="00D25B6A" w:rsidRPr="00ED6401" w:rsidRDefault="00D25B6A" w:rsidP="00D25B6A">
      <w:pPr>
        <w:spacing w:before="100" w:beforeAutospacing="1" w:after="100" w:afterAutospacing="1"/>
        <w:contextualSpacing/>
        <w:rPr>
          <w:szCs w:val="24"/>
        </w:rPr>
      </w:pPr>
      <w:r w:rsidRPr="00ED6401">
        <w:rPr>
          <w:szCs w:val="24"/>
        </w:rPr>
        <w:t xml:space="preserve">číslo bankovního účtu: 108692/0800, vedený u ČS, a.s. Liberec </w:t>
      </w:r>
    </w:p>
    <w:p w14:paraId="088B2883" w14:textId="77777777" w:rsidR="007B7111" w:rsidRPr="00ED6401" w:rsidRDefault="007B7111" w:rsidP="00D25B6A">
      <w:pPr>
        <w:spacing w:before="100" w:beforeAutospacing="1" w:after="100" w:afterAutospacing="1"/>
        <w:contextualSpacing/>
        <w:rPr>
          <w:szCs w:val="24"/>
        </w:rPr>
      </w:pPr>
      <w:r w:rsidRPr="00ED6401">
        <w:rPr>
          <w:szCs w:val="24"/>
        </w:rPr>
        <w:t>jako pověřovatel</w:t>
      </w:r>
    </w:p>
    <w:p w14:paraId="5D9DF125" w14:textId="77777777" w:rsidR="00D25B6A" w:rsidRPr="00ED6401" w:rsidRDefault="00D25B6A" w:rsidP="00D25B6A">
      <w:pPr>
        <w:rPr>
          <w:szCs w:val="24"/>
        </w:rPr>
      </w:pPr>
      <w:r w:rsidRPr="00ED6401">
        <w:rPr>
          <w:szCs w:val="24"/>
        </w:rPr>
        <w:t>(dále jen „</w:t>
      </w:r>
      <w:r w:rsidRPr="00ED6401">
        <w:rPr>
          <w:b/>
          <w:szCs w:val="24"/>
        </w:rPr>
        <w:t>SML</w:t>
      </w:r>
      <w:r w:rsidRPr="00ED6401">
        <w:rPr>
          <w:szCs w:val="24"/>
        </w:rPr>
        <w:t>“)</w:t>
      </w:r>
    </w:p>
    <w:p w14:paraId="0F390431" w14:textId="77777777" w:rsidR="00D25B6A" w:rsidRPr="00ED6401" w:rsidRDefault="00D25B6A" w:rsidP="00D25B6A">
      <w:pPr>
        <w:rPr>
          <w:szCs w:val="24"/>
        </w:rPr>
      </w:pPr>
      <w:r w:rsidRPr="00ED6401">
        <w:rPr>
          <w:szCs w:val="24"/>
        </w:rPr>
        <w:t>a</w:t>
      </w:r>
    </w:p>
    <w:p w14:paraId="196286EC" w14:textId="77777777" w:rsidR="00D25B6A" w:rsidRPr="00ED6401" w:rsidRDefault="00D25B6A" w:rsidP="00D25B6A">
      <w:pPr>
        <w:spacing w:before="100" w:beforeAutospacing="1" w:after="100" w:afterAutospacing="1"/>
        <w:contextualSpacing/>
        <w:rPr>
          <w:b/>
          <w:szCs w:val="24"/>
        </w:rPr>
      </w:pPr>
      <w:r w:rsidRPr="00ED6401">
        <w:rPr>
          <w:b/>
          <w:szCs w:val="24"/>
        </w:rPr>
        <w:t>Komunitní práce Liberec, o.p.s.</w:t>
      </w:r>
    </w:p>
    <w:p w14:paraId="73DECB45" w14:textId="77777777" w:rsidR="00D25B6A" w:rsidRPr="00ED6401" w:rsidRDefault="00D25B6A" w:rsidP="00D25B6A">
      <w:pPr>
        <w:spacing w:before="100" w:beforeAutospacing="1" w:after="100" w:afterAutospacing="1"/>
        <w:contextualSpacing/>
        <w:rPr>
          <w:szCs w:val="24"/>
        </w:rPr>
      </w:pPr>
      <w:r w:rsidRPr="00ED6401">
        <w:rPr>
          <w:szCs w:val="24"/>
        </w:rPr>
        <w:t>sídlo: nám. Dr. E. Beneše 1, Liberec 1, PSČ 460 59</w:t>
      </w:r>
    </w:p>
    <w:p w14:paraId="45291778" w14:textId="77777777" w:rsidR="00D25B6A" w:rsidRPr="00ED6401" w:rsidRDefault="00D25B6A" w:rsidP="00D25B6A">
      <w:pPr>
        <w:tabs>
          <w:tab w:val="left" w:pos="1276"/>
          <w:tab w:val="left" w:pos="1560"/>
        </w:tabs>
        <w:spacing w:after="200"/>
        <w:contextualSpacing/>
        <w:jc w:val="both"/>
        <w:rPr>
          <w:szCs w:val="24"/>
        </w:rPr>
      </w:pPr>
      <w:r w:rsidRPr="00ED6401">
        <w:rPr>
          <w:szCs w:val="24"/>
        </w:rPr>
        <w:t>doručovací adresa: Josefinino údolí 9/9, Liberec V – Kristiánov, PSČ 460 05</w:t>
      </w:r>
    </w:p>
    <w:p w14:paraId="547624BE" w14:textId="77777777" w:rsidR="00D25B6A" w:rsidRPr="00ED6401" w:rsidRDefault="00D25B6A" w:rsidP="00D25B6A">
      <w:pPr>
        <w:spacing w:before="100" w:beforeAutospacing="1" w:after="100" w:afterAutospacing="1"/>
        <w:contextualSpacing/>
        <w:rPr>
          <w:szCs w:val="24"/>
        </w:rPr>
      </w:pPr>
      <w:r w:rsidRPr="00ED6401">
        <w:rPr>
          <w:szCs w:val="24"/>
        </w:rPr>
        <w:t>IČ: 27275558</w:t>
      </w:r>
    </w:p>
    <w:p w14:paraId="536C782C" w14:textId="77777777" w:rsidR="00D25B6A" w:rsidRPr="00ED6401" w:rsidRDefault="00D25B6A" w:rsidP="00D25B6A">
      <w:pPr>
        <w:spacing w:before="100" w:beforeAutospacing="1" w:after="100" w:afterAutospacing="1"/>
        <w:contextualSpacing/>
        <w:rPr>
          <w:szCs w:val="24"/>
        </w:rPr>
      </w:pPr>
      <w:r w:rsidRPr="00ED6401">
        <w:rPr>
          <w:szCs w:val="24"/>
        </w:rPr>
        <w:t>číslo bankovního účtu:  3295053399/0800</w:t>
      </w:r>
    </w:p>
    <w:p w14:paraId="034B0016" w14:textId="77777777" w:rsidR="00D25B6A" w:rsidRPr="00ED6401" w:rsidRDefault="00D25B6A" w:rsidP="00D25B6A">
      <w:pPr>
        <w:spacing w:before="100" w:beforeAutospacing="1" w:after="100" w:afterAutospacing="1"/>
        <w:contextualSpacing/>
        <w:rPr>
          <w:szCs w:val="24"/>
        </w:rPr>
      </w:pPr>
      <w:r w:rsidRPr="00ED6401">
        <w:rPr>
          <w:szCs w:val="24"/>
        </w:rPr>
        <w:t>zastoupené: Tomášem Kratochvílem, ředitelem</w:t>
      </w:r>
      <w:bookmarkStart w:id="0" w:name="_GoBack"/>
      <w:bookmarkEnd w:id="0"/>
    </w:p>
    <w:p w14:paraId="6F4F0622" w14:textId="77777777" w:rsidR="00D25B6A" w:rsidRPr="00ED6401" w:rsidRDefault="00D25B6A" w:rsidP="00D25B6A">
      <w:pPr>
        <w:spacing w:before="100" w:beforeAutospacing="1" w:after="100" w:afterAutospacing="1"/>
        <w:contextualSpacing/>
        <w:rPr>
          <w:szCs w:val="24"/>
        </w:rPr>
      </w:pPr>
      <w:r w:rsidRPr="00ED6401">
        <w:rPr>
          <w:szCs w:val="24"/>
        </w:rPr>
        <w:t xml:space="preserve">zapsané v rejstříku obecně prospěšných společností vedeném Krajským soudem v Ústí nad Labem, spisová značka O 167 </w:t>
      </w:r>
    </w:p>
    <w:p w14:paraId="45AB44C2" w14:textId="77777777" w:rsidR="007B7111" w:rsidRPr="00ED6401" w:rsidRDefault="007B7111" w:rsidP="00D25B6A">
      <w:pPr>
        <w:spacing w:before="100" w:beforeAutospacing="1" w:after="100" w:afterAutospacing="1"/>
        <w:contextualSpacing/>
        <w:rPr>
          <w:szCs w:val="24"/>
        </w:rPr>
      </w:pPr>
      <w:r w:rsidRPr="00ED6401">
        <w:rPr>
          <w:szCs w:val="24"/>
        </w:rPr>
        <w:t>jako pověřený podnik</w:t>
      </w:r>
    </w:p>
    <w:p w14:paraId="5679A15D" w14:textId="77777777" w:rsidR="00D25B6A" w:rsidRPr="00ED6401" w:rsidRDefault="00D25B6A" w:rsidP="00D25B6A">
      <w:pPr>
        <w:spacing w:before="100" w:beforeAutospacing="1" w:after="100" w:afterAutospacing="1"/>
        <w:contextualSpacing/>
        <w:rPr>
          <w:szCs w:val="24"/>
        </w:rPr>
      </w:pPr>
      <w:r w:rsidRPr="00ED6401">
        <w:rPr>
          <w:szCs w:val="24"/>
        </w:rPr>
        <w:t>(dále jen „</w:t>
      </w:r>
      <w:r w:rsidRPr="00ED6401">
        <w:rPr>
          <w:b/>
          <w:szCs w:val="24"/>
        </w:rPr>
        <w:t>Podnik</w:t>
      </w:r>
      <w:r w:rsidRPr="00ED6401">
        <w:rPr>
          <w:szCs w:val="24"/>
        </w:rPr>
        <w:t>“)</w:t>
      </w:r>
    </w:p>
    <w:p w14:paraId="1330534A" w14:textId="77777777" w:rsidR="00D25B6A" w:rsidRPr="00ED6401" w:rsidRDefault="00D25B6A" w:rsidP="00D25B6A">
      <w:pPr>
        <w:spacing w:before="100" w:beforeAutospacing="1" w:after="100" w:afterAutospacing="1"/>
        <w:contextualSpacing/>
        <w:rPr>
          <w:szCs w:val="24"/>
        </w:rPr>
      </w:pPr>
    </w:p>
    <w:p w14:paraId="3FF803F1" w14:textId="77777777" w:rsidR="007B7111" w:rsidRPr="00ED6401" w:rsidRDefault="007B7111" w:rsidP="00D25B6A">
      <w:pPr>
        <w:spacing w:before="100" w:beforeAutospacing="1" w:after="100" w:afterAutospacing="1"/>
        <w:contextualSpacing/>
        <w:rPr>
          <w:szCs w:val="24"/>
        </w:rPr>
      </w:pPr>
    </w:p>
    <w:p w14:paraId="28BC0806" w14:textId="0FA875CC" w:rsidR="007B7111" w:rsidRPr="00ED6401" w:rsidRDefault="007B7111" w:rsidP="007B7111">
      <w:pPr>
        <w:spacing w:before="100" w:beforeAutospacing="1" w:after="100" w:afterAutospacing="1"/>
        <w:contextualSpacing/>
        <w:rPr>
          <w:szCs w:val="24"/>
        </w:rPr>
      </w:pPr>
      <w:r w:rsidRPr="00ED6401">
        <w:rPr>
          <w:szCs w:val="24"/>
        </w:rPr>
        <w:t xml:space="preserve">Statutární město Liberec vydalo dne </w:t>
      </w:r>
      <w:r w:rsidR="003A3727" w:rsidRPr="00ED6401">
        <w:rPr>
          <w:szCs w:val="24"/>
        </w:rPr>
        <w:t>2.</w:t>
      </w:r>
      <w:r w:rsidR="00ED6401" w:rsidRPr="00ED6401">
        <w:rPr>
          <w:szCs w:val="24"/>
        </w:rPr>
        <w:t xml:space="preserve"> </w:t>
      </w:r>
      <w:r w:rsidR="003A3727" w:rsidRPr="00ED6401">
        <w:rPr>
          <w:szCs w:val="24"/>
        </w:rPr>
        <w:t>2.</w:t>
      </w:r>
      <w:r w:rsidR="00ED6401" w:rsidRPr="00ED6401">
        <w:rPr>
          <w:szCs w:val="24"/>
        </w:rPr>
        <w:t xml:space="preserve"> </w:t>
      </w:r>
      <w:r w:rsidR="003A3727" w:rsidRPr="00ED6401">
        <w:rPr>
          <w:szCs w:val="24"/>
        </w:rPr>
        <w:t>2017</w:t>
      </w:r>
      <w:r w:rsidRPr="00ED6401">
        <w:rPr>
          <w:szCs w:val="24"/>
        </w:rPr>
        <w:t xml:space="preserve"> </w:t>
      </w:r>
      <w:r w:rsidRPr="003F2162">
        <w:rPr>
          <w:szCs w:val="24"/>
        </w:rPr>
        <w:t>v souladu a</w:t>
      </w:r>
      <w:r w:rsidRPr="00ED6401">
        <w:rPr>
          <w:szCs w:val="24"/>
        </w:rPr>
        <w:t xml:space="preserve"> </w:t>
      </w:r>
      <w:r w:rsidRPr="003F2162">
        <w:rPr>
          <w:szCs w:val="24"/>
        </w:rPr>
        <w:t>za podmínek stanovených Rozhodnutím Komise ze dne 20. prosince 2011 o použití člá</w:t>
      </w:r>
      <w:r w:rsidRPr="00ED6401">
        <w:rPr>
          <w:szCs w:val="24"/>
        </w:rPr>
        <w:t xml:space="preserve">nku </w:t>
      </w:r>
      <w:r w:rsidRPr="003F2162">
        <w:rPr>
          <w:szCs w:val="24"/>
        </w:rPr>
        <w:t>106 odst. 2 Smlouvy o fungování Evropské unie na státní podporu ve formě vyrovnávací</w:t>
      </w:r>
      <w:r w:rsidRPr="00ED6401">
        <w:rPr>
          <w:szCs w:val="24"/>
        </w:rPr>
        <w:t xml:space="preserve"> </w:t>
      </w:r>
      <w:r w:rsidRPr="003F2162">
        <w:rPr>
          <w:szCs w:val="24"/>
        </w:rPr>
        <w:t>platby za závazek veřejné služby udělené určitým podnikům pověřeným poskytování</w:t>
      </w:r>
      <w:r w:rsidRPr="00ED6401">
        <w:rPr>
          <w:szCs w:val="24"/>
        </w:rPr>
        <w:t xml:space="preserve">m </w:t>
      </w:r>
      <w:r w:rsidRPr="003F2162">
        <w:rPr>
          <w:szCs w:val="24"/>
        </w:rPr>
        <w:t>služby obecného hospodářského zájmu, zveřejněným v Úředním věstníku Evropské unie</w:t>
      </w:r>
      <w:r w:rsidRPr="00ED6401">
        <w:rPr>
          <w:szCs w:val="24"/>
        </w:rPr>
        <w:t xml:space="preserve"> </w:t>
      </w:r>
      <w:r w:rsidRPr="003F2162">
        <w:rPr>
          <w:szCs w:val="24"/>
        </w:rPr>
        <w:t>dne 11. 1. 2012</w:t>
      </w:r>
      <w:r w:rsidR="003A3727" w:rsidRPr="00ED6401">
        <w:rPr>
          <w:szCs w:val="24"/>
        </w:rPr>
        <w:t>,</w:t>
      </w:r>
      <w:r w:rsidRPr="003F2162">
        <w:rPr>
          <w:szCs w:val="24"/>
        </w:rPr>
        <w:t xml:space="preserve"> </w:t>
      </w:r>
      <w:r w:rsidRPr="00ED6401">
        <w:rPr>
          <w:szCs w:val="24"/>
        </w:rPr>
        <w:t>Pověření k poskytování služeb obecného hospodářského zájmu</w:t>
      </w:r>
      <w:r w:rsidR="003A3727" w:rsidRPr="00ED6401">
        <w:rPr>
          <w:szCs w:val="24"/>
        </w:rPr>
        <w:t xml:space="preserve"> (dále jen Pověření)</w:t>
      </w:r>
      <w:r w:rsidRPr="00ED6401">
        <w:rPr>
          <w:szCs w:val="24"/>
        </w:rPr>
        <w:t xml:space="preserve"> pro pověřený podnik. </w:t>
      </w:r>
    </w:p>
    <w:p w14:paraId="508C8EFE" w14:textId="77777777" w:rsidR="007B7111" w:rsidRPr="00ED6401" w:rsidRDefault="007B7111" w:rsidP="007B7111">
      <w:pPr>
        <w:spacing w:before="100" w:beforeAutospacing="1" w:after="100" w:afterAutospacing="1"/>
        <w:contextualSpacing/>
        <w:rPr>
          <w:szCs w:val="24"/>
        </w:rPr>
      </w:pPr>
    </w:p>
    <w:p w14:paraId="3B5684AF" w14:textId="5A1781AA" w:rsidR="007B7111" w:rsidRPr="00ED6401" w:rsidRDefault="007B7111" w:rsidP="003F2162">
      <w:pPr>
        <w:spacing w:before="100" w:beforeAutospacing="1" w:after="100" w:afterAutospacing="1"/>
        <w:contextualSpacing/>
        <w:jc w:val="both"/>
        <w:rPr>
          <w:szCs w:val="24"/>
        </w:rPr>
      </w:pPr>
      <w:r w:rsidRPr="00ED6401">
        <w:rPr>
          <w:szCs w:val="24"/>
        </w:rPr>
        <w:t>Statutární město Liberec na základě usnesení Zastupitelstva města Liberec č. 81/2017 ze dne 30.</w:t>
      </w:r>
      <w:r w:rsidR="00ED6401" w:rsidRPr="00ED6401">
        <w:rPr>
          <w:szCs w:val="24"/>
        </w:rPr>
        <w:t xml:space="preserve"> </w:t>
      </w:r>
      <w:r w:rsidRPr="00ED6401">
        <w:rPr>
          <w:szCs w:val="24"/>
        </w:rPr>
        <w:t>3.</w:t>
      </w:r>
      <w:r w:rsidR="00ED6401" w:rsidRPr="00ED6401">
        <w:rPr>
          <w:szCs w:val="24"/>
        </w:rPr>
        <w:t xml:space="preserve"> </w:t>
      </w:r>
      <w:r w:rsidRPr="00ED6401">
        <w:rPr>
          <w:szCs w:val="24"/>
        </w:rPr>
        <w:t xml:space="preserve">2017 tímto </w:t>
      </w:r>
      <w:r w:rsidR="00BE5461" w:rsidRPr="00ED6401">
        <w:rPr>
          <w:szCs w:val="24"/>
        </w:rPr>
        <w:t xml:space="preserve">Dodatkem č. 1 mění a doplňuje toto </w:t>
      </w:r>
      <w:r w:rsidR="003A3727" w:rsidRPr="00ED6401">
        <w:rPr>
          <w:szCs w:val="24"/>
        </w:rPr>
        <w:t>P</w:t>
      </w:r>
      <w:r w:rsidR="00BE5461" w:rsidRPr="00ED6401">
        <w:rPr>
          <w:szCs w:val="24"/>
        </w:rPr>
        <w:t>ověření takto:</w:t>
      </w:r>
      <w:r w:rsidRPr="00ED6401">
        <w:rPr>
          <w:szCs w:val="24"/>
        </w:rPr>
        <w:t xml:space="preserve"> </w:t>
      </w:r>
    </w:p>
    <w:p w14:paraId="500A8089" w14:textId="77777777" w:rsidR="00D25B6A" w:rsidRPr="00ED6401" w:rsidRDefault="00D25B6A" w:rsidP="00D25B6A">
      <w:pPr>
        <w:spacing w:before="100" w:beforeAutospacing="1" w:after="100" w:afterAutospacing="1"/>
        <w:contextualSpacing/>
        <w:rPr>
          <w:szCs w:val="24"/>
        </w:rPr>
      </w:pPr>
    </w:p>
    <w:p w14:paraId="3DF1EE59" w14:textId="77777777" w:rsidR="00D25B6A" w:rsidRPr="00ED6401" w:rsidRDefault="00D25B6A" w:rsidP="00D25B6A">
      <w:pPr>
        <w:rPr>
          <w:b/>
          <w:szCs w:val="24"/>
          <w:u w:val="single"/>
        </w:rPr>
      </w:pPr>
      <w:r w:rsidRPr="00ED6401">
        <w:rPr>
          <w:b/>
          <w:szCs w:val="24"/>
          <w:u w:val="single"/>
        </w:rPr>
        <w:t>Článek II - ZÁVAZEK VEŘEJNÉ SLUŽBY</w:t>
      </w:r>
    </w:p>
    <w:p w14:paraId="26752DC6" w14:textId="3EBF488D" w:rsidR="00D25B6A" w:rsidRPr="00ED6401" w:rsidRDefault="00BE5461" w:rsidP="00D25B6A">
      <w:pPr>
        <w:pStyle w:val="Odstavecseseznamem"/>
        <w:numPr>
          <w:ilvl w:val="0"/>
          <w:numId w:val="1"/>
        </w:numPr>
        <w:tabs>
          <w:tab w:val="left" w:pos="1560"/>
        </w:tabs>
        <w:jc w:val="both"/>
        <w:rPr>
          <w:rFonts w:asciiTheme="minorHAnsi" w:eastAsiaTheme="minorHAnsi" w:hAnsiTheme="minorHAnsi"/>
          <w:color w:val="000000" w:themeColor="text1"/>
          <w:sz w:val="22"/>
          <w:szCs w:val="22"/>
        </w:rPr>
      </w:pPr>
      <w:r w:rsidRPr="00ED6401">
        <w:rPr>
          <w:szCs w:val="24"/>
        </w:rPr>
        <w:t>se doplňuje o nový bod f), který zní takto:</w:t>
      </w:r>
      <w:r w:rsidR="00ED6401" w:rsidRPr="00ED6401">
        <w:rPr>
          <w:szCs w:val="24"/>
        </w:rPr>
        <w:t xml:space="preserve"> </w:t>
      </w:r>
      <w:r w:rsidR="00D25B6A" w:rsidRPr="003F2162">
        <w:rPr>
          <w:rFonts w:asciiTheme="minorHAnsi" w:eastAsiaTheme="minorHAnsi" w:hAnsiTheme="minorHAnsi"/>
          <w:color w:val="000000" w:themeColor="text1"/>
          <w:sz w:val="22"/>
          <w:szCs w:val="22"/>
        </w:rPr>
        <w:t xml:space="preserve">Nezbytnými náklady Podniku se rozumí i náklady potřebné pro zvýšení efektivity práce zaměstnanců VPP </w:t>
      </w:r>
      <w:r w:rsidR="00D25B6A" w:rsidRPr="003F2162">
        <w:rPr>
          <w:rFonts w:asciiTheme="minorHAnsi" w:eastAsiaTheme="minorHAnsi" w:hAnsiTheme="minorHAnsi"/>
          <w:sz w:val="22"/>
          <w:szCs w:val="22"/>
        </w:rPr>
        <w:t xml:space="preserve">(t. j. dosažení vyššího výkonu na jednotku nákladů - </w:t>
      </w:r>
      <w:r w:rsidR="00D25B6A" w:rsidRPr="003F2162">
        <w:rPr>
          <w:rFonts w:asciiTheme="minorHAnsi" w:eastAsiaTheme="minorHAnsi" w:hAnsiTheme="minorHAnsi"/>
          <w:color w:val="000000" w:themeColor="text1"/>
          <w:sz w:val="22"/>
          <w:szCs w:val="22"/>
        </w:rPr>
        <w:t>motivační složka odměn, nová pracovní pozice v managementu, finance na investice do vybavení Podniku apod.) při zachování hospodárného nakládání s veřejnými prostředky.</w:t>
      </w:r>
    </w:p>
    <w:p w14:paraId="7869C61D" w14:textId="77777777" w:rsidR="00D25B6A" w:rsidRPr="00ED6401" w:rsidRDefault="00D25B6A" w:rsidP="00D25B6A">
      <w:pPr>
        <w:tabs>
          <w:tab w:val="left" w:pos="1560"/>
        </w:tabs>
        <w:jc w:val="both"/>
        <w:rPr>
          <w:color w:val="000000" w:themeColor="text1"/>
        </w:rPr>
      </w:pPr>
    </w:p>
    <w:p w14:paraId="0CE247CA" w14:textId="77777777" w:rsidR="00D25B6A" w:rsidRPr="00ED6401" w:rsidRDefault="00D25B6A" w:rsidP="00D25B6A">
      <w:pPr>
        <w:spacing w:after="0" w:line="240" w:lineRule="auto"/>
        <w:rPr>
          <w:b/>
          <w:u w:val="single"/>
        </w:rPr>
      </w:pPr>
      <w:r w:rsidRPr="00ED6401">
        <w:rPr>
          <w:b/>
          <w:szCs w:val="24"/>
          <w:u w:val="single"/>
        </w:rPr>
        <w:t>Článek III - VYROVNÁVACÍ PLATBA ZA POSKYTOVÁNÍ SLUŽEB OBECNÉHO HOSPODÁŘSKÉHO</w:t>
      </w:r>
      <w:r w:rsidRPr="00ED6401">
        <w:rPr>
          <w:b/>
          <w:u w:val="single"/>
        </w:rPr>
        <w:t xml:space="preserve"> ZÁJMU</w:t>
      </w:r>
    </w:p>
    <w:p w14:paraId="5FE8D098" w14:textId="77777777" w:rsidR="00BE5461" w:rsidRPr="00ED6401" w:rsidRDefault="00BE5461" w:rsidP="00D25B6A">
      <w:pPr>
        <w:spacing w:after="0" w:line="240" w:lineRule="auto"/>
        <w:rPr>
          <w:b/>
          <w:u w:val="single"/>
        </w:rPr>
      </w:pPr>
    </w:p>
    <w:p w14:paraId="01974A9D" w14:textId="77777777" w:rsidR="00BE5461" w:rsidRPr="003F2162" w:rsidRDefault="00BE5461" w:rsidP="00D25B6A">
      <w:pPr>
        <w:spacing w:after="0" w:line="240" w:lineRule="auto"/>
      </w:pPr>
      <w:r w:rsidRPr="00ED6401">
        <w:t xml:space="preserve">V odst. 1 se za stávající text doplňuje věta a celý odstavec 1 zní nově takto: </w:t>
      </w:r>
    </w:p>
    <w:p w14:paraId="24161206" w14:textId="77777777" w:rsidR="00D25B6A" w:rsidRPr="00ED6401" w:rsidRDefault="00D25B6A" w:rsidP="00D25B6A">
      <w:pPr>
        <w:pStyle w:val="Odstavecseseznamem"/>
        <w:numPr>
          <w:ilvl w:val="0"/>
          <w:numId w:val="3"/>
        </w:numPr>
        <w:jc w:val="both"/>
        <w:rPr>
          <w:rFonts w:asciiTheme="minorHAnsi" w:eastAsiaTheme="minorHAnsi" w:hAnsiTheme="minorHAnsi"/>
          <w:sz w:val="22"/>
          <w:szCs w:val="22"/>
        </w:rPr>
      </w:pPr>
      <w:r w:rsidRPr="00ED6401">
        <w:rPr>
          <w:rFonts w:asciiTheme="minorHAnsi" w:eastAsiaTheme="minorHAnsi" w:hAnsiTheme="minorHAnsi"/>
          <w:sz w:val="22"/>
          <w:szCs w:val="22"/>
        </w:rPr>
        <w:t xml:space="preserve">Vyrovnávací platbou se rozumí poskytnutí finančních prostředků (dotace) z veřejných zdrojů na úhradu </w:t>
      </w:r>
      <w:r w:rsidRPr="00ED6401">
        <w:rPr>
          <w:rFonts w:asciiTheme="minorHAnsi" w:eastAsiaTheme="minorHAnsi" w:hAnsiTheme="minorHAnsi"/>
          <w:b/>
          <w:sz w:val="22"/>
          <w:szCs w:val="22"/>
        </w:rPr>
        <w:t>nezbytně nutných</w:t>
      </w:r>
      <w:r w:rsidRPr="00ED6401">
        <w:rPr>
          <w:rFonts w:asciiTheme="minorHAnsi" w:eastAsiaTheme="minorHAnsi" w:hAnsiTheme="minorHAnsi"/>
          <w:sz w:val="22"/>
          <w:szCs w:val="22"/>
        </w:rPr>
        <w:t xml:space="preserve"> nákladů vynaložených Podnikem při plnění závazku veřejné služby dle tohoto Pověření. Vyrovnávací platbu ke krytí nákladů nezbytně nutných na </w:t>
      </w:r>
      <w:r w:rsidRPr="00ED6401">
        <w:rPr>
          <w:rFonts w:asciiTheme="minorHAnsi" w:eastAsiaTheme="minorHAnsi" w:hAnsiTheme="minorHAnsi"/>
          <w:sz w:val="22"/>
          <w:szCs w:val="22"/>
        </w:rPr>
        <w:lastRenderedPageBreak/>
        <w:t xml:space="preserve">poskytování služby dle čl. II tohoto Pověření může zcela nebo zčásti poskytnout SML ze svého rozpočtu za podmínek uvedených v tomto Pověření a veřejnoprávní smlouvě o poskytnutí dotace. </w:t>
      </w:r>
      <w:r w:rsidRPr="003F2162">
        <w:rPr>
          <w:rFonts w:asciiTheme="minorHAnsi" w:eastAsiaTheme="minorHAnsi" w:hAnsiTheme="minorHAnsi"/>
          <w:sz w:val="22"/>
          <w:szCs w:val="22"/>
        </w:rPr>
        <w:t>Nezbytně nutnými náklady se rozumí i náklady vedoucí ke zvýšení efektivity práce VPP (dosažení vyššího výkonu na jednotku nákladů).</w:t>
      </w:r>
    </w:p>
    <w:p w14:paraId="7DBE315D" w14:textId="77777777" w:rsidR="00D25B6A" w:rsidRPr="00ED6401" w:rsidRDefault="00D25B6A" w:rsidP="00D25B6A">
      <w:pPr>
        <w:pStyle w:val="Odstavecseseznamem"/>
        <w:jc w:val="both"/>
        <w:rPr>
          <w:rFonts w:asciiTheme="minorHAnsi" w:eastAsiaTheme="minorHAnsi" w:hAnsiTheme="minorHAnsi"/>
          <w:sz w:val="22"/>
          <w:szCs w:val="22"/>
        </w:rPr>
      </w:pPr>
    </w:p>
    <w:p w14:paraId="0478C98B" w14:textId="77777777" w:rsidR="00BE5461" w:rsidRPr="00ED6401" w:rsidRDefault="003A3727" w:rsidP="00D25B6A">
      <w:pPr>
        <w:pStyle w:val="Odstavecseseznamem"/>
        <w:jc w:val="both"/>
        <w:rPr>
          <w:rFonts w:asciiTheme="minorHAnsi" w:eastAsiaTheme="minorHAnsi" w:hAnsiTheme="minorHAnsi"/>
          <w:sz w:val="22"/>
          <w:szCs w:val="22"/>
        </w:rPr>
      </w:pPr>
      <w:r w:rsidRPr="00ED6401">
        <w:rPr>
          <w:rFonts w:asciiTheme="minorHAnsi" w:eastAsiaTheme="minorHAnsi" w:hAnsiTheme="minorHAnsi"/>
          <w:sz w:val="22"/>
          <w:szCs w:val="22"/>
        </w:rPr>
        <w:t>O</w:t>
      </w:r>
      <w:r w:rsidR="00BE5461" w:rsidRPr="00ED6401">
        <w:rPr>
          <w:rFonts w:asciiTheme="minorHAnsi" w:eastAsiaTheme="minorHAnsi" w:hAnsiTheme="minorHAnsi"/>
          <w:sz w:val="22"/>
          <w:szCs w:val="22"/>
        </w:rPr>
        <w:t>dst</w:t>
      </w:r>
      <w:r w:rsidRPr="00ED6401">
        <w:rPr>
          <w:rFonts w:asciiTheme="minorHAnsi" w:eastAsiaTheme="minorHAnsi" w:hAnsiTheme="minorHAnsi"/>
          <w:sz w:val="22"/>
          <w:szCs w:val="22"/>
        </w:rPr>
        <w:t>avec</w:t>
      </w:r>
      <w:r w:rsidR="00BE5461" w:rsidRPr="00ED6401">
        <w:rPr>
          <w:rFonts w:asciiTheme="minorHAnsi" w:eastAsiaTheme="minorHAnsi" w:hAnsiTheme="minorHAnsi"/>
          <w:sz w:val="22"/>
          <w:szCs w:val="22"/>
        </w:rPr>
        <w:t xml:space="preserve"> 4 nově zní takto:</w:t>
      </w:r>
    </w:p>
    <w:p w14:paraId="28D88209" w14:textId="77777777" w:rsidR="00C6530A" w:rsidRPr="00ED6401" w:rsidRDefault="00C6530A" w:rsidP="00D25B6A">
      <w:pPr>
        <w:pStyle w:val="Odstavecseseznamem"/>
        <w:jc w:val="both"/>
        <w:rPr>
          <w:rFonts w:asciiTheme="minorHAnsi" w:eastAsiaTheme="minorHAnsi" w:hAnsiTheme="minorHAnsi"/>
          <w:sz w:val="22"/>
          <w:szCs w:val="22"/>
        </w:rPr>
      </w:pPr>
    </w:p>
    <w:p w14:paraId="15015103" w14:textId="77777777" w:rsidR="00D25B6A" w:rsidRPr="00ED6401" w:rsidRDefault="00D25B6A" w:rsidP="00D25B6A">
      <w:pPr>
        <w:pStyle w:val="Odstavecseseznamem"/>
        <w:numPr>
          <w:ilvl w:val="0"/>
          <w:numId w:val="2"/>
        </w:numPr>
        <w:jc w:val="both"/>
        <w:rPr>
          <w:rFonts w:asciiTheme="minorHAnsi" w:eastAsiaTheme="minorHAnsi" w:hAnsiTheme="minorHAnsi"/>
          <w:sz w:val="22"/>
          <w:szCs w:val="22"/>
        </w:rPr>
      </w:pPr>
      <w:r w:rsidRPr="00ED6401">
        <w:rPr>
          <w:rFonts w:asciiTheme="minorHAnsi" w:eastAsiaTheme="minorHAnsi" w:hAnsiTheme="minorHAnsi"/>
          <w:sz w:val="22"/>
          <w:szCs w:val="22"/>
        </w:rPr>
        <w:t xml:space="preserve">Předpokládaná výše roční vyrovnávací platby na pokrytí nákladů na plnění závazku veřejné služby je stanovena na částku </w:t>
      </w:r>
      <w:r w:rsidRPr="003F2162">
        <w:rPr>
          <w:rFonts w:asciiTheme="minorHAnsi" w:eastAsiaTheme="minorHAnsi" w:hAnsiTheme="minorHAnsi"/>
          <w:sz w:val="22"/>
          <w:szCs w:val="22"/>
        </w:rPr>
        <w:t>17.760.000 Kč</w:t>
      </w:r>
      <w:r w:rsidRPr="00ED6401">
        <w:rPr>
          <w:rFonts w:asciiTheme="minorHAnsi" w:eastAsiaTheme="minorHAnsi" w:hAnsiTheme="minorHAnsi"/>
          <w:sz w:val="22"/>
          <w:szCs w:val="22"/>
        </w:rPr>
        <w:t xml:space="preserve"> a bude případně upravena na základě vyúčtování skutečných nákladů a výnosů vzniklých Podniku při plnění závazku veřejné služby dle tohoto Pověření v příslušném roce. Část roční vyrovnávací platby bude Podniku poskytnuta z rozpočtu SML formou dotace na základě veřejnoprávní smlouvy o poskytnutí dotace.</w:t>
      </w:r>
    </w:p>
    <w:p w14:paraId="6E8DAD57" w14:textId="77777777" w:rsidR="005D5309" w:rsidRPr="00ED6401" w:rsidRDefault="005D5309" w:rsidP="005D5309">
      <w:pPr>
        <w:pStyle w:val="Odstavecseseznamem"/>
        <w:jc w:val="both"/>
        <w:rPr>
          <w:rFonts w:asciiTheme="minorHAnsi" w:eastAsiaTheme="minorHAnsi" w:hAnsiTheme="minorHAnsi"/>
          <w:sz w:val="22"/>
          <w:szCs w:val="22"/>
        </w:rPr>
      </w:pPr>
    </w:p>
    <w:p w14:paraId="4C3FC6DC" w14:textId="4A594B4D" w:rsidR="005D5309" w:rsidRPr="00ED6401" w:rsidRDefault="00C6530A" w:rsidP="005D5309">
      <w:pPr>
        <w:spacing w:before="100" w:beforeAutospacing="1" w:after="100" w:afterAutospacing="1"/>
        <w:contextualSpacing/>
        <w:rPr>
          <w:szCs w:val="24"/>
        </w:rPr>
      </w:pPr>
      <w:r w:rsidRPr="00ED6401">
        <w:rPr>
          <w:szCs w:val="24"/>
        </w:rPr>
        <w:t xml:space="preserve">Dále se </w:t>
      </w:r>
      <w:r w:rsidR="005D5309" w:rsidRPr="00ED6401">
        <w:rPr>
          <w:szCs w:val="24"/>
        </w:rPr>
        <w:t xml:space="preserve">mění příloha </w:t>
      </w:r>
      <w:r w:rsidRPr="00ED6401">
        <w:rPr>
          <w:szCs w:val="24"/>
        </w:rPr>
        <w:t xml:space="preserve">č. 1 Pověření </w:t>
      </w:r>
      <w:r w:rsidR="005D5309" w:rsidRPr="00ED6401">
        <w:rPr>
          <w:color w:val="000000" w:themeColor="text1"/>
          <w:szCs w:val="24"/>
        </w:rPr>
        <w:t>Pravidla pro stanovení vyrovnávací platby</w:t>
      </w:r>
      <w:r w:rsidR="005D5309" w:rsidRPr="00ED6401">
        <w:rPr>
          <w:szCs w:val="24"/>
        </w:rPr>
        <w:t xml:space="preserve"> takto:</w:t>
      </w:r>
    </w:p>
    <w:p w14:paraId="45BCC142" w14:textId="77777777" w:rsidR="005D5309" w:rsidRPr="00ED6401" w:rsidRDefault="005D5309" w:rsidP="005D5309">
      <w:pPr>
        <w:rPr>
          <w:b/>
          <w:szCs w:val="24"/>
        </w:rPr>
      </w:pPr>
    </w:p>
    <w:p w14:paraId="754EEAEC" w14:textId="77777777" w:rsidR="005D5309" w:rsidRPr="00ED6401" w:rsidRDefault="005D5309" w:rsidP="005D5309">
      <w:pPr>
        <w:rPr>
          <w:b/>
          <w:szCs w:val="24"/>
          <w:u w:val="single"/>
        </w:rPr>
      </w:pPr>
      <w:r w:rsidRPr="00ED6401">
        <w:rPr>
          <w:b/>
          <w:szCs w:val="24"/>
        </w:rPr>
        <w:t>Článek 3 - Náklady</w:t>
      </w:r>
      <w:r w:rsidRPr="00ED6401">
        <w:rPr>
          <w:b/>
          <w:szCs w:val="24"/>
          <w:u w:val="single"/>
        </w:rPr>
        <w:t xml:space="preserve"> </w:t>
      </w:r>
    </w:p>
    <w:p w14:paraId="6F9759CA" w14:textId="5EAA9759" w:rsidR="005D5309" w:rsidRPr="00ED6401" w:rsidRDefault="00C6530A" w:rsidP="005D5309">
      <w:pPr>
        <w:rPr>
          <w:sz w:val="20"/>
        </w:rPr>
      </w:pPr>
      <w:r w:rsidRPr="00ED6401">
        <w:rPr>
          <w:sz w:val="20"/>
        </w:rPr>
        <w:t>v čl. 3 se doplňuje následující text takto:</w:t>
      </w:r>
    </w:p>
    <w:p w14:paraId="1C5C968B" w14:textId="77777777" w:rsidR="005D5309" w:rsidRPr="00ED6401" w:rsidRDefault="005D5309" w:rsidP="005D5309">
      <w:pPr>
        <w:rPr>
          <w:szCs w:val="24"/>
        </w:rPr>
      </w:pPr>
      <w:r w:rsidRPr="003F2162">
        <w:rPr>
          <w:szCs w:val="24"/>
        </w:rPr>
        <w:t>Dle usnesení Správní rady ze dne 3. 11. 2016 bude management Podniku rozšířen o novou pozici zástupce ředitele/provozní vedoucí. Tato pozice byla zřízena na základě dlouhodobé stagnace Podniku (nulový rozvoj, nízká míra efektivity práce zaměstnanců, nezvyšování pracovních kompetencí VPP apod.). Pro další rozvoj Podniku bude ředitel nově zajišťovat další zdroje financování (zakázky, dotace).</w:t>
      </w:r>
    </w:p>
    <w:p w14:paraId="27080539" w14:textId="77777777" w:rsidR="005D5309" w:rsidRPr="00ED6401" w:rsidRDefault="005D5309" w:rsidP="005D5309">
      <w:pPr>
        <w:pStyle w:val="Odstavecseseznamem"/>
        <w:rPr>
          <w:rFonts w:asciiTheme="minorHAnsi" w:eastAsiaTheme="minorHAnsi" w:hAnsiTheme="minorHAnsi"/>
          <w:b/>
          <w:szCs w:val="24"/>
        </w:rPr>
      </w:pPr>
    </w:p>
    <w:p w14:paraId="79BD346B" w14:textId="77777777" w:rsidR="005D5309" w:rsidRPr="00ED6401" w:rsidRDefault="00C6530A" w:rsidP="005D5309">
      <w:pPr>
        <w:rPr>
          <w:b/>
          <w:szCs w:val="24"/>
        </w:rPr>
      </w:pPr>
      <w:r w:rsidRPr="00ED6401">
        <w:rPr>
          <w:b/>
          <w:szCs w:val="24"/>
        </w:rPr>
        <w:t xml:space="preserve">V části </w:t>
      </w:r>
      <w:r w:rsidR="005D5309" w:rsidRPr="00ED6401">
        <w:rPr>
          <w:b/>
          <w:szCs w:val="24"/>
        </w:rPr>
        <w:t>Uznatelné náklady</w:t>
      </w:r>
      <w:r w:rsidRPr="00ED6401">
        <w:rPr>
          <w:b/>
          <w:szCs w:val="24"/>
        </w:rPr>
        <w:t xml:space="preserve"> se mění položka</w:t>
      </w:r>
      <w:r w:rsidR="003A3727" w:rsidRPr="00ED6401">
        <w:rPr>
          <w:b/>
          <w:szCs w:val="24"/>
        </w:rPr>
        <w:t xml:space="preserve"> 521 mzdové náklady takto</w:t>
      </w:r>
      <w:r w:rsidRPr="00ED6401">
        <w:rPr>
          <w:b/>
          <w:szCs w:val="24"/>
        </w:rPr>
        <w:t xml:space="preserve">: </w:t>
      </w:r>
    </w:p>
    <w:p w14:paraId="6A90EF78" w14:textId="77777777" w:rsidR="005D5309" w:rsidRPr="00ED6401" w:rsidRDefault="005D5309" w:rsidP="005D5309">
      <w:pPr>
        <w:rPr>
          <w:szCs w:val="24"/>
          <w:u w:val="single"/>
        </w:rPr>
      </w:pPr>
      <w:r w:rsidRPr="00ED6401">
        <w:rPr>
          <w:szCs w:val="24"/>
          <w:u w:val="single"/>
        </w:rPr>
        <w:t>521 mzdové náklady*</w:t>
      </w:r>
    </w:p>
    <w:p w14:paraId="553FBF82" w14:textId="77777777" w:rsidR="005D5309" w:rsidRPr="00ED6401" w:rsidRDefault="005D5309" w:rsidP="005D5309">
      <w:pPr>
        <w:numPr>
          <w:ilvl w:val="0"/>
          <w:numId w:val="4"/>
        </w:numPr>
        <w:contextualSpacing/>
        <w:rPr>
          <w:szCs w:val="24"/>
        </w:rPr>
      </w:pPr>
      <w:r w:rsidRPr="00ED6401">
        <w:rPr>
          <w:szCs w:val="24"/>
        </w:rPr>
        <w:t>případné odměny pouze s předchozím souhlasem pověřovatele</w:t>
      </w:r>
    </w:p>
    <w:p w14:paraId="09A2D42B" w14:textId="77777777" w:rsidR="005D5309" w:rsidRPr="00ED6401" w:rsidRDefault="005D5309" w:rsidP="005D5309">
      <w:pPr>
        <w:ind w:left="720"/>
        <w:contextualSpacing/>
        <w:rPr>
          <w:szCs w:val="24"/>
        </w:rPr>
      </w:pPr>
    </w:p>
    <w:p w14:paraId="46B2255A" w14:textId="77777777" w:rsidR="005D5309" w:rsidRPr="00ED6401" w:rsidRDefault="005D5309" w:rsidP="005D5309">
      <w:pPr>
        <w:rPr>
          <w:szCs w:val="24"/>
        </w:rPr>
      </w:pPr>
      <w:r w:rsidRPr="00ED6401">
        <w:rPr>
          <w:szCs w:val="24"/>
        </w:rPr>
        <w:t>*</w:t>
      </w:r>
      <w:r w:rsidRPr="003F2162">
        <w:rPr>
          <w:szCs w:val="24"/>
        </w:rPr>
        <w:t>Předpokládá se, že m</w:t>
      </w:r>
      <w:r w:rsidRPr="00ED6401">
        <w:rPr>
          <w:szCs w:val="24"/>
        </w:rPr>
        <w:t xml:space="preserve">zdy kmenových zaměstnanců budou v roce 2017 zachovány bez navyšování v průběhu roku 2017 (kromě zákonných navýšení). </w:t>
      </w:r>
      <w:r w:rsidRPr="003F2162">
        <w:rPr>
          <w:szCs w:val="24"/>
        </w:rPr>
        <w:t>Doplněna nová pracovní pozice zástupce ředitele/provozní vedoucí.</w:t>
      </w:r>
    </w:p>
    <w:p w14:paraId="3B4FBC39" w14:textId="77777777" w:rsidR="005D5309" w:rsidRPr="00ED6401" w:rsidRDefault="005D5309" w:rsidP="005D5309">
      <w:pPr>
        <w:ind w:left="720"/>
        <w:contextualSpacing/>
        <w:rPr>
          <w:szCs w:val="24"/>
        </w:rPr>
      </w:pPr>
    </w:p>
    <w:p w14:paraId="7CF497F7" w14:textId="77777777" w:rsidR="005D5309" w:rsidRPr="00ED6401" w:rsidRDefault="005D5309" w:rsidP="005D5309">
      <w:pPr>
        <w:rPr>
          <w:szCs w:val="24"/>
        </w:rPr>
      </w:pPr>
      <w:r w:rsidRPr="003F2162">
        <w:rPr>
          <w:szCs w:val="24"/>
        </w:rPr>
        <w:t>Návrh nové struktury organogramu Podniku pro rok 2017</w:t>
      </w:r>
    </w:p>
    <w:tbl>
      <w:tblPr>
        <w:tblStyle w:val="Mkatabulky2"/>
        <w:tblW w:w="0" w:type="auto"/>
        <w:tblLook w:val="04A0" w:firstRow="1" w:lastRow="0" w:firstColumn="1" w:lastColumn="0" w:noHBand="0" w:noVBand="1"/>
      </w:tblPr>
      <w:tblGrid>
        <w:gridCol w:w="2265"/>
        <w:gridCol w:w="2409"/>
        <w:gridCol w:w="2409"/>
        <w:gridCol w:w="1979"/>
      </w:tblGrid>
      <w:tr w:rsidR="005D5309" w:rsidRPr="00ED6401" w14:paraId="0C451DB6" w14:textId="77777777" w:rsidTr="00175548">
        <w:tc>
          <w:tcPr>
            <w:tcW w:w="2265" w:type="dxa"/>
          </w:tcPr>
          <w:p w14:paraId="4E76E6F3" w14:textId="77777777" w:rsidR="005D5309" w:rsidRPr="00ED6401" w:rsidRDefault="005D5309" w:rsidP="00175548">
            <w:pPr>
              <w:spacing w:after="160" w:line="259" w:lineRule="auto"/>
              <w:rPr>
                <w:szCs w:val="24"/>
              </w:rPr>
            </w:pPr>
          </w:p>
        </w:tc>
        <w:tc>
          <w:tcPr>
            <w:tcW w:w="2409" w:type="dxa"/>
          </w:tcPr>
          <w:p w14:paraId="4286DACF" w14:textId="77777777" w:rsidR="005D5309" w:rsidRPr="00ED6401" w:rsidRDefault="005D5309" w:rsidP="00175548">
            <w:pPr>
              <w:spacing w:after="160" w:line="259" w:lineRule="auto"/>
              <w:rPr>
                <w:szCs w:val="24"/>
              </w:rPr>
            </w:pPr>
            <w:r w:rsidRPr="00ED6401">
              <w:rPr>
                <w:szCs w:val="24"/>
              </w:rPr>
              <w:t>základní mzda</w:t>
            </w:r>
          </w:p>
        </w:tc>
        <w:tc>
          <w:tcPr>
            <w:tcW w:w="2409" w:type="dxa"/>
          </w:tcPr>
          <w:p w14:paraId="4A850B91" w14:textId="77777777" w:rsidR="005D5309" w:rsidRPr="00ED6401" w:rsidRDefault="005D5309" w:rsidP="00175548">
            <w:pPr>
              <w:spacing w:after="160" w:line="259" w:lineRule="auto"/>
              <w:rPr>
                <w:szCs w:val="24"/>
              </w:rPr>
            </w:pPr>
            <w:r w:rsidRPr="00ED6401">
              <w:rPr>
                <w:szCs w:val="24"/>
              </w:rPr>
              <w:t>osobní příplatek</w:t>
            </w:r>
          </w:p>
        </w:tc>
        <w:tc>
          <w:tcPr>
            <w:tcW w:w="1979" w:type="dxa"/>
          </w:tcPr>
          <w:p w14:paraId="6D19A7BE" w14:textId="77777777" w:rsidR="005D5309" w:rsidRPr="00ED6401" w:rsidRDefault="005D5309" w:rsidP="00175548">
            <w:pPr>
              <w:spacing w:after="160" w:line="259" w:lineRule="auto"/>
              <w:rPr>
                <w:szCs w:val="24"/>
              </w:rPr>
            </w:pPr>
          </w:p>
        </w:tc>
      </w:tr>
      <w:tr w:rsidR="005D5309" w:rsidRPr="00ED6401" w14:paraId="3EA459D7" w14:textId="77777777" w:rsidTr="00175548">
        <w:tc>
          <w:tcPr>
            <w:tcW w:w="2265" w:type="dxa"/>
          </w:tcPr>
          <w:p w14:paraId="529181FE" w14:textId="77777777" w:rsidR="005D5309" w:rsidRPr="00ED6401" w:rsidRDefault="005D5309" w:rsidP="00175548">
            <w:pPr>
              <w:spacing w:after="160" w:line="259" w:lineRule="auto"/>
              <w:rPr>
                <w:szCs w:val="24"/>
              </w:rPr>
            </w:pPr>
            <w:r w:rsidRPr="00ED6401">
              <w:rPr>
                <w:szCs w:val="24"/>
              </w:rPr>
              <w:t>ředitel společnosti</w:t>
            </w:r>
          </w:p>
        </w:tc>
        <w:tc>
          <w:tcPr>
            <w:tcW w:w="2409" w:type="dxa"/>
          </w:tcPr>
          <w:p w14:paraId="3334D3ED" w14:textId="77777777" w:rsidR="005D5309" w:rsidRPr="00ED6401" w:rsidRDefault="005D5309" w:rsidP="00175548">
            <w:pPr>
              <w:spacing w:after="160" w:line="259" w:lineRule="auto"/>
              <w:jc w:val="right"/>
              <w:rPr>
                <w:szCs w:val="24"/>
              </w:rPr>
            </w:pPr>
            <w:r w:rsidRPr="003F2162">
              <w:rPr>
                <w:szCs w:val="24"/>
              </w:rPr>
              <w:t>40 000 Kč</w:t>
            </w:r>
          </w:p>
        </w:tc>
        <w:tc>
          <w:tcPr>
            <w:tcW w:w="2409" w:type="dxa"/>
          </w:tcPr>
          <w:p w14:paraId="0CB2FF19" w14:textId="77777777" w:rsidR="005D5309" w:rsidRPr="00ED6401" w:rsidRDefault="005D5309" w:rsidP="00175548">
            <w:pPr>
              <w:spacing w:after="160" w:line="259" w:lineRule="auto"/>
              <w:jc w:val="right"/>
              <w:rPr>
                <w:szCs w:val="24"/>
              </w:rPr>
            </w:pPr>
          </w:p>
        </w:tc>
        <w:tc>
          <w:tcPr>
            <w:tcW w:w="1979" w:type="dxa"/>
          </w:tcPr>
          <w:p w14:paraId="49F106F2" w14:textId="77777777" w:rsidR="005D5309" w:rsidRPr="00ED6401" w:rsidRDefault="005D5309" w:rsidP="00175548">
            <w:pPr>
              <w:spacing w:after="160" w:line="259" w:lineRule="auto"/>
              <w:rPr>
                <w:szCs w:val="24"/>
              </w:rPr>
            </w:pPr>
          </w:p>
        </w:tc>
      </w:tr>
      <w:tr w:rsidR="005D5309" w:rsidRPr="00ED6401" w14:paraId="2C5EF518" w14:textId="77777777" w:rsidTr="00175548">
        <w:tc>
          <w:tcPr>
            <w:tcW w:w="2265" w:type="dxa"/>
          </w:tcPr>
          <w:p w14:paraId="42176479" w14:textId="77777777" w:rsidR="005D5309" w:rsidRPr="003F2162" w:rsidRDefault="005D5309" w:rsidP="00175548">
            <w:pPr>
              <w:spacing w:after="160" w:line="259" w:lineRule="auto"/>
              <w:rPr>
                <w:szCs w:val="24"/>
              </w:rPr>
            </w:pPr>
            <w:r w:rsidRPr="003F2162">
              <w:rPr>
                <w:szCs w:val="24"/>
              </w:rPr>
              <w:t>Zástupce ředitele/provozní vedoucí</w:t>
            </w:r>
          </w:p>
        </w:tc>
        <w:tc>
          <w:tcPr>
            <w:tcW w:w="2409" w:type="dxa"/>
          </w:tcPr>
          <w:p w14:paraId="167647DB" w14:textId="77777777" w:rsidR="005D5309" w:rsidRPr="003F2162" w:rsidRDefault="005D5309" w:rsidP="00175548">
            <w:pPr>
              <w:spacing w:after="160" w:line="259" w:lineRule="auto"/>
              <w:jc w:val="right"/>
              <w:rPr>
                <w:szCs w:val="24"/>
              </w:rPr>
            </w:pPr>
            <w:r w:rsidRPr="00ED6401">
              <w:rPr>
                <w:szCs w:val="24"/>
              </w:rPr>
              <w:t>31 000 Kč</w:t>
            </w:r>
          </w:p>
        </w:tc>
        <w:tc>
          <w:tcPr>
            <w:tcW w:w="2409" w:type="dxa"/>
          </w:tcPr>
          <w:p w14:paraId="52AF647D" w14:textId="77777777" w:rsidR="005D5309" w:rsidRPr="00ED6401" w:rsidRDefault="005D5309" w:rsidP="00175548">
            <w:pPr>
              <w:spacing w:after="160" w:line="259" w:lineRule="auto"/>
              <w:jc w:val="right"/>
              <w:rPr>
                <w:szCs w:val="24"/>
              </w:rPr>
            </w:pPr>
            <w:r w:rsidRPr="00ED6401">
              <w:rPr>
                <w:szCs w:val="24"/>
              </w:rPr>
              <w:t>6 000 Kč</w:t>
            </w:r>
          </w:p>
        </w:tc>
        <w:tc>
          <w:tcPr>
            <w:tcW w:w="1979" w:type="dxa"/>
          </w:tcPr>
          <w:p w14:paraId="2DAEF7A3" w14:textId="77777777" w:rsidR="005D5309" w:rsidRPr="00ED6401" w:rsidRDefault="005D5309" w:rsidP="00175548">
            <w:pPr>
              <w:spacing w:after="160" w:line="259" w:lineRule="auto"/>
              <w:rPr>
                <w:szCs w:val="24"/>
              </w:rPr>
            </w:pPr>
            <w:r w:rsidRPr="00ED6401">
              <w:rPr>
                <w:szCs w:val="24"/>
              </w:rPr>
              <w:t>2 865 Kč služ.auto</w:t>
            </w:r>
          </w:p>
        </w:tc>
      </w:tr>
      <w:tr w:rsidR="005D5309" w:rsidRPr="00ED6401" w14:paraId="3D3BED27" w14:textId="77777777" w:rsidTr="00175548">
        <w:tc>
          <w:tcPr>
            <w:tcW w:w="2265" w:type="dxa"/>
          </w:tcPr>
          <w:p w14:paraId="51ED5B21" w14:textId="77777777" w:rsidR="005D5309" w:rsidRPr="00ED6401" w:rsidRDefault="005D5309" w:rsidP="00175548">
            <w:pPr>
              <w:spacing w:after="160" w:line="259" w:lineRule="auto"/>
              <w:rPr>
                <w:szCs w:val="24"/>
              </w:rPr>
            </w:pPr>
            <w:r w:rsidRPr="00ED6401">
              <w:rPr>
                <w:szCs w:val="24"/>
              </w:rPr>
              <w:t>účetní</w:t>
            </w:r>
          </w:p>
        </w:tc>
        <w:tc>
          <w:tcPr>
            <w:tcW w:w="2409" w:type="dxa"/>
          </w:tcPr>
          <w:p w14:paraId="19CDF0C9" w14:textId="77777777" w:rsidR="005D5309" w:rsidRPr="00ED6401" w:rsidRDefault="005D5309" w:rsidP="00175548">
            <w:pPr>
              <w:spacing w:after="160" w:line="259" w:lineRule="auto"/>
              <w:jc w:val="right"/>
              <w:rPr>
                <w:szCs w:val="24"/>
              </w:rPr>
            </w:pPr>
            <w:r w:rsidRPr="00ED6401">
              <w:rPr>
                <w:szCs w:val="24"/>
              </w:rPr>
              <w:t>16 200 Kč</w:t>
            </w:r>
          </w:p>
        </w:tc>
        <w:tc>
          <w:tcPr>
            <w:tcW w:w="2409" w:type="dxa"/>
          </w:tcPr>
          <w:p w14:paraId="0C9B02CC" w14:textId="77777777" w:rsidR="005D5309" w:rsidRPr="00ED6401" w:rsidRDefault="005D5309" w:rsidP="00175548">
            <w:pPr>
              <w:spacing w:after="160" w:line="259" w:lineRule="auto"/>
              <w:jc w:val="right"/>
              <w:rPr>
                <w:szCs w:val="24"/>
              </w:rPr>
            </w:pPr>
            <w:r w:rsidRPr="00ED6401">
              <w:rPr>
                <w:szCs w:val="24"/>
              </w:rPr>
              <w:t>5 000 Kč</w:t>
            </w:r>
          </w:p>
        </w:tc>
        <w:tc>
          <w:tcPr>
            <w:tcW w:w="1979" w:type="dxa"/>
          </w:tcPr>
          <w:p w14:paraId="31C7134B" w14:textId="77777777" w:rsidR="005D5309" w:rsidRPr="00ED6401" w:rsidRDefault="005D5309" w:rsidP="00175548">
            <w:pPr>
              <w:spacing w:after="160" w:line="259" w:lineRule="auto"/>
              <w:rPr>
                <w:szCs w:val="24"/>
              </w:rPr>
            </w:pPr>
          </w:p>
        </w:tc>
      </w:tr>
      <w:tr w:rsidR="005D5309" w:rsidRPr="00ED6401" w14:paraId="7B2B4696" w14:textId="77777777" w:rsidTr="00175548">
        <w:tc>
          <w:tcPr>
            <w:tcW w:w="2265" w:type="dxa"/>
          </w:tcPr>
          <w:p w14:paraId="3F05C0E4" w14:textId="77777777" w:rsidR="005D5309" w:rsidRPr="00ED6401" w:rsidRDefault="005D5309" w:rsidP="00175548">
            <w:pPr>
              <w:spacing w:after="160" w:line="259" w:lineRule="auto"/>
              <w:rPr>
                <w:szCs w:val="24"/>
              </w:rPr>
            </w:pPr>
            <w:r w:rsidRPr="00ED6401">
              <w:rPr>
                <w:szCs w:val="24"/>
              </w:rPr>
              <w:t>koordinátor</w:t>
            </w:r>
          </w:p>
        </w:tc>
        <w:tc>
          <w:tcPr>
            <w:tcW w:w="2409" w:type="dxa"/>
          </w:tcPr>
          <w:p w14:paraId="5AC5CEDB" w14:textId="77777777" w:rsidR="005D5309" w:rsidRPr="00ED6401" w:rsidRDefault="005D5309" w:rsidP="00175548">
            <w:pPr>
              <w:spacing w:after="160" w:line="259" w:lineRule="auto"/>
              <w:jc w:val="right"/>
              <w:rPr>
                <w:szCs w:val="24"/>
              </w:rPr>
            </w:pPr>
            <w:r w:rsidRPr="00ED6401">
              <w:rPr>
                <w:szCs w:val="24"/>
              </w:rPr>
              <w:t>19 000 Kč</w:t>
            </w:r>
          </w:p>
        </w:tc>
        <w:tc>
          <w:tcPr>
            <w:tcW w:w="2409" w:type="dxa"/>
          </w:tcPr>
          <w:p w14:paraId="719D9434" w14:textId="77777777" w:rsidR="005D5309" w:rsidRPr="00ED6401" w:rsidRDefault="005D5309" w:rsidP="00175548">
            <w:pPr>
              <w:spacing w:after="160" w:line="259" w:lineRule="auto"/>
              <w:jc w:val="right"/>
              <w:rPr>
                <w:szCs w:val="24"/>
              </w:rPr>
            </w:pPr>
            <w:r w:rsidRPr="00ED6401">
              <w:rPr>
                <w:szCs w:val="24"/>
              </w:rPr>
              <w:t>2 500 Kč</w:t>
            </w:r>
          </w:p>
        </w:tc>
        <w:tc>
          <w:tcPr>
            <w:tcW w:w="1979" w:type="dxa"/>
          </w:tcPr>
          <w:p w14:paraId="454B7744" w14:textId="77777777" w:rsidR="005D5309" w:rsidRPr="00ED6401" w:rsidRDefault="005D5309" w:rsidP="00175548">
            <w:pPr>
              <w:spacing w:after="160" w:line="259" w:lineRule="auto"/>
              <w:rPr>
                <w:szCs w:val="24"/>
              </w:rPr>
            </w:pPr>
          </w:p>
        </w:tc>
      </w:tr>
      <w:tr w:rsidR="005D5309" w:rsidRPr="00ED6401" w14:paraId="308F1361" w14:textId="77777777" w:rsidTr="00175548">
        <w:tc>
          <w:tcPr>
            <w:tcW w:w="2265" w:type="dxa"/>
          </w:tcPr>
          <w:p w14:paraId="463FF55B" w14:textId="77777777" w:rsidR="005D5309" w:rsidRPr="00ED6401" w:rsidRDefault="005D5309" w:rsidP="00175548">
            <w:pPr>
              <w:spacing w:after="160" w:line="259" w:lineRule="auto"/>
              <w:rPr>
                <w:szCs w:val="24"/>
              </w:rPr>
            </w:pPr>
            <w:r w:rsidRPr="00ED6401">
              <w:rPr>
                <w:szCs w:val="24"/>
              </w:rPr>
              <w:t>koordinátor</w:t>
            </w:r>
          </w:p>
        </w:tc>
        <w:tc>
          <w:tcPr>
            <w:tcW w:w="2409" w:type="dxa"/>
          </w:tcPr>
          <w:p w14:paraId="1EB4907B" w14:textId="77777777" w:rsidR="005D5309" w:rsidRPr="00ED6401" w:rsidRDefault="005D5309" w:rsidP="00175548">
            <w:pPr>
              <w:spacing w:after="160" w:line="259" w:lineRule="auto"/>
              <w:jc w:val="right"/>
              <w:rPr>
                <w:szCs w:val="24"/>
              </w:rPr>
            </w:pPr>
            <w:r w:rsidRPr="00ED6401">
              <w:rPr>
                <w:szCs w:val="24"/>
              </w:rPr>
              <w:t>14 700 Kč</w:t>
            </w:r>
          </w:p>
        </w:tc>
        <w:tc>
          <w:tcPr>
            <w:tcW w:w="2409" w:type="dxa"/>
          </w:tcPr>
          <w:p w14:paraId="10179228" w14:textId="77777777" w:rsidR="005D5309" w:rsidRPr="00ED6401" w:rsidRDefault="005D5309" w:rsidP="00175548">
            <w:pPr>
              <w:spacing w:after="160" w:line="259" w:lineRule="auto"/>
              <w:jc w:val="right"/>
              <w:rPr>
                <w:szCs w:val="24"/>
              </w:rPr>
            </w:pPr>
            <w:r w:rsidRPr="00ED6401">
              <w:rPr>
                <w:szCs w:val="24"/>
              </w:rPr>
              <w:t>4 000 Kč</w:t>
            </w:r>
          </w:p>
        </w:tc>
        <w:tc>
          <w:tcPr>
            <w:tcW w:w="1979" w:type="dxa"/>
          </w:tcPr>
          <w:p w14:paraId="734EC957" w14:textId="77777777" w:rsidR="005D5309" w:rsidRPr="00ED6401" w:rsidRDefault="005D5309" w:rsidP="00175548">
            <w:pPr>
              <w:spacing w:after="160" w:line="259" w:lineRule="auto"/>
              <w:rPr>
                <w:szCs w:val="24"/>
              </w:rPr>
            </w:pPr>
          </w:p>
        </w:tc>
      </w:tr>
      <w:tr w:rsidR="005D5309" w:rsidRPr="00ED6401" w14:paraId="1D4C5397" w14:textId="77777777" w:rsidTr="00175548">
        <w:tc>
          <w:tcPr>
            <w:tcW w:w="2265" w:type="dxa"/>
          </w:tcPr>
          <w:p w14:paraId="7BE744FB" w14:textId="77777777" w:rsidR="005D5309" w:rsidRPr="00ED6401" w:rsidRDefault="005D5309" w:rsidP="00175548">
            <w:pPr>
              <w:spacing w:after="160" w:line="259" w:lineRule="auto"/>
              <w:rPr>
                <w:szCs w:val="24"/>
              </w:rPr>
            </w:pPr>
            <w:r w:rsidRPr="00ED6401">
              <w:rPr>
                <w:szCs w:val="24"/>
              </w:rPr>
              <w:lastRenderedPageBreak/>
              <w:t>koordinátor</w:t>
            </w:r>
          </w:p>
        </w:tc>
        <w:tc>
          <w:tcPr>
            <w:tcW w:w="2409" w:type="dxa"/>
          </w:tcPr>
          <w:p w14:paraId="724E3BBB" w14:textId="77777777" w:rsidR="005D5309" w:rsidRPr="00ED6401" w:rsidRDefault="005D5309" w:rsidP="00175548">
            <w:pPr>
              <w:spacing w:after="160" w:line="259" w:lineRule="auto"/>
              <w:jc w:val="right"/>
              <w:rPr>
                <w:szCs w:val="24"/>
              </w:rPr>
            </w:pPr>
            <w:r w:rsidRPr="00ED6401">
              <w:rPr>
                <w:szCs w:val="24"/>
              </w:rPr>
              <w:t>14 700 Kč</w:t>
            </w:r>
          </w:p>
        </w:tc>
        <w:tc>
          <w:tcPr>
            <w:tcW w:w="2409" w:type="dxa"/>
          </w:tcPr>
          <w:p w14:paraId="3E565A2A" w14:textId="77777777" w:rsidR="005D5309" w:rsidRPr="00ED6401" w:rsidRDefault="005D5309" w:rsidP="00175548">
            <w:pPr>
              <w:spacing w:after="160" w:line="259" w:lineRule="auto"/>
              <w:jc w:val="right"/>
              <w:rPr>
                <w:szCs w:val="24"/>
              </w:rPr>
            </w:pPr>
            <w:r w:rsidRPr="00ED6401">
              <w:rPr>
                <w:szCs w:val="24"/>
              </w:rPr>
              <w:t>3 000 Kč</w:t>
            </w:r>
          </w:p>
        </w:tc>
        <w:tc>
          <w:tcPr>
            <w:tcW w:w="1979" w:type="dxa"/>
          </w:tcPr>
          <w:p w14:paraId="11CDC006" w14:textId="77777777" w:rsidR="005D5309" w:rsidRPr="00ED6401" w:rsidRDefault="005D5309" w:rsidP="00175548">
            <w:pPr>
              <w:spacing w:after="160" w:line="259" w:lineRule="auto"/>
              <w:rPr>
                <w:szCs w:val="24"/>
              </w:rPr>
            </w:pPr>
          </w:p>
        </w:tc>
      </w:tr>
      <w:tr w:rsidR="005D5309" w:rsidRPr="00ED6401" w14:paraId="3EBA09FC" w14:textId="77777777" w:rsidTr="00175548">
        <w:tc>
          <w:tcPr>
            <w:tcW w:w="2265" w:type="dxa"/>
          </w:tcPr>
          <w:p w14:paraId="142F7E2E" w14:textId="77777777" w:rsidR="005D5309" w:rsidRPr="00ED6401" w:rsidRDefault="005D5309" w:rsidP="00175548">
            <w:pPr>
              <w:spacing w:after="160" w:line="259" w:lineRule="auto"/>
              <w:rPr>
                <w:szCs w:val="24"/>
              </w:rPr>
            </w:pPr>
            <w:r w:rsidRPr="00ED6401">
              <w:rPr>
                <w:szCs w:val="24"/>
              </w:rPr>
              <w:t>Koordinátor ÚP</w:t>
            </w:r>
          </w:p>
        </w:tc>
        <w:tc>
          <w:tcPr>
            <w:tcW w:w="2409" w:type="dxa"/>
          </w:tcPr>
          <w:p w14:paraId="7D0878A2" w14:textId="77777777" w:rsidR="005D5309" w:rsidRPr="00ED6401" w:rsidRDefault="005D5309" w:rsidP="005D5309">
            <w:pPr>
              <w:numPr>
                <w:ilvl w:val="0"/>
                <w:numId w:val="5"/>
              </w:numPr>
              <w:spacing w:after="160" w:line="259" w:lineRule="auto"/>
              <w:contextualSpacing/>
              <w:jc w:val="right"/>
              <w:rPr>
                <w:szCs w:val="24"/>
              </w:rPr>
            </w:pPr>
            <w:r w:rsidRPr="00ED6401">
              <w:rPr>
                <w:szCs w:val="24"/>
              </w:rPr>
              <w:t>700 Kč</w:t>
            </w:r>
          </w:p>
        </w:tc>
        <w:tc>
          <w:tcPr>
            <w:tcW w:w="2409" w:type="dxa"/>
          </w:tcPr>
          <w:p w14:paraId="4908DB75" w14:textId="77777777" w:rsidR="005D5309" w:rsidRPr="00ED6401" w:rsidRDefault="005D5309" w:rsidP="00175548">
            <w:pPr>
              <w:spacing w:after="160" w:line="259" w:lineRule="auto"/>
              <w:ind w:left="720"/>
              <w:contextualSpacing/>
              <w:jc w:val="center"/>
              <w:rPr>
                <w:szCs w:val="24"/>
              </w:rPr>
            </w:pPr>
            <w:r w:rsidRPr="00ED6401">
              <w:rPr>
                <w:szCs w:val="24"/>
              </w:rPr>
              <w:t xml:space="preserve">         2 000 Kč</w:t>
            </w:r>
          </w:p>
        </w:tc>
        <w:tc>
          <w:tcPr>
            <w:tcW w:w="1979" w:type="dxa"/>
          </w:tcPr>
          <w:p w14:paraId="73D7F40A" w14:textId="77777777" w:rsidR="005D5309" w:rsidRPr="00ED6401" w:rsidRDefault="005D5309" w:rsidP="00175548">
            <w:pPr>
              <w:spacing w:after="160" w:line="259" w:lineRule="auto"/>
              <w:rPr>
                <w:szCs w:val="24"/>
              </w:rPr>
            </w:pPr>
          </w:p>
        </w:tc>
      </w:tr>
    </w:tbl>
    <w:p w14:paraId="021DE72F" w14:textId="77777777" w:rsidR="005D5309" w:rsidRPr="00ED6401" w:rsidRDefault="005D5309" w:rsidP="005D5309">
      <w:pPr>
        <w:ind w:left="720"/>
        <w:contextualSpacing/>
        <w:rPr>
          <w:szCs w:val="24"/>
        </w:rPr>
      </w:pPr>
    </w:p>
    <w:p w14:paraId="503AB95C" w14:textId="77777777" w:rsidR="005D5309" w:rsidRPr="00ED6401" w:rsidRDefault="005D5309" w:rsidP="005D5309">
      <w:pPr>
        <w:rPr>
          <w:szCs w:val="24"/>
        </w:rPr>
      </w:pPr>
      <w:r w:rsidRPr="00ED6401">
        <w:rPr>
          <w:szCs w:val="24"/>
        </w:rPr>
        <w:t>V průběhu roku mohou být přijati maximálně 2 koordinátoři částečně financovaní z ÚP, jejichž mzda bude shodná se mzdou stávajícího koordinátora ÚP. Změny v nákladech s tímto související budou s pověřovatelem plně vypořádány.</w:t>
      </w:r>
    </w:p>
    <w:p w14:paraId="77E5DC9B" w14:textId="77777777" w:rsidR="005D5309" w:rsidRPr="00ED6401" w:rsidRDefault="005D5309" w:rsidP="005D5309">
      <w:pPr>
        <w:rPr>
          <w:szCs w:val="24"/>
        </w:rPr>
      </w:pPr>
    </w:p>
    <w:p w14:paraId="484D2383" w14:textId="77777777" w:rsidR="005D5309" w:rsidRPr="00ED6401" w:rsidRDefault="005D5309" w:rsidP="005D5309">
      <w:pPr>
        <w:rPr>
          <w:szCs w:val="24"/>
        </w:rPr>
      </w:pPr>
      <w:r w:rsidRPr="003F2162">
        <w:rPr>
          <w:szCs w:val="24"/>
        </w:rPr>
        <w:t>Ředitel společnosti má za úkol navýšit výnosy z doplňkové činnosti minimálně o 350 000 Kč/rok k pokrytí nových mzdových nákladů na pozici zástupce ředitele/provozní vedoucí.</w:t>
      </w:r>
    </w:p>
    <w:p w14:paraId="52584682" w14:textId="77777777" w:rsidR="003A3727" w:rsidRPr="00ED6401" w:rsidRDefault="003A3727" w:rsidP="005D5309">
      <w:pPr>
        <w:rPr>
          <w:szCs w:val="24"/>
        </w:rPr>
      </w:pPr>
      <w:r w:rsidRPr="00ED6401">
        <w:rPr>
          <w:szCs w:val="24"/>
        </w:rPr>
        <w:t xml:space="preserve">Dále se mění výsledná </w:t>
      </w:r>
      <w:r w:rsidRPr="003F2162">
        <w:rPr>
          <w:szCs w:val="24"/>
        </w:rPr>
        <w:t>předpokládaná výše roční vyrovnávací platby</w:t>
      </w:r>
      <w:r w:rsidRPr="00ED6401">
        <w:rPr>
          <w:szCs w:val="24"/>
        </w:rPr>
        <w:t xml:space="preserve"> takto:</w:t>
      </w:r>
    </w:p>
    <w:p w14:paraId="1F95D4FA" w14:textId="77777777" w:rsidR="005D5309" w:rsidRPr="00ED6401" w:rsidRDefault="005D5309" w:rsidP="005D5309">
      <w:pPr>
        <w:rPr>
          <w:szCs w:val="24"/>
        </w:rPr>
      </w:pPr>
      <w:r w:rsidRPr="00ED6401">
        <w:rPr>
          <w:szCs w:val="24"/>
        </w:rPr>
        <w:t xml:space="preserve">Výsledná </w:t>
      </w:r>
      <w:r w:rsidRPr="00ED6401">
        <w:rPr>
          <w:b/>
          <w:szCs w:val="24"/>
        </w:rPr>
        <w:t>předpokládaná výše roční vyrovnávací platby</w:t>
      </w:r>
      <w:r w:rsidRPr="00ED6401">
        <w:rPr>
          <w:szCs w:val="24"/>
        </w:rPr>
        <w:t xml:space="preserve">, při požadovaném počtu 85 pracovních míst veřejně prospěšných prací, byla dle výše popsaného postupu </w:t>
      </w:r>
      <w:r w:rsidRPr="00ED6401">
        <w:rPr>
          <w:b/>
          <w:szCs w:val="24"/>
        </w:rPr>
        <w:t xml:space="preserve">stanovena na částku 15.494.000 Kč </w:t>
      </w:r>
      <w:r w:rsidRPr="003F2162">
        <w:rPr>
          <w:b/>
          <w:szCs w:val="24"/>
        </w:rPr>
        <w:t>pro VPP</w:t>
      </w:r>
      <w:r w:rsidRPr="00ED6401">
        <w:rPr>
          <w:szCs w:val="24"/>
        </w:rPr>
        <w:t xml:space="preserve">, což odpovídá nákladům ve výši 182.282 Kč na 1 pracovní místo veřejně prospěšných prací. </w:t>
      </w:r>
      <w:r w:rsidRPr="003F2162">
        <w:rPr>
          <w:szCs w:val="24"/>
        </w:rPr>
        <w:t xml:space="preserve">Celková částka vyrovnávací platby po započtení nákladů na nově vzniklou pozici a materiálové vybavení Podniku činí </w:t>
      </w:r>
      <w:r w:rsidRPr="003F2162">
        <w:rPr>
          <w:b/>
          <w:szCs w:val="24"/>
        </w:rPr>
        <w:t>17.760.000 Kč.</w:t>
      </w:r>
    </w:p>
    <w:p w14:paraId="521835F0" w14:textId="77777777" w:rsidR="005D5309" w:rsidRPr="00ED6401" w:rsidRDefault="005D5309" w:rsidP="005D5309">
      <w:pPr>
        <w:rPr>
          <w:szCs w:val="24"/>
        </w:rPr>
      </w:pPr>
    </w:p>
    <w:p w14:paraId="05DA1E18" w14:textId="77777777" w:rsidR="005D5309" w:rsidRPr="00ED6401" w:rsidRDefault="005D5309" w:rsidP="005D5309">
      <w:pPr>
        <w:rPr>
          <w:szCs w:val="24"/>
        </w:rPr>
      </w:pPr>
      <w:r w:rsidRPr="00ED6401">
        <w:rPr>
          <w:szCs w:val="24"/>
        </w:rPr>
        <w:t xml:space="preserve">Z toho se stanoví </w:t>
      </w:r>
      <w:r w:rsidRPr="00ED6401">
        <w:rPr>
          <w:b/>
          <w:szCs w:val="24"/>
        </w:rPr>
        <w:t xml:space="preserve">část vyrovnávací platby poskytnuté statutárním městem Liberec formou dotace pro rok 2017 ve výši </w:t>
      </w:r>
      <w:r w:rsidRPr="003F2162">
        <w:rPr>
          <w:b/>
          <w:szCs w:val="24"/>
        </w:rPr>
        <w:t>6.840.000 Kč</w:t>
      </w:r>
      <w:r w:rsidRPr="00ED6401">
        <w:rPr>
          <w:b/>
          <w:szCs w:val="24"/>
        </w:rPr>
        <w:t>.</w:t>
      </w:r>
      <w:r w:rsidRPr="00ED6401">
        <w:rPr>
          <w:szCs w:val="24"/>
        </w:rPr>
        <w:t xml:space="preserve"> Všechny rozdíly zjištěné při vyúčtování vyrovnávací platby ke dni 31. 12. příslušného kalendářního roku budou plně vypořádány.</w:t>
      </w:r>
    </w:p>
    <w:p w14:paraId="1BC13365" w14:textId="77777777" w:rsidR="003A3727" w:rsidRPr="00ED6401" w:rsidRDefault="003A3727" w:rsidP="005D5309">
      <w:pPr>
        <w:rPr>
          <w:szCs w:val="24"/>
        </w:rPr>
      </w:pPr>
    </w:p>
    <w:p w14:paraId="5DDD77C4" w14:textId="77777777" w:rsidR="003A3727" w:rsidRPr="00ED6401" w:rsidRDefault="003A3727" w:rsidP="005D5309">
      <w:pPr>
        <w:rPr>
          <w:rFonts w:cstheme="minorHAnsi"/>
        </w:rPr>
      </w:pPr>
      <w:r w:rsidRPr="00ED6401">
        <w:rPr>
          <w:szCs w:val="24"/>
        </w:rPr>
        <w:t>Ostatní ustanovení Pověření se nemění a zůstávají v platnosti.</w:t>
      </w:r>
    </w:p>
    <w:p w14:paraId="14487E63" w14:textId="77777777" w:rsidR="005D5309" w:rsidRPr="00ED6401" w:rsidRDefault="005D5309" w:rsidP="005D5309">
      <w:pPr>
        <w:pStyle w:val="Odstavecseseznamem"/>
        <w:jc w:val="both"/>
        <w:rPr>
          <w:rFonts w:asciiTheme="minorHAnsi" w:eastAsiaTheme="minorHAnsi" w:hAnsiTheme="minorHAnsi"/>
          <w:sz w:val="22"/>
          <w:szCs w:val="22"/>
        </w:rPr>
      </w:pPr>
    </w:p>
    <w:p w14:paraId="3C2549D2" w14:textId="77777777" w:rsidR="005D5309" w:rsidRPr="00ED6401" w:rsidRDefault="005D5309" w:rsidP="005D5309">
      <w:pPr>
        <w:contextualSpacing/>
        <w:rPr>
          <w:bCs/>
          <w:szCs w:val="24"/>
        </w:rPr>
      </w:pPr>
      <w:r w:rsidRPr="00ED6401">
        <w:rPr>
          <w:bCs/>
          <w:szCs w:val="24"/>
        </w:rPr>
        <w:t>V Liberci dne: _________________</w:t>
      </w:r>
      <w:r w:rsidRPr="00ED6401">
        <w:rPr>
          <w:bCs/>
          <w:szCs w:val="24"/>
        </w:rPr>
        <w:tab/>
      </w:r>
      <w:r w:rsidRPr="00ED6401">
        <w:rPr>
          <w:bCs/>
          <w:szCs w:val="24"/>
        </w:rPr>
        <w:tab/>
      </w:r>
      <w:r w:rsidRPr="00ED6401">
        <w:rPr>
          <w:bCs/>
          <w:szCs w:val="24"/>
        </w:rPr>
        <w:tab/>
        <w:t>V Liberci dne: _________________</w:t>
      </w:r>
    </w:p>
    <w:p w14:paraId="7D8DDD6B" w14:textId="77777777" w:rsidR="005D5309" w:rsidRPr="00ED6401" w:rsidRDefault="005D5309" w:rsidP="005D5309">
      <w:pPr>
        <w:contextualSpacing/>
        <w:rPr>
          <w:bCs/>
          <w:szCs w:val="24"/>
        </w:rPr>
      </w:pPr>
      <w:r w:rsidRPr="00ED6401">
        <w:rPr>
          <w:bCs/>
          <w:szCs w:val="24"/>
        </w:rPr>
        <w:tab/>
      </w:r>
    </w:p>
    <w:p w14:paraId="467453CC" w14:textId="77777777" w:rsidR="005D5309" w:rsidRPr="00ED6401" w:rsidRDefault="005D5309" w:rsidP="005D5309">
      <w:pPr>
        <w:contextualSpacing/>
        <w:rPr>
          <w:bCs/>
          <w:szCs w:val="24"/>
        </w:rPr>
      </w:pPr>
      <w:r w:rsidRPr="00ED6401">
        <w:rPr>
          <w:bCs/>
          <w:szCs w:val="24"/>
        </w:rPr>
        <w:tab/>
      </w:r>
      <w:r w:rsidRPr="00ED6401">
        <w:rPr>
          <w:bCs/>
          <w:szCs w:val="24"/>
        </w:rPr>
        <w:tab/>
      </w:r>
      <w:r w:rsidRPr="00ED6401">
        <w:rPr>
          <w:bCs/>
          <w:szCs w:val="24"/>
        </w:rPr>
        <w:tab/>
      </w:r>
      <w:r w:rsidRPr="00ED6401">
        <w:rPr>
          <w:bCs/>
          <w:szCs w:val="24"/>
        </w:rPr>
        <w:tab/>
      </w:r>
    </w:p>
    <w:p w14:paraId="77BF91BF" w14:textId="77777777" w:rsidR="005D5309" w:rsidRPr="00ED6401" w:rsidRDefault="005D5309" w:rsidP="005D5309">
      <w:pPr>
        <w:contextualSpacing/>
        <w:rPr>
          <w:bCs/>
          <w:szCs w:val="24"/>
        </w:rPr>
      </w:pPr>
    </w:p>
    <w:p w14:paraId="0B474806" w14:textId="77777777" w:rsidR="005D5309" w:rsidRPr="00ED6401" w:rsidRDefault="005D5309" w:rsidP="005D5309">
      <w:pPr>
        <w:contextualSpacing/>
        <w:rPr>
          <w:bCs/>
          <w:szCs w:val="24"/>
        </w:rPr>
      </w:pPr>
    </w:p>
    <w:p w14:paraId="48A2B691" w14:textId="77777777" w:rsidR="005D5309" w:rsidRPr="00ED6401" w:rsidRDefault="005D5309" w:rsidP="005D5309">
      <w:pPr>
        <w:contextualSpacing/>
        <w:rPr>
          <w:bCs/>
          <w:szCs w:val="24"/>
        </w:rPr>
      </w:pPr>
    </w:p>
    <w:p w14:paraId="2542AED8" w14:textId="77777777" w:rsidR="005D5309" w:rsidRPr="00ED6401" w:rsidRDefault="005D5309" w:rsidP="005D5309">
      <w:pPr>
        <w:contextualSpacing/>
        <w:rPr>
          <w:bCs/>
          <w:szCs w:val="24"/>
        </w:rPr>
      </w:pPr>
      <w:r w:rsidRPr="00ED6401">
        <w:rPr>
          <w:bCs/>
          <w:szCs w:val="24"/>
        </w:rPr>
        <w:t>________________________________</w:t>
      </w:r>
      <w:r w:rsidRPr="00ED6401">
        <w:rPr>
          <w:bCs/>
          <w:szCs w:val="24"/>
        </w:rPr>
        <w:tab/>
      </w:r>
      <w:r w:rsidRPr="00ED6401">
        <w:rPr>
          <w:bCs/>
          <w:szCs w:val="24"/>
        </w:rPr>
        <w:tab/>
        <w:t>________________________________</w:t>
      </w:r>
    </w:p>
    <w:p w14:paraId="0A3A69F7" w14:textId="451CA8EA" w:rsidR="005D5309" w:rsidRPr="00ED6401" w:rsidRDefault="00C13D93" w:rsidP="005D5309">
      <w:pPr>
        <w:contextualSpacing/>
        <w:rPr>
          <w:bCs/>
          <w:szCs w:val="24"/>
        </w:rPr>
      </w:pPr>
      <w:r>
        <w:rPr>
          <w:bCs/>
          <w:szCs w:val="24"/>
        </w:rPr>
        <w:t xml:space="preserve">                 </w:t>
      </w:r>
      <w:r w:rsidR="003A3727" w:rsidRPr="00ED6401">
        <w:rPr>
          <w:bCs/>
          <w:szCs w:val="24"/>
        </w:rPr>
        <w:t>pověřovatel</w:t>
      </w:r>
      <w:r w:rsidR="005D5309" w:rsidRPr="00ED6401">
        <w:rPr>
          <w:bCs/>
          <w:szCs w:val="24"/>
        </w:rPr>
        <w:tab/>
      </w:r>
      <w:r w:rsidR="005D5309" w:rsidRPr="00ED6401">
        <w:rPr>
          <w:bCs/>
          <w:szCs w:val="24"/>
        </w:rPr>
        <w:tab/>
      </w:r>
      <w:r w:rsidR="005D5309" w:rsidRPr="00ED6401">
        <w:rPr>
          <w:bCs/>
          <w:szCs w:val="24"/>
        </w:rPr>
        <w:tab/>
      </w:r>
      <w:r w:rsidR="005D5309" w:rsidRPr="00ED6401">
        <w:rPr>
          <w:bCs/>
          <w:szCs w:val="24"/>
        </w:rPr>
        <w:tab/>
      </w:r>
      <w:r w:rsidR="005D5309" w:rsidRPr="00ED6401">
        <w:rPr>
          <w:bCs/>
          <w:szCs w:val="24"/>
        </w:rPr>
        <w:tab/>
      </w:r>
      <w:r w:rsidR="005D5309" w:rsidRPr="00ED6401">
        <w:rPr>
          <w:bCs/>
          <w:szCs w:val="24"/>
        </w:rPr>
        <w:tab/>
      </w:r>
      <w:r w:rsidR="003A3727" w:rsidRPr="00ED6401">
        <w:rPr>
          <w:bCs/>
          <w:szCs w:val="24"/>
        </w:rPr>
        <w:t>pověřený podnik</w:t>
      </w:r>
    </w:p>
    <w:p w14:paraId="7DFFE5DE" w14:textId="77777777" w:rsidR="005D5309" w:rsidRPr="00ED6401" w:rsidRDefault="005D5309" w:rsidP="005D5309">
      <w:pPr>
        <w:tabs>
          <w:tab w:val="left" w:pos="142"/>
          <w:tab w:val="left" w:pos="3686"/>
        </w:tabs>
        <w:contextualSpacing/>
        <w:rPr>
          <w:bCs/>
          <w:szCs w:val="24"/>
        </w:rPr>
      </w:pPr>
      <w:r w:rsidRPr="00ED6401">
        <w:rPr>
          <w:bCs/>
          <w:szCs w:val="24"/>
        </w:rPr>
        <w:t xml:space="preserve">          statutární město Liberec</w:t>
      </w:r>
      <w:r w:rsidRPr="00ED6401">
        <w:rPr>
          <w:bCs/>
          <w:szCs w:val="24"/>
        </w:rPr>
        <w:tab/>
      </w:r>
      <w:r w:rsidRPr="00ED6401">
        <w:rPr>
          <w:bCs/>
          <w:szCs w:val="24"/>
        </w:rPr>
        <w:tab/>
      </w:r>
      <w:r w:rsidRPr="00ED6401">
        <w:rPr>
          <w:bCs/>
          <w:szCs w:val="24"/>
        </w:rPr>
        <w:tab/>
        <w:t xml:space="preserve">      Komunitní práce Liberec, o.p.s.</w:t>
      </w:r>
    </w:p>
    <w:p w14:paraId="5D227E3E" w14:textId="77777777" w:rsidR="005D5309" w:rsidRPr="00ED6401" w:rsidRDefault="005D5309" w:rsidP="005D5309">
      <w:pPr>
        <w:contextualSpacing/>
        <w:rPr>
          <w:bCs/>
          <w:szCs w:val="24"/>
        </w:rPr>
      </w:pPr>
      <w:r w:rsidRPr="00ED6401">
        <w:rPr>
          <w:bCs/>
          <w:szCs w:val="24"/>
        </w:rPr>
        <w:t xml:space="preserve">               Tibor Batthyány </w:t>
      </w:r>
      <w:r w:rsidRPr="00ED6401">
        <w:rPr>
          <w:bCs/>
          <w:szCs w:val="24"/>
        </w:rPr>
        <w:tab/>
      </w:r>
      <w:r w:rsidRPr="00ED6401">
        <w:rPr>
          <w:bCs/>
          <w:szCs w:val="24"/>
        </w:rPr>
        <w:tab/>
      </w:r>
      <w:r w:rsidRPr="00ED6401">
        <w:rPr>
          <w:bCs/>
          <w:szCs w:val="24"/>
        </w:rPr>
        <w:tab/>
      </w:r>
      <w:r w:rsidRPr="00ED6401">
        <w:rPr>
          <w:bCs/>
          <w:szCs w:val="24"/>
        </w:rPr>
        <w:tab/>
      </w:r>
      <w:r w:rsidRPr="00ED6401">
        <w:rPr>
          <w:bCs/>
          <w:szCs w:val="24"/>
        </w:rPr>
        <w:tab/>
        <w:t xml:space="preserve">Tomáš Kratochvíl   </w:t>
      </w:r>
    </w:p>
    <w:p w14:paraId="0F51EF76" w14:textId="77777777" w:rsidR="005D5309" w:rsidRPr="00ED6401" w:rsidRDefault="005D5309" w:rsidP="005D5309">
      <w:pPr>
        <w:contextualSpacing/>
        <w:rPr>
          <w:bCs/>
          <w:szCs w:val="24"/>
        </w:rPr>
      </w:pPr>
      <w:r w:rsidRPr="00ED6401">
        <w:rPr>
          <w:bCs/>
          <w:szCs w:val="24"/>
        </w:rPr>
        <w:t xml:space="preserve">                 primátor města</w:t>
      </w:r>
      <w:r w:rsidRPr="00ED6401">
        <w:rPr>
          <w:bCs/>
          <w:szCs w:val="24"/>
        </w:rPr>
        <w:tab/>
      </w:r>
      <w:r w:rsidRPr="00ED6401">
        <w:rPr>
          <w:bCs/>
          <w:szCs w:val="24"/>
        </w:rPr>
        <w:tab/>
      </w:r>
      <w:r w:rsidRPr="00ED6401">
        <w:rPr>
          <w:bCs/>
          <w:szCs w:val="24"/>
        </w:rPr>
        <w:tab/>
      </w:r>
      <w:r w:rsidRPr="00ED6401">
        <w:rPr>
          <w:bCs/>
          <w:szCs w:val="24"/>
        </w:rPr>
        <w:tab/>
      </w:r>
      <w:r w:rsidRPr="00ED6401">
        <w:rPr>
          <w:bCs/>
          <w:szCs w:val="24"/>
        </w:rPr>
        <w:tab/>
        <w:t xml:space="preserve">            ředitel</w:t>
      </w:r>
    </w:p>
    <w:p w14:paraId="555C3AA9" w14:textId="77777777" w:rsidR="005D5309" w:rsidRPr="00ED6401" w:rsidRDefault="005D5309" w:rsidP="005D5309">
      <w:pPr>
        <w:pStyle w:val="Odstavecseseznamem"/>
        <w:jc w:val="both"/>
        <w:rPr>
          <w:rFonts w:asciiTheme="minorHAnsi" w:eastAsiaTheme="minorHAnsi" w:hAnsiTheme="minorHAnsi"/>
          <w:sz w:val="22"/>
          <w:szCs w:val="22"/>
        </w:rPr>
      </w:pPr>
    </w:p>
    <w:p w14:paraId="4E435975" w14:textId="77777777" w:rsidR="005D5309" w:rsidRPr="00ED6401" w:rsidRDefault="005D5309" w:rsidP="005D5309">
      <w:pPr>
        <w:pStyle w:val="Odstavecseseznamem"/>
        <w:jc w:val="both"/>
        <w:rPr>
          <w:rFonts w:asciiTheme="minorHAnsi" w:eastAsiaTheme="minorHAnsi" w:hAnsiTheme="minorHAnsi"/>
          <w:sz w:val="22"/>
          <w:szCs w:val="22"/>
        </w:rPr>
      </w:pPr>
    </w:p>
    <w:p w14:paraId="08CBC535" w14:textId="77777777" w:rsidR="005D5309" w:rsidRPr="00ED6401" w:rsidRDefault="005D5309" w:rsidP="005D5309">
      <w:pPr>
        <w:pStyle w:val="Odstavecseseznamem"/>
        <w:jc w:val="both"/>
        <w:rPr>
          <w:rFonts w:asciiTheme="minorHAnsi" w:eastAsiaTheme="minorHAnsi" w:hAnsiTheme="minorHAnsi"/>
          <w:sz w:val="22"/>
          <w:szCs w:val="22"/>
        </w:rPr>
      </w:pPr>
    </w:p>
    <w:p w14:paraId="0C5944B8" w14:textId="77777777" w:rsidR="005D5309" w:rsidRPr="00ED6401" w:rsidRDefault="005D5309" w:rsidP="005D5309">
      <w:pPr>
        <w:pStyle w:val="Odstavecseseznamem"/>
        <w:jc w:val="both"/>
        <w:rPr>
          <w:rFonts w:asciiTheme="minorHAnsi" w:eastAsiaTheme="minorHAnsi" w:hAnsiTheme="minorHAnsi"/>
          <w:sz w:val="22"/>
          <w:szCs w:val="22"/>
        </w:rPr>
      </w:pPr>
    </w:p>
    <w:p w14:paraId="57ADFEBD" w14:textId="77777777" w:rsidR="005D5309" w:rsidRPr="00ED6401" w:rsidRDefault="005D5309" w:rsidP="005D5309">
      <w:pPr>
        <w:pStyle w:val="Odstavecseseznamem"/>
        <w:jc w:val="both"/>
        <w:rPr>
          <w:rFonts w:asciiTheme="minorHAnsi" w:eastAsiaTheme="minorHAnsi" w:hAnsiTheme="minorHAnsi"/>
          <w:sz w:val="22"/>
          <w:szCs w:val="22"/>
        </w:rPr>
      </w:pPr>
    </w:p>
    <w:p w14:paraId="491285D5" w14:textId="77777777" w:rsidR="005D5309" w:rsidRPr="00ED6401" w:rsidRDefault="005D5309" w:rsidP="005D5309">
      <w:pPr>
        <w:pStyle w:val="Odstavecseseznamem"/>
        <w:jc w:val="both"/>
        <w:rPr>
          <w:rFonts w:asciiTheme="minorHAnsi" w:eastAsiaTheme="minorHAnsi" w:hAnsiTheme="minorHAnsi"/>
          <w:sz w:val="22"/>
          <w:szCs w:val="22"/>
        </w:rPr>
      </w:pPr>
    </w:p>
    <w:p w14:paraId="66A508CE" w14:textId="77777777" w:rsidR="005D5309" w:rsidRPr="00ED6401" w:rsidRDefault="005D5309" w:rsidP="005D5309">
      <w:pPr>
        <w:pStyle w:val="Odstavecseseznamem"/>
        <w:jc w:val="both"/>
        <w:rPr>
          <w:rFonts w:asciiTheme="minorHAnsi" w:eastAsiaTheme="minorHAnsi" w:hAnsiTheme="minorHAnsi"/>
          <w:sz w:val="22"/>
          <w:szCs w:val="22"/>
        </w:rPr>
      </w:pPr>
    </w:p>
    <w:p w14:paraId="644FAB2A" w14:textId="77777777" w:rsidR="005D5309" w:rsidRPr="00ED6401" w:rsidRDefault="005D5309" w:rsidP="005D5309">
      <w:pPr>
        <w:pStyle w:val="Odstavecseseznamem"/>
        <w:jc w:val="both"/>
        <w:rPr>
          <w:rFonts w:asciiTheme="minorHAnsi" w:eastAsiaTheme="minorHAnsi" w:hAnsiTheme="minorHAnsi"/>
          <w:sz w:val="22"/>
          <w:szCs w:val="22"/>
        </w:rPr>
      </w:pPr>
    </w:p>
    <w:p w14:paraId="5F664C6A" w14:textId="77777777" w:rsidR="005D5309" w:rsidRPr="00ED6401" w:rsidRDefault="005D5309" w:rsidP="005D5309">
      <w:pPr>
        <w:pStyle w:val="Odstavecseseznamem"/>
        <w:jc w:val="both"/>
        <w:rPr>
          <w:rFonts w:asciiTheme="minorHAnsi" w:eastAsiaTheme="minorHAnsi" w:hAnsiTheme="minorHAnsi"/>
          <w:sz w:val="22"/>
          <w:szCs w:val="22"/>
        </w:rPr>
      </w:pPr>
    </w:p>
    <w:p w14:paraId="728E5665" w14:textId="77777777" w:rsidR="005D5309" w:rsidRPr="00ED6401" w:rsidRDefault="005D5309" w:rsidP="005D5309">
      <w:pPr>
        <w:pStyle w:val="Odstavecseseznamem"/>
        <w:jc w:val="both"/>
        <w:rPr>
          <w:rFonts w:asciiTheme="minorHAnsi" w:eastAsiaTheme="minorHAnsi" w:hAnsiTheme="minorHAnsi"/>
          <w:sz w:val="22"/>
          <w:szCs w:val="22"/>
        </w:rPr>
      </w:pPr>
    </w:p>
    <w:p w14:paraId="5995635D" w14:textId="77777777" w:rsidR="005D5309" w:rsidRPr="00ED6401" w:rsidRDefault="005D5309" w:rsidP="005D5309">
      <w:pPr>
        <w:pStyle w:val="Odstavecseseznamem"/>
        <w:jc w:val="both"/>
        <w:rPr>
          <w:rFonts w:asciiTheme="minorHAnsi" w:eastAsiaTheme="minorHAnsi" w:hAnsiTheme="minorHAnsi"/>
          <w:sz w:val="22"/>
          <w:szCs w:val="22"/>
        </w:rPr>
      </w:pPr>
    </w:p>
    <w:p w14:paraId="5311DE98" w14:textId="77777777" w:rsidR="005D5309" w:rsidRPr="00ED6401" w:rsidRDefault="005D5309" w:rsidP="005D5309">
      <w:pPr>
        <w:pStyle w:val="Odstavecseseznamem"/>
        <w:jc w:val="both"/>
        <w:rPr>
          <w:rFonts w:asciiTheme="minorHAnsi" w:eastAsiaTheme="minorHAnsi" w:hAnsiTheme="minorHAnsi"/>
          <w:sz w:val="22"/>
          <w:szCs w:val="22"/>
        </w:rPr>
      </w:pPr>
    </w:p>
    <w:p w14:paraId="6F955810" w14:textId="77777777" w:rsidR="005D5309" w:rsidRPr="00ED6401" w:rsidRDefault="005D5309" w:rsidP="005D5309">
      <w:pPr>
        <w:pStyle w:val="Odstavecseseznamem"/>
        <w:jc w:val="both"/>
        <w:rPr>
          <w:rFonts w:asciiTheme="minorHAnsi" w:eastAsiaTheme="minorHAnsi" w:hAnsiTheme="minorHAnsi"/>
          <w:sz w:val="22"/>
          <w:szCs w:val="22"/>
        </w:rPr>
      </w:pPr>
    </w:p>
    <w:p w14:paraId="4F605EC3" w14:textId="77777777" w:rsidR="005D5309" w:rsidRPr="00ED6401" w:rsidRDefault="005D5309" w:rsidP="005D5309">
      <w:pPr>
        <w:jc w:val="both"/>
        <w:rPr>
          <w:color w:val="000000" w:themeColor="text1"/>
          <w:szCs w:val="24"/>
        </w:rPr>
      </w:pPr>
      <w:r w:rsidRPr="00ED6401">
        <w:rPr>
          <w:color w:val="000000" w:themeColor="text1"/>
          <w:szCs w:val="24"/>
        </w:rPr>
        <w:t>Přílohy (celé znění – upravené):</w:t>
      </w:r>
    </w:p>
    <w:p w14:paraId="3F204FE8" w14:textId="77777777" w:rsidR="005D5309" w:rsidRPr="00ED6401" w:rsidRDefault="005D5309" w:rsidP="005D5309">
      <w:pPr>
        <w:jc w:val="both"/>
        <w:rPr>
          <w:color w:val="000000" w:themeColor="text1"/>
          <w:szCs w:val="24"/>
        </w:rPr>
      </w:pPr>
      <w:r w:rsidRPr="00ED6401">
        <w:rPr>
          <w:color w:val="000000" w:themeColor="text1"/>
          <w:szCs w:val="24"/>
        </w:rPr>
        <w:t>Příloha č.  1 - Upravená Pravidla pro stanovení vyrovnávací platby</w:t>
      </w:r>
    </w:p>
    <w:p w14:paraId="55A654CA" w14:textId="77777777" w:rsidR="005D5309" w:rsidRPr="00ED6401" w:rsidRDefault="005D5309" w:rsidP="005D5309">
      <w:r w:rsidRPr="00ED6401">
        <w:rPr>
          <w:color w:val="000000" w:themeColor="text1"/>
          <w:szCs w:val="24"/>
        </w:rPr>
        <w:t xml:space="preserve">Příloha č. 2 – Veřejná podpora poskytnutá formou bezúplatně poskytnutých služeb </w:t>
      </w:r>
    </w:p>
    <w:p w14:paraId="690FBD98" w14:textId="77777777" w:rsidR="005D5309" w:rsidRPr="00ED6401" w:rsidRDefault="005D5309" w:rsidP="005D5309">
      <w:pPr>
        <w:pStyle w:val="Odstavecseseznamem"/>
        <w:jc w:val="both"/>
        <w:rPr>
          <w:rFonts w:asciiTheme="minorHAnsi" w:eastAsiaTheme="minorHAnsi" w:hAnsiTheme="minorHAnsi"/>
          <w:sz w:val="22"/>
          <w:szCs w:val="22"/>
        </w:rPr>
      </w:pPr>
    </w:p>
    <w:p w14:paraId="1BE965DC" w14:textId="77777777" w:rsidR="00BA3ECB" w:rsidRPr="00ED6401" w:rsidRDefault="00BA3ECB"/>
    <w:sectPr w:rsidR="00BA3ECB" w:rsidRPr="00ED6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A79BA"/>
    <w:multiLevelType w:val="hybridMultilevel"/>
    <w:tmpl w:val="4E44E3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4A0166"/>
    <w:multiLevelType w:val="hybridMultilevel"/>
    <w:tmpl w:val="ED208440"/>
    <w:lvl w:ilvl="0" w:tplc="94AC27CA">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1F302C"/>
    <w:multiLevelType w:val="hybridMultilevel"/>
    <w:tmpl w:val="5964BD12"/>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9215E7"/>
    <w:multiLevelType w:val="hybridMultilevel"/>
    <w:tmpl w:val="1E6EBE68"/>
    <w:lvl w:ilvl="0" w:tplc="9D3ECAC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2E34AA7"/>
    <w:multiLevelType w:val="hybridMultilevel"/>
    <w:tmpl w:val="5D16A80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B6A"/>
    <w:rsid w:val="003A3727"/>
    <w:rsid w:val="003F2162"/>
    <w:rsid w:val="005D5309"/>
    <w:rsid w:val="007B7111"/>
    <w:rsid w:val="00BA3ECB"/>
    <w:rsid w:val="00BE5461"/>
    <w:rsid w:val="00C13D93"/>
    <w:rsid w:val="00C6530A"/>
    <w:rsid w:val="00D25B6A"/>
    <w:rsid w:val="00E93231"/>
    <w:rsid w:val="00ED64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C557"/>
  <w15:chartTrackingRefBased/>
  <w15:docId w15:val="{20D5BE36-38AD-4A67-933E-C6331F72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5B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25B6A"/>
    <w:pPr>
      <w:overflowPunct w:val="0"/>
      <w:autoSpaceDE w:val="0"/>
      <w:autoSpaceDN w:val="0"/>
      <w:adjustRightInd w:val="0"/>
      <w:spacing w:before="120" w:after="0" w:line="240" w:lineRule="auto"/>
      <w:ind w:left="720"/>
      <w:contextualSpacing/>
      <w:textAlignment w:val="baseline"/>
    </w:pPr>
    <w:rPr>
      <w:rFonts w:ascii="Times New Roman" w:eastAsia="Times New Roman" w:hAnsi="Times New Roman" w:cs="Times New Roman"/>
      <w:sz w:val="24"/>
      <w:szCs w:val="20"/>
      <w:lang w:eastAsia="cs-CZ"/>
    </w:rPr>
  </w:style>
  <w:style w:type="table" w:customStyle="1" w:styleId="Mkatabulky2">
    <w:name w:val="Mřížka tabulky2"/>
    <w:basedOn w:val="Normlntabulka"/>
    <w:next w:val="Mkatabulky"/>
    <w:uiPriority w:val="39"/>
    <w:rsid w:val="005D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5D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B7111"/>
    <w:rPr>
      <w:sz w:val="16"/>
      <w:szCs w:val="16"/>
    </w:rPr>
  </w:style>
  <w:style w:type="paragraph" w:styleId="Textkomente">
    <w:name w:val="annotation text"/>
    <w:basedOn w:val="Normln"/>
    <w:link w:val="TextkomenteChar"/>
    <w:uiPriority w:val="99"/>
    <w:semiHidden/>
    <w:unhideWhenUsed/>
    <w:rsid w:val="007B7111"/>
    <w:pPr>
      <w:spacing w:line="240" w:lineRule="auto"/>
    </w:pPr>
    <w:rPr>
      <w:sz w:val="20"/>
      <w:szCs w:val="20"/>
    </w:rPr>
  </w:style>
  <w:style w:type="character" w:customStyle="1" w:styleId="TextkomenteChar">
    <w:name w:val="Text komentáře Char"/>
    <w:basedOn w:val="Standardnpsmoodstavce"/>
    <w:link w:val="Textkomente"/>
    <w:uiPriority w:val="99"/>
    <w:semiHidden/>
    <w:rsid w:val="007B7111"/>
    <w:rPr>
      <w:sz w:val="20"/>
      <w:szCs w:val="20"/>
    </w:rPr>
  </w:style>
  <w:style w:type="paragraph" w:styleId="Pedmtkomente">
    <w:name w:val="annotation subject"/>
    <w:basedOn w:val="Textkomente"/>
    <w:next w:val="Textkomente"/>
    <w:link w:val="PedmtkomenteChar"/>
    <w:uiPriority w:val="99"/>
    <w:semiHidden/>
    <w:unhideWhenUsed/>
    <w:rsid w:val="007B7111"/>
    <w:rPr>
      <w:b/>
      <w:bCs/>
    </w:rPr>
  </w:style>
  <w:style w:type="character" w:customStyle="1" w:styleId="PedmtkomenteChar">
    <w:name w:val="Předmět komentáře Char"/>
    <w:basedOn w:val="TextkomenteChar"/>
    <w:link w:val="Pedmtkomente"/>
    <w:uiPriority w:val="99"/>
    <w:semiHidden/>
    <w:rsid w:val="007B7111"/>
    <w:rPr>
      <w:b/>
      <w:bCs/>
      <w:sz w:val="20"/>
      <w:szCs w:val="20"/>
    </w:rPr>
  </w:style>
  <w:style w:type="paragraph" w:styleId="Textbubliny">
    <w:name w:val="Balloon Text"/>
    <w:basedOn w:val="Normln"/>
    <w:link w:val="TextbublinyChar"/>
    <w:uiPriority w:val="99"/>
    <w:semiHidden/>
    <w:unhideWhenUsed/>
    <w:rsid w:val="007B711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71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878</Words>
  <Characters>5182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Hrbková Karolína</dc:creator>
  <cp:keywords/>
  <dc:description/>
  <cp:lastModifiedBy>Sládková Lucie</cp:lastModifiedBy>
  <cp:revision>3</cp:revision>
  <cp:lastPrinted>2017-04-13T11:04:00Z</cp:lastPrinted>
  <dcterms:created xsi:type="dcterms:W3CDTF">2017-04-13T10:34:00Z</dcterms:created>
  <dcterms:modified xsi:type="dcterms:W3CDTF">2017-04-13T11:04:00Z</dcterms:modified>
</cp:coreProperties>
</file>