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63" w:right="3168"/>
      </w:pPr>
      <w:r>
        <w:rPr>
          <w:color w:val="808080"/>
        </w:rPr>
        <w:t>Smlouva č. 1200100043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2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02" w:val="left" w:leader="none"/>
        </w:tabs>
        <w:ind w:left="12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66" w:val="right" w:leader="none"/>
        </w:tabs>
        <w:spacing w:before="1"/>
        <w:ind w:left="122"/>
      </w:pPr>
      <w:r>
        <w:rPr/>
        <w:t>IČO:</w:t>
        <w:tab/>
        <w:t>00020729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02" w:val="left" w:leader="none"/>
        </w:tabs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02" w:val="left" w:leader="none"/>
        </w:tabs>
        <w:spacing w:line="237" w:lineRule="auto" w:before="4"/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2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infinity-progress</w:t>
      </w:r>
      <w:r>
        <w:rPr>
          <w:spacing w:val="-4"/>
        </w:rPr>
        <w:t> </w:t>
      </w:r>
      <w:r>
        <w:rPr/>
        <w:t>z.s.</w:t>
      </w:r>
    </w:p>
    <w:p>
      <w:pPr>
        <w:pStyle w:val="BodyText"/>
        <w:spacing w:line="265" w:lineRule="exact" w:before="1"/>
        <w:ind w:left="122"/>
      </w:pPr>
      <w:r>
        <w:rPr/>
        <w:t>spolek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č.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316,</w:t>
      </w:r>
      <w:r>
        <w:rPr>
          <w:spacing w:val="-2"/>
        </w:rPr>
        <w:t> </w:t>
      </w:r>
      <w:r>
        <w:rPr/>
        <w:t>739 98</w:t>
      </w:r>
      <w:r>
        <w:rPr>
          <w:spacing w:val="-2"/>
        </w:rPr>
        <w:t> </w:t>
      </w:r>
      <w:r>
        <w:rPr/>
        <w:t>Mosty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Jablunkova</w:t>
      </w:r>
    </w:p>
    <w:p>
      <w:pPr>
        <w:pStyle w:val="BodyText"/>
        <w:tabs>
          <w:tab w:pos="3002" w:val="left" w:leader="none"/>
        </w:tabs>
        <w:ind w:left="122"/>
      </w:pPr>
      <w:r>
        <w:rPr/>
        <w:t>IČO:</w:t>
        <w:tab/>
        <w:t>285</w:t>
      </w:r>
      <w:r>
        <w:rPr>
          <w:spacing w:val="-1"/>
        </w:rPr>
        <w:t> </w:t>
      </w:r>
      <w:r>
        <w:rPr/>
        <w:t>51 656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  <w:t>Mgr.</w:t>
      </w:r>
      <w:r>
        <w:rPr>
          <w:spacing w:val="-1"/>
        </w:rPr>
        <w:t> </w:t>
      </w:r>
      <w:r>
        <w:rPr/>
        <w:t>Janou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1"/>
        </w:rPr>
        <w:t> </w:t>
      </w:r>
      <w:r>
        <w:rPr/>
        <w:t>předsedkyní</w:t>
      </w:r>
    </w:p>
    <w:p>
      <w:pPr>
        <w:pStyle w:val="BodyText"/>
        <w:tabs>
          <w:tab w:pos="3002" w:val="left" w:leader="none"/>
        </w:tabs>
        <w:spacing w:before="1"/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002" w:val="left" w:leader="none"/>
        </w:tabs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35-9218790237/0100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12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I.</w:t>
      </w:r>
    </w:p>
    <w:p>
      <w:pPr>
        <w:pStyle w:val="Heading2"/>
        <w:spacing w:before="1"/>
        <w:ind w:left="315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5" w:right="12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1200100043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7"/>
          <w:sz w:val="20"/>
        </w:rPr>
        <w:t> </w:t>
      </w:r>
      <w:r>
        <w:rPr>
          <w:sz w:val="20"/>
        </w:rPr>
        <w:t>16.</w:t>
      </w:r>
      <w:r>
        <w:rPr>
          <w:spacing w:val="-1"/>
          <w:sz w:val="20"/>
        </w:rPr>
        <w:t> </w:t>
      </w:r>
      <w:r>
        <w:rPr>
          <w:sz w:val="20"/>
        </w:rPr>
        <w:t>9.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20" w:after="0"/>
        <w:ind w:left="40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58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73" w:after="0"/>
        <w:ind w:left="40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65" w:right="0"/>
        <w:jc w:val="left"/>
      </w:pPr>
      <w:r>
        <w:rPr/>
        <w:t>„Přírodní</w:t>
      </w:r>
      <w:r>
        <w:rPr>
          <w:spacing w:val="-5"/>
        </w:rPr>
        <w:t> </w:t>
      </w:r>
      <w:r>
        <w:rPr/>
        <w:t>hodnoty</w:t>
      </w:r>
      <w:r>
        <w:rPr>
          <w:spacing w:val="-2"/>
        </w:rPr>
        <w:t> </w:t>
      </w:r>
      <w:r>
        <w:rPr/>
        <w:t>Beskyd</w:t>
      </w:r>
      <w:r>
        <w:rPr>
          <w:spacing w:val="-3"/>
        </w:rPr>
        <w:t> </w:t>
      </w:r>
      <w:r>
        <w:rPr/>
        <w:t>II“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 realizovanou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II.</w:t>
      </w:r>
    </w:p>
    <w:p>
      <w:pPr>
        <w:pStyle w:val="Heading2"/>
        <w:spacing w:before="1"/>
        <w:ind w:left="315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0" w:after="0"/>
        <w:ind w:left="40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5" w:hanging="284"/>
        <w:jc w:val="left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4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jednu</w:t>
      </w:r>
      <w:r>
        <w:rPr>
          <w:spacing w:val="17"/>
          <w:sz w:val="20"/>
        </w:rPr>
        <w:t> </w:t>
      </w:r>
      <w:r>
        <w:rPr>
          <w:sz w:val="20"/>
        </w:rPr>
        <w:t>osobohodinu</w:t>
      </w:r>
      <w:r>
        <w:rPr>
          <w:spacing w:val="16"/>
          <w:sz w:val="20"/>
        </w:rPr>
        <w:t> </w:t>
      </w:r>
      <w:r>
        <w:rPr>
          <w:sz w:val="20"/>
        </w:rPr>
        <w:t>činí</w:t>
      </w:r>
      <w:r>
        <w:rPr>
          <w:spacing w:val="16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pobytových</w:t>
      </w:r>
      <w:r>
        <w:rPr>
          <w:spacing w:val="18"/>
          <w:sz w:val="20"/>
        </w:rPr>
        <w:t> </w:t>
      </w:r>
      <w:r>
        <w:rPr>
          <w:sz w:val="20"/>
        </w:rPr>
        <w:t>ekologických</w:t>
      </w:r>
      <w:r>
        <w:rPr>
          <w:spacing w:val="16"/>
          <w:sz w:val="20"/>
        </w:rPr>
        <w:t> </w:t>
      </w:r>
      <w:r>
        <w:rPr>
          <w:sz w:val="20"/>
        </w:rPr>
        <w:t>výukových</w:t>
      </w:r>
      <w:r>
        <w:rPr>
          <w:spacing w:val="14"/>
          <w:sz w:val="20"/>
        </w:rPr>
        <w:t> </w:t>
      </w:r>
      <w:r>
        <w:rPr>
          <w:sz w:val="20"/>
        </w:rPr>
        <w:t>programů</w:t>
      </w:r>
      <w:r>
        <w:rPr>
          <w:spacing w:val="-51"/>
          <w:sz w:val="20"/>
        </w:rPr>
        <w:t> </w:t>
      </w:r>
      <w:r>
        <w:rPr>
          <w:sz w:val="20"/>
        </w:rPr>
        <w:t>(EVP)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70 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2" w:hanging="28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> </w:t>
      </w:r>
      <w:r>
        <w:rPr>
          <w:sz w:val="20"/>
        </w:rPr>
        <w:t>překročily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částky,</w:t>
      </w:r>
      <w:r>
        <w:rPr>
          <w:spacing w:val="1"/>
          <w:sz w:val="20"/>
        </w:rPr>
        <w:t> </w:t>
      </w:r>
      <w:r>
        <w:rPr>
          <w:sz w:val="20"/>
        </w:rPr>
        <w:t>uhradí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toto překročení</w:t>
      </w:r>
      <w:r>
        <w:rPr>
          <w:spacing w:val="-2"/>
          <w:sz w:val="20"/>
        </w:rPr>
        <w:t> </w:t>
      </w:r>
      <w:r>
        <w:rPr>
          <w:sz w:val="20"/>
        </w:rPr>
        <w:t>z 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2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4"/>
          <w:sz w:val="20"/>
        </w:rPr>
        <w:t> </w:t>
      </w:r>
      <w:r>
        <w:rPr>
          <w:sz w:val="20"/>
        </w:rPr>
        <w:t>výdajů</w:t>
      </w:r>
      <w:r>
        <w:rPr>
          <w:spacing w:val="67"/>
          <w:sz w:val="20"/>
        </w:rPr>
        <w:t> </w:t>
      </w:r>
      <w:r>
        <w:rPr>
          <w:sz w:val="20"/>
        </w:rPr>
        <w:t>na</w:t>
      </w:r>
      <w:r>
        <w:rPr>
          <w:spacing w:val="67"/>
          <w:sz w:val="20"/>
        </w:rPr>
        <w:t> </w:t>
      </w:r>
      <w:r>
        <w:rPr>
          <w:sz w:val="20"/>
        </w:rPr>
        <w:t>dodávky,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68"/>
          <w:sz w:val="20"/>
        </w:rPr>
        <w:t> </w:t>
      </w:r>
      <w:r>
        <w:rPr>
          <w:sz w:val="20"/>
        </w:rPr>
        <w:t>a</w:t>
      </w:r>
      <w:r>
        <w:rPr>
          <w:spacing w:val="67"/>
          <w:sz w:val="20"/>
        </w:rPr>
        <w:t> </w:t>
      </w:r>
      <w:r>
        <w:rPr>
          <w:sz w:val="20"/>
        </w:rPr>
        <w:t>popřípadě</w:t>
      </w:r>
      <w:r>
        <w:rPr>
          <w:spacing w:val="66"/>
          <w:sz w:val="20"/>
        </w:rPr>
        <w:t> </w:t>
      </w:r>
      <w:r>
        <w:rPr>
          <w:sz w:val="20"/>
        </w:rPr>
        <w:t>jiné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9"/>
          <w:sz w:val="20"/>
        </w:rPr>
        <w:t> </w:t>
      </w:r>
      <w:r>
        <w:rPr>
          <w:sz w:val="20"/>
        </w:rPr>
        <w:t>kterými</w:t>
      </w:r>
      <w:r>
        <w:rPr>
          <w:spacing w:val="69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akce</w:t>
      </w:r>
      <w:r>
        <w:rPr>
          <w:spacing w:val="67"/>
          <w:sz w:val="20"/>
        </w:rPr>
        <w:t> </w:t>
      </w:r>
      <w:r>
        <w:rPr>
          <w:sz w:val="20"/>
        </w:rPr>
        <w:t>realizována,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byly</w:t>
      </w:r>
      <w:r>
        <w:rPr>
          <w:spacing w:val="54"/>
          <w:sz w:val="20"/>
        </w:rPr>
        <w:t> </w:t>
      </w:r>
      <w:r>
        <w:rPr>
          <w:sz w:val="20"/>
        </w:rPr>
        <w:t>uhrazeny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jednotlivých</w:t>
      </w:r>
      <w:r>
        <w:rPr>
          <w:spacing w:val="54"/>
          <w:sz w:val="20"/>
        </w:rPr>
        <w:t> </w:t>
      </w:r>
      <w:r>
        <w:rPr>
          <w:sz w:val="20"/>
        </w:rPr>
        <w:t>EVP</w:t>
      </w:r>
      <w:r>
        <w:rPr>
          <w:spacing w:val="55"/>
          <w:sz w:val="20"/>
        </w:rPr>
        <w:t> </w:t>
      </w:r>
      <w:r>
        <w:rPr>
          <w:sz w:val="20"/>
        </w:rPr>
        <w:t>(t.</w:t>
      </w:r>
      <w:r>
        <w:rPr>
          <w:spacing w:val="55"/>
          <w:sz w:val="20"/>
        </w:rPr>
        <w:t> </w:t>
      </w:r>
      <w:r>
        <w:rPr>
          <w:sz w:val="20"/>
        </w:rPr>
        <w:t>j.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od</w:t>
      </w:r>
      <w:r>
        <w:rPr>
          <w:spacing w:val="54"/>
          <w:sz w:val="20"/>
        </w:rPr>
        <w:t> </w:t>
      </w:r>
      <w:r>
        <w:rPr>
          <w:sz w:val="20"/>
        </w:rPr>
        <w:t>1.</w:t>
      </w:r>
      <w:r>
        <w:rPr>
          <w:spacing w:val="55"/>
          <w:sz w:val="20"/>
        </w:rPr>
        <w:t> </w:t>
      </w:r>
      <w:r>
        <w:rPr>
          <w:sz w:val="20"/>
        </w:rPr>
        <w:t>9.</w:t>
      </w:r>
      <w:r>
        <w:rPr>
          <w:spacing w:val="55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do 30. 6.</w:t>
      </w:r>
      <w:r>
        <w:rPr>
          <w:spacing w:val="-1"/>
          <w:sz w:val="20"/>
        </w:rPr>
        <w:t> </w:t>
      </w:r>
      <w:r>
        <w:rPr>
          <w:sz w:val="20"/>
        </w:rPr>
        <w:t>2022).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4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2" w:after="0"/>
        <w:ind w:left="405" w:right="18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8"/>
      </w:pPr>
      <w:r>
        <w:rPr/>
        <w:t>III.</w:t>
      </w:r>
    </w:p>
    <w:p>
      <w:pPr>
        <w:pStyle w:val="Heading2"/>
        <w:ind w:left="315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vyplacena</w:t>
      </w:r>
      <w:r>
        <w:rPr>
          <w:spacing w:val="1"/>
          <w:sz w:val="20"/>
        </w:rPr>
        <w:t> </w:t>
      </w:r>
      <w:r>
        <w:rPr>
          <w:sz w:val="20"/>
        </w:rPr>
        <w:t>jednorázově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korunách</w:t>
      </w:r>
      <w:r>
        <w:rPr>
          <w:spacing w:val="-7"/>
          <w:sz w:val="20"/>
        </w:rPr>
        <w:t> </w:t>
      </w:r>
      <w:r>
        <w:rPr>
          <w:sz w:val="20"/>
        </w:rPr>
        <w:t>českých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19" w:after="0"/>
        <w:ind w:left="40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5"/>
        <w:gridCol w:w="4921"/>
      </w:tblGrid>
      <w:tr>
        <w:trPr>
          <w:trHeight w:val="505" w:hRule="atLeast"/>
        </w:trPr>
        <w:tc>
          <w:tcPr>
            <w:tcW w:w="4515" w:type="dxa"/>
          </w:tcPr>
          <w:p>
            <w:pPr>
              <w:pStyle w:val="TableParagraph"/>
              <w:ind w:right="196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>
            <w:pPr>
              <w:pStyle w:val="TableParagraph"/>
              <w:ind w:left="19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15" w:type="dxa"/>
          </w:tcPr>
          <w:p>
            <w:pPr>
              <w:pStyle w:val="TableParagraph"/>
              <w:ind w:right="196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>
            <w:pPr>
              <w:pStyle w:val="TableParagraph"/>
              <w:ind w:left="198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žádostí o platbu,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1" w:after="0"/>
        <w:ind w:left="40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2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neplnil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0" w:after="0"/>
        <w:ind w:left="40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109" w:right="2304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109" w:right="2305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 podpory</w:t>
      </w:r>
    </w:p>
    <w:p>
      <w:pPr>
        <w:spacing w:after="0"/>
        <w:sectPr>
          <w:pgSz w:w="12240" w:h="15840"/>
          <w:pgMar w:header="0" w:footer="1460" w:top="1060" w:bottom="1660" w:left="1580" w:right="1000"/>
          <w:cols w:num="2" w:equalWidth="0">
            <w:col w:w="2046" w:space="143"/>
            <w:col w:w="7471"/>
          </w:cols>
        </w:sect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89" w:val="left" w:leader="none"/>
        </w:tabs>
        <w:spacing w:line="240" w:lineRule="auto" w:before="121" w:after="0"/>
        <w:ind w:left="688" w:right="138" w:hanging="284"/>
        <w:jc w:val="both"/>
        <w:rPr>
          <w:sz w:val="20"/>
        </w:rPr>
      </w:pPr>
      <w:r>
        <w:rPr>
          <w:sz w:val="20"/>
        </w:rPr>
        <w:t>akce byla provedena podle Fondem odsouhlaseného podporovaného opatření „Přírodní hodnoty</w:t>
      </w:r>
      <w:r>
        <w:rPr>
          <w:spacing w:val="1"/>
          <w:sz w:val="20"/>
        </w:rPr>
        <w:t> </w:t>
      </w:r>
      <w:r>
        <w:rPr>
          <w:sz w:val="20"/>
        </w:rPr>
        <w:t>Beskyd</w:t>
      </w:r>
      <w:r>
        <w:rPr>
          <w:spacing w:val="-5"/>
          <w:sz w:val="20"/>
        </w:rPr>
        <w:t> </w:t>
      </w:r>
      <w:r>
        <w:rPr>
          <w:sz w:val="20"/>
        </w:rPr>
        <w:t>II“,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16.</w:t>
      </w:r>
      <w:r>
        <w:rPr>
          <w:spacing w:val="-4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5"/>
          <w:sz w:val="20"/>
        </w:rPr>
        <w:t> </w:t>
      </w:r>
      <w:r>
        <w:rPr>
          <w:sz w:val="20"/>
        </w:rPr>
        <w:t>tohoto</w:t>
      </w:r>
      <w:r>
        <w:rPr>
          <w:spacing w:val="-5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případných</w:t>
      </w:r>
      <w:r>
        <w:rPr>
          <w:spacing w:val="-52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0"/>
          <w:numId w:val="5"/>
        </w:numPr>
        <w:tabs>
          <w:tab w:pos="689" w:val="left" w:leader="none"/>
        </w:tabs>
        <w:spacing w:line="240" w:lineRule="auto" w:before="118" w:after="0"/>
        <w:ind w:left="688" w:right="142" w:hanging="284"/>
        <w:jc w:val="both"/>
        <w:rPr>
          <w:sz w:val="20"/>
        </w:rPr>
      </w:pPr>
      <w:r>
        <w:rPr>
          <w:sz w:val="20"/>
        </w:rPr>
        <w:t>v období od 9/2020 do 3/2022 zrealizoval 52 denních ekologických výukových programů (EVP) v</w:t>
      </w:r>
      <w:r>
        <w:rPr>
          <w:spacing w:val="1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5 000 osobohodin,</w:t>
      </w:r>
    </w:p>
    <w:p>
      <w:pPr>
        <w:pStyle w:val="ListParagraph"/>
        <w:numPr>
          <w:ilvl w:val="0"/>
          <w:numId w:val="5"/>
        </w:numPr>
        <w:tabs>
          <w:tab w:pos="689" w:val="left" w:leader="none"/>
        </w:tabs>
        <w:spacing w:line="240" w:lineRule="auto" w:before="121" w:after="0"/>
        <w:ind w:left="688" w:right="0" w:hanging="284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688" w:right="135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>
          <w:w w:val="95"/>
        </w:rPr>
        <w:t>podpory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4"/>
          <w:w w:val="95"/>
        </w:rPr>
        <w:t> </w:t>
      </w:r>
      <w:r>
        <w:rPr>
          <w:w w:val="95"/>
        </w:rPr>
        <w:t>této</w:t>
      </w:r>
      <w:r>
        <w:rPr>
          <w:spacing w:val="32"/>
          <w:w w:val="95"/>
        </w:rPr>
        <w:t> </w:t>
      </w:r>
      <w:r>
        <w:rPr>
          <w:w w:val="95"/>
        </w:rPr>
        <w:t>Smlouvy</w:t>
      </w:r>
      <w:r>
        <w:rPr>
          <w:spacing w:val="24"/>
          <w:w w:val="95"/>
        </w:rPr>
        <w:t> </w:t>
      </w:r>
      <w:r>
        <w:rPr>
          <w:w w:val="95"/>
        </w:rPr>
        <w:t>považováno</w:t>
      </w:r>
      <w:r>
        <w:rPr>
          <w:spacing w:val="25"/>
          <w:w w:val="95"/>
        </w:rPr>
        <w:t> </w:t>
      </w:r>
      <w:r>
        <w:rPr>
          <w:w w:val="95"/>
        </w:rPr>
        <w:t>za</w:t>
      </w:r>
      <w:r>
        <w:rPr>
          <w:spacing w:val="24"/>
          <w:w w:val="95"/>
        </w:rPr>
        <w:t> </w:t>
      </w:r>
      <w:r>
        <w:rPr>
          <w:w w:val="95"/>
        </w:rPr>
        <w:t>neoprávněné</w:t>
      </w:r>
      <w:r>
        <w:rPr>
          <w:spacing w:val="24"/>
          <w:w w:val="95"/>
        </w:rPr>
        <w:t> </w:t>
      </w:r>
      <w:r>
        <w:rPr>
          <w:w w:val="95"/>
        </w:rPr>
        <w:t>použití</w:t>
      </w:r>
      <w:r>
        <w:rPr>
          <w:spacing w:val="28"/>
          <w:w w:val="95"/>
        </w:rPr>
        <w:t> </w:t>
      </w:r>
      <w:r>
        <w:rPr>
          <w:w w:val="95"/>
        </w:rPr>
        <w:t>finančních</w:t>
      </w:r>
      <w:r>
        <w:rPr>
          <w:spacing w:val="25"/>
          <w:w w:val="95"/>
        </w:rPr>
        <w:t> </w:t>
      </w:r>
      <w:r>
        <w:rPr>
          <w:w w:val="95"/>
        </w:rPr>
        <w:t>prostředků</w:t>
      </w:r>
      <w:r>
        <w:rPr>
          <w:spacing w:val="24"/>
          <w:w w:val="95"/>
        </w:rPr>
        <w:t> </w:t>
      </w:r>
      <w:r>
        <w:rPr>
          <w:w w:val="95"/>
        </w:rPr>
        <w:t>poskytnutých</w:t>
      </w:r>
      <w:r>
        <w:rPr>
          <w:spacing w:val="1"/>
          <w:w w:val="95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218/2000</w:t>
      </w:r>
      <w:r>
        <w:rPr>
          <w:spacing w:val="-3"/>
        </w:rPr>
        <w:t> </w:t>
      </w:r>
      <w:r>
        <w:rPr/>
        <w:t>Sb.,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o změně</w:t>
      </w:r>
      <w:r>
        <w:rPr>
          <w:spacing w:val="-3"/>
        </w:rPr>
        <w:t> </w:t>
      </w:r>
      <w:r>
        <w:rPr/>
        <w:t>některých</w:t>
      </w:r>
      <w:r>
        <w:rPr>
          <w:spacing w:val="-53"/>
        </w:rPr>
        <w:t> </w:t>
      </w:r>
      <w:r>
        <w:rPr/>
        <w:t>souvisejících zákonů (rozpočtová pravidla), v platném znění, a že</w:t>
      </w:r>
      <w:r>
        <w:rPr>
          <w:spacing w:val="54"/>
        </w:rPr>
        <w:t> </w:t>
      </w:r>
      <w:r>
        <w:rPr/>
        <w:t>mohou být</w:t>
      </w:r>
      <w:r>
        <w:rPr>
          <w:spacing w:val="55"/>
        </w:rPr>
        <w:t> </w:t>
      </w:r>
      <w:r>
        <w:rPr/>
        <w:t>uplatněny sankce</w:t>
      </w:r>
      <w:r>
        <w:rPr>
          <w:spacing w:val="1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0" w:after="0"/>
        <w:ind w:left="76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data dokončení</w:t>
      </w:r>
      <w:r>
        <w:rPr>
          <w:spacing w:val="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1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18" w:after="0"/>
        <w:ind w:left="40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8" w:after="0"/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> </w:t>
      </w:r>
      <w:r>
        <w:rPr>
          <w:sz w:val="20"/>
        </w:rPr>
        <w:t>odpovídající</w:t>
      </w:r>
      <w:r>
        <w:rPr>
          <w:spacing w:val="49"/>
          <w:sz w:val="20"/>
        </w:rPr>
        <w:t> </w:t>
      </w:r>
      <w:r>
        <w:rPr>
          <w:sz w:val="20"/>
        </w:rPr>
        <w:t>část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DPH</w:t>
      </w:r>
      <w:r>
        <w:rPr>
          <w:spacing w:val="50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zahrnuta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způsobilých</w:t>
      </w:r>
      <w:r>
        <w:rPr>
          <w:spacing w:val="50"/>
          <w:sz w:val="20"/>
        </w:rPr>
        <w:t> </w:t>
      </w:r>
      <w:r>
        <w:rPr>
          <w:sz w:val="20"/>
        </w:rPr>
        <w:t>výdajů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odpočet</w:t>
      </w:r>
      <w:r>
        <w:rPr>
          <w:spacing w:val="-4"/>
          <w:sz w:val="20"/>
        </w:rPr>
        <w:t> </w:t>
      </w:r>
      <w:r>
        <w:rPr>
          <w:sz w:val="20"/>
        </w:rPr>
        <w:t>DPH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4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to,</w:t>
      </w:r>
      <w:r>
        <w:rPr>
          <w:spacing w:val="-6"/>
          <w:sz w:val="20"/>
        </w:rPr>
        <w:t> </w:t>
      </w:r>
      <w:r>
        <w:rPr>
          <w:sz w:val="20"/>
        </w:rPr>
        <w:t>zda</w:t>
      </w:r>
      <w:r>
        <w:rPr>
          <w:spacing w:val="-7"/>
          <w:sz w:val="20"/>
        </w:rPr>
        <w:t> </w:t>
      </w:r>
      <w:r>
        <w:rPr>
          <w:sz w:val="20"/>
        </w:rPr>
        <w:t>ho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orgánů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správy</w:t>
      </w:r>
      <w:r>
        <w:rPr>
          <w:spacing w:val="-53"/>
          <w:sz w:val="20"/>
        </w:rPr>
        <w:t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3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vznikne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příslušný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1"/>
          <w:sz w:val="20"/>
        </w:rPr>
        <w:t> </w:t>
      </w:r>
      <w:r>
        <w:rPr>
          <w:sz w:val="20"/>
        </w:rPr>
        <w:t>DPH</w:t>
      </w:r>
      <w:r>
        <w:rPr>
          <w:spacing w:val="5"/>
          <w:sz w:val="20"/>
        </w:rPr>
        <w:t> </w:t>
      </w:r>
      <w:r>
        <w:rPr>
          <w:sz w:val="20"/>
        </w:rPr>
        <w:t>uplatnit,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9" w:after="0"/>
        <w:ind w:left="688" w:right="13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> </w:t>
      </w:r>
      <w:r>
        <w:rPr>
          <w:sz w:val="20"/>
        </w:rPr>
        <w:t>dokončení,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takovém</w:t>
      </w:r>
      <w:r>
        <w:rPr>
          <w:spacing w:val="18"/>
          <w:sz w:val="20"/>
        </w:rPr>
        <w:t> </w:t>
      </w:r>
      <w:r>
        <w:rPr>
          <w:sz w:val="20"/>
        </w:rPr>
        <w:t>rozsahu</w:t>
      </w:r>
      <w:r>
        <w:rPr>
          <w:spacing w:val="16"/>
          <w:sz w:val="20"/>
        </w:rPr>
        <w:t> </w:t>
      </w:r>
      <w:r>
        <w:rPr>
          <w:sz w:val="20"/>
        </w:rPr>
        <w:t>(i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jde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poskytnutí</w:t>
      </w:r>
      <w:r>
        <w:rPr>
          <w:spacing w:val="15"/>
          <w:sz w:val="20"/>
        </w:rPr>
        <w:t> </w:t>
      </w:r>
      <w:r>
        <w:rPr>
          <w:sz w:val="20"/>
        </w:rPr>
        <w:t>příslušných</w:t>
      </w:r>
      <w:r>
        <w:rPr>
          <w:spacing w:val="17"/>
          <w:sz w:val="20"/>
        </w:rPr>
        <w:t> </w:t>
      </w:r>
      <w:r>
        <w:rPr>
          <w:sz w:val="20"/>
        </w:rPr>
        <w:t>dokladů),</w:t>
      </w:r>
      <w:r>
        <w:rPr>
          <w:spacing w:val="17"/>
          <w:sz w:val="20"/>
        </w:rPr>
        <w:t> </w:t>
      </w:r>
      <w:r>
        <w:rPr>
          <w:sz w:val="20"/>
        </w:rPr>
        <w:t>aby</w:t>
      </w:r>
      <w:r>
        <w:rPr>
          <w:spacing w:val="16"/>
          <w:sz w:val="20"/>
        </w:rPr>
        <w:t> </w:t>
      </w:r>
      <w:r>
        <w:rPr>
          <w:sz w:val="20"/>
        </w:rPr>
        <w:t>mohly</w:t>
      </w:r>
      <w:r>
        <w:rPr>
          <w:spacing w:val="16"/>
          <w:sz w:val="20"/>
        </w:rPr>
        <w:t> </w:t>
      </w:r>
      <w:r>
        <w:rPr>
          <w:sz w:val="20"/>
        </w:rPr>
        <w:t>být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580" w:right="1000"/>
        </w:sectPr>
      </w:pPr>
    </w:p>
    <w:p>
      <w:pPr>
        <w:pStyle w:val="BodyText"/>
        <w:spacing w:before="73"/>
        <w:ind w:left="688"/>
        <w:jc w:val="both"/>
      </w:pPr>
      <w:r>
        <w:rPr/>
        <w:t>objasněny</w:t>
      </w:r>
      <w:r>
        <w:rPr>
          <w:spacing w:val="-4"/>
        </w:rPr>
        <w:t> </w:t>
      </w:r>
      <w:r>
        <w:rPr/>
        <w:t>všechny</w:t>
      </w:r>
      <w:r>
        <w:rPr>
          <w:spacing w:val="-4"/>
        </w:rPr>
        <w:t> </w:t>
      </w:r>
      <w:r>
        <w:rPr/>
        <w:t>okolnosti,</w:t>
      </w:r>
      <w:r>
        <w:rPr>
          <w:spacing w:val="-3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13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8" w:after="0"/>
        <w:ind w:left="68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m)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157"/>
      </w:pPr>
      <w:r>
        <w:rPr/>
        <w:t>V.</w:t>
      </w:r>
    </w:p>
    <w:p>
      <w:pPr>
        <w:pStyle w:val="Heading2"/>
        <w:ind w:left="103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0" w:after="0"/>
        <w:ind w:left="405" w:right="13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19" w:after="0"/>
        <w:ind w:left="40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53"/>
          <w:sz w:val="20"/>
        </w:rPr>
        <w:t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1" w:after="0"/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méně</w:t>
      </w:r>
      <w:r>
        <w:rPr>
          <w:spacing w:val="10"/>
          <w:sz w:val="20"/>
        </w:rPr>
        <w:t> </w:t>
      </w:r>
      <w:r>
        <w:rPr>
          <w:sz w:val="20"/>
        </w:rPr>
        <w:t>než</w:t>
      </w:r>
      <w:r>
        <w:rPr>
          <w:spacing w:val="12"/>
          <w:sz w:val="20"/>
        </w:rPr>
        <w:t> </w:t>
      </w:r>
      <w:r>
        <w:rPr>
          <w:sz w:val="20"/>
        </w:rPr>
        <w:t>50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stanovených</w:t>
      </w:r>
      <w:r>
        <w:rPr>
          <w:spacing w:val="12"/>
          <w:sz w:val="20"/>
        </w:rPr>
        <w:t> </w:t>
      </w:r>
      <w:r>
        <w:rPr>
          <w:sz w:val="20"/>
        </w:rPr>
        <w:t>indikátorů.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</w:t>
      </w:r>
      <w:r>
        <w:rPr>
          <w:spacing w:val="12"/>
          <w:sz w:val="20"/>
        </w:rPr>
        <w:t> </w:t>
      </w:r>
      <w:r>
        <w:rPr>
          <w:sz w:val="20"/>
        </w:rPr>
        <w:t>plnění</w:t>
      </w:r>
      <w:r>
        <w:rPr>
          <w:spacing w:val="12"/>
          <w:sz w:val="20"/>
        </w:rPr>
        <w:t> </w:t>
      </w:r>
      <w:r>
        <w:rPr>
          <w:sz w:val="20"/>
        </w:rPr>
        <w:t>účelu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uvedeného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50-99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indikátorů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0,1–49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0" w:after="0"/>
        <w:ind w:left="481" w:right="134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49"/>
          <w:sz w:val="20"/>
        </w:rPr>
        <w:t> </w:t>
      </w:r>
      <w:r>
        <w:rPr>
          <w:sz w:val="20"/>
        </w:rPr>
        <w:t>nepřesahující</w:t>
      </w:r>
      <w:r>
        <w:rPr>
          <w:spacing w:val="49"/>
          <w:sz w:val="20"/>
        </w:rPr>
        <w:t> </w:t>
      </w:r>
      <w:r>
        <w:rPr>
          <w:sz w:val="20"/>
        </w:rPr>
        <w:t>lhůtu</w:t>
      </w:r>
      <w:r>
        <w:rPr>
          <w:spacing w:val="50"/>
          <w:sz w:val="20"/>
        </w:rPr>
        <w:t> </w:t>
      </w:r>
      <w:r>
        <w:rPr>
          <w:sz w:val="20"/>
        </w:rPr>
        <w:t>10</w:t>
      </w:r>
      <w:r>
        <w:rPr>
          <w:spacing w:val="50"/>
          <w:sz w:val="20"/>
        </w:rPr>
        <w:t> </w:t>
      </w:r>
      <w:r>
        <w:rPr>
          <w:sz w:val="20"/>
        </w:rPr>
        <w:t>kalendářních</w:t>
      </w:r>
      <w:r>
        <w:rPr>
          <w:spacing w:val="50"/>
          <w:sz w:val="20"/>
        </w:rPr>
        <w:t> </w:t>
      </w:r>
      <w:r>
        <w:rPr>
          <w:sz w:val="20"/>
        </w:rPr>
        <w:t>dnů</w:t>
      </w:r>
      <w:r>
        <w:rPr>
          <w:spacing w:val="53"/>
          <w:sz w:val="20"/>
        </w:rPr>
        <w:t> </w:t>
      </w:r>
      <w:r>
        <w:rPr>
          <w:sz w:val="20"/>
        </w:rPr>
        <w:t>nebude</w:t>
      </w:r>
      <w:r>
        <w:rPr>
          <w:spacing w:val="49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nebude</w:t>
      </w:r>
      <w:r>
        <w:rPr>
          <w:spacing w:val="49"/>
          <w:sz w:val="20"/>
        </w:rPr>
        <w:t> </w:t>
      </w:r>
      <w:r>
        <w:rPr>
          <w:sz w:val="20"/>
        </w:rPr>
        <w:t>tak</w:t>
      </w:r>
      <w:r>
        <w:rPr>
          <w:spacing w:val="49"/>
          <w:sz w:val="20"/>
        </w:rPr>
        <w:t> </w:t>
      </w:r>
      <w:r>
        <w:rPr>
          <w:sz w:val="20"/>
        </w:rPr>
        <w:t>považováno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2" w:after="0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160"/>
      </w:pPr>
      <w:r>
        <w:rPr/>
        <w:t>VI.</w:t>
      </w:r>
    </w:p>
    <w:p>
      <w:pPr>
        <w:pStyle w:val="Heading2"/>
        <w:ind w:left="315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" w:after="0"/>
        <w:ind w:left="405" w:right="13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80" w:right="1000"/>
        </w:sect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73" w:after="0"/>
        <w:ind w:left="405" w:right="13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5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40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0" w:after="0"/>
        <w:ind w:left="40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571" w:val="left" w:leader="none"/>
        </w:tabs>
        <w:ind w:left="12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2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602" w:val="left" w:leader="none"/>
        </w:tabs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02" w:val="left" w:leader="none"/>
        </w:tabs>
        <w:ind w:left="12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2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0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8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8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3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8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35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8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3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9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41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40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15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3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0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96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2022-09-30T12:20:59Z</dcterms:created>
  <dcterms:modified xsi:type="dcterms:W3CDTF">2022-09-30T12:20:59Z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