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9" w:right="31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1200100008</w:t>
      </w:r>
    </w:p>
    <w:p>
      <w:pPr>
        <w:spacing w:line="425" w:lineRule="exact" w:before="2"/>
        <w:ind w:left="103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3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2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ind w:left="12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before="1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02" w:val="left" w:leader="none"/>
        </w:tabs>
        <w:spacing w:line="265" w:lineRule="exact" w:before="1"/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2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22"/>
        <w:jc w:val="left"/>
      </w:pPr>
      <w:r>
        <w:rPr/>
        <w:t>Chaloupky</w:t>
      </w:r>
      <w:r>
        <w:rPr>
          <w:spacing w:val="-3"/>
        </w:rPr>
        <w:t> </w:t>
      </w:r>
      <w:r>
        <w:rPr/>
        <w:t>o.p.s.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lesní</w:t>
      </w:r>
      <w:r>
        <w:rPr>
          <w:spacing w:val="-3"/>
        </w:rPr>
        <w:t> </w:t>
      </w:r>
      <w:r>
        <w:rPr/>
        <w:t>mateřská</w:t>
      </w:r>
      <w:r>
        <w:rPr>
          <w:spacing w:val="-3"/>
        </w:rPr>
        <w:t> </w:t>
      </w:r>
      <w:r>
        <w:rPr/>
        <w:t>škola</w:t>
      </w:r>
    </w:p>
    <w:p>
      <w:pPr>
        <w:pStyle w:val="BodyText"/>
        <w:tabs>
          <w:tab w:pos="2997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Široká</w:t>
      </w:r>
      <w:r>
        <w:rPr>
          <w:spacing w:val="-4"/>
        </w:rPr>
        <w:t> </w:t>
      </w:r>
      <w:r>
        <w:rPr/>
        <w:t>378,</w:t>
      </w:r>
      <w:r>
        <w:rPr>
          <w:spacing w:val="-3"/>
        </w:rPr>
        <w:t> </w:t>
      </w:r>
      <w:r>
        <w:rPr/>
        <w:t>588</w:t>
      </w:r>
      <w:r>
        <w:rPr>
          <w:spacing w:val="-1"/>
        </w:rPr>
        <w:t> </w:t>
      </w:r>
      <w:r>
        <w:rPr/>
        <w:t>32</w:t>
      </w:r>
      <w:r>
        <w:rPr>
          <w:spacing w:val="-4"/>
        </w:rPr>
        <w:t> </w:t>
      </w:r>
      <w:r>
        <w:rPr/>
        <w:t>Brtnice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IČO:</w:t>
        <w:tab/>
        <w:t>25557475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zastoupená:</w:t>
        <w:tab/>
        <w:t>RND.</w:t>
      </w:r>
      <w:r>
        <w:rPr>
          <w:spacing w:val="-2"/>
        </w:rPr>
        <w:t> </w:t>
      </w:r>
      <w:r>
        <w:rPr/>
        <w:t>Jozefem</w:t>
      </w:r>
      <w:r>
        <w:rPr>
          <w:spacing w:val="53"/>
        </w:rPr>
        <w:t> </w:t>
      </w:r>
      <w:r>
        <w:rPr/>
        <w:t>Z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tˇk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 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002" w:val="left" w:leader="none"/>
        </w:tabs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1466732339/0800</w:t>
      </w:r>
    </w:p>
    <w:p>
      <w:pPr>
        <w:pStyle w:val="BodyText"/>
        <w:spacing w:before="1"/>
        <w:ind w:left="12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2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44" w:right="3153"/>
      </w:pPr>
      <w:r>
        <w:rPr/>
        <w:t>I.</w:t>
      </w:r>
    </w:p>
    <w:p>
      <w:pPr>
        <w:pStyle w:val="Heading2"/>
        <w:spacing w:before="1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účel</w:t>
      </w:r>
      <w:r>
        <w:rPr>
          <w:spacing w:val="-2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40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  <w:jc w:val="both"/>
      </w:pPr>
      <w:r>
        <w:rPr/>
        <w:t>„Smlouva“) se uzavírá na základě Rozhodnutí ministra životního prostředí č. 1200100008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16. 9. 2022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20" w:after="0"/>
        <w:ind w:left="40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58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3" w:after="0"/>
        <w:ind w:left="40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674"/>
        <w:jc w:val="left"/>
      </w:pPr>
      <w:r>
        <w:rPr/>
        <w:t>„Podpora</w:t>
      </w:r>
      <w:r>
        <w:rPr>
          <w:spacing w:val="-3"/>
        </w:rPr>
        <w:t> </w:t>
      </w:r>
      <w:r>
        <w:rPr/>
        <w:t>výukových</w:t>
      </w:r>
      <w:r>
        <w:rPr>
          <w:spacing w:val="-3"/>
        </w:rPr>
        <w:t> </w:t>
      </w:r>
      <w:r>
        <w:rPr/>
        <w:t>programů</w:t>
      </w:r>
      <w:r>
        <w:rPr>
          <w:spacing w:val="-4"/>
        </w:rPr>
        <w:t> </w:t>
      </w:r>
      <w:r>
        <w:rPr/>
        <w:t>ekocentra</w:t>
      </w:r>
      <w:r>
        <w:rPr>
          <w:spacing w:val="-3"/>
        </w:rPr>
        <w:t> </w:t>
      </w:r>
      <w:r>
        <w:rPr/>
        <w:t>Chaloupky</w:t>
      </w:r>
      <w:r>
        <w:rPr>
          <w:spacing w:val="-3"/>
        </w:rPr>
        <w:t> </w:t>
      </w:r>
      <w:r>
        <w:rPr/>
        <w:t>Horní</w:t>
      </w:r>
      <w:r>
        <w:rPr>
          <w:spacing w:val="-3"/>
        </w:rPr>
        <w:t> </w:t>
      </w:r>
      <w:r>
        <w:rPr/>
        <w:t>Krupá“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 realizovanou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44" w:right="3153"/>
      </w:pPr>
      <w:r>
        <w:rPr/>
        <w:t>II.</w:t>
      </w:r>
    </w:p>
    <w:p>
      <w:pPr>
        <w:pStyle w:val="Heading2"/>
        <w:spacing w:before="1"/>
        <w:ind w:right="104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65" w:lineRule="exact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250 000,00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3"/>
        </w:rPr>
        <w:t> </w:t>
      </w:r>
      <w:r>
        <w:rPr/>
        <w:t>padesát</w:t>
      </w:r>
      <w:r>
        <w:rPr>
          <w:spacing w:val="-1"/>
        </w:rPr>
        <w:t> </w:t>
      </w:r>
      <w:r>
        <w:rPr/>
        <w:t>tisíc</w:t>
      </w:r>
      <w:r>
        <w:rPr>
          <w:spacing w:val="-3"/>
        </w:rPr>
        <w:t> </w:t>
      </w:r>
      <w:r>
        <w:rPr/>
        <w:t>korun</w:t>
      </w:r>
      <w:r>
        <w:rPr>
          <w:spacing w:val="1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0" w:after="0"/>
        <w:ind w:left="405" w:right="132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7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7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5"/>
          <w:sz w:val="20"/>
        </w:rPr>
        <w:t> </w:t>
      </w:r>
      <w:r>
        <w:rPr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2"/>
        </w:rPr>
        <w:t> </w:t>
      </w:r>
      <w:r>
        <w:rPr/>
        <w:t>EVP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3" w:after="0"/>
        <w:ind w:left="405" w:right="138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1"/>
          <w:sz w:val="20"/>
        </w:rPr>
        <w:t> </w:t>
      </w:r>
      <w:r>
        <w:rPr>
          <w:sz w:val="20"/>
        </w:rPr>
        <w:t>uhradí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 překročení</w:t>
      </w:r>
      <w:r>
        <w:rPr>
          <w:spacing w:val="-2"/>
          <w:sz w:val="20"/>
        </w:rPr>
        <w:t> </w:t>
      </w:r>
      <w:r>
        <w:rPr>
          <w:sz w:val="20"/>
        </w:rPr>
        <w:t>z 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2" w:after="0"/>
        <w:ind w:left="405" w:right="13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na dodávky, služby a popřípadě jiné práce, kterými byla akce realizována,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3"/>
          <w:sz w:val="20"/>
        </w:rPr>
        <w:t> </w:t>
      </w:r>
      <w:r>
        <w:rPr>
          <w:sz w:val="20"/>
        </w:rPr>
        <w:t>uhrazeny</w:t>
      </w:r>
      <w:r>
        <w:rPr>
          <w:spacing w:val="-2"/>
          <w:sz w:val="20"/>
        </w:rPr>
        <w:t> </w:t>
      </w:r>
      <w:r>
        <w:rPr>
          <w:sz w:val="20"/>
        </w:rPr>
        <w:t>v období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jednotlivých EVP (t.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období</w:t>
      </w:r>
      <w:r>
        <w:rPr>
          <w:spacing w:val="-1"/>
          <w:sz w:val="20"/>
        </w:rPr>
        <w:t> </w:t>
      </w:r>
      <w:r>
        <w:rPr>
          <w:sz w:val="20"/>
        </w:rPr>
        <w:t>od 1.</w:t>
      </w:r>
      <w:r>
        <w:rPr>
          <w:spacing w:val="-3"/>
          <w:sz w:val="20"/>
        </w:rPr>
        <w:t> </w:t>
      </w:r>
      <w:r>
        <w:rPr>
          <w:sz w:val="20"/>
        </w:rPr>
        <w:t>9.</w:t>
      </w:r>
      <w:r>
        <w:rPr>
          <w:spacing w:val="-6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do 30.</w:t>
      </w:r>
      <w:r>
        <w:rPr>
          <w:spacing w:val="-1"/>
          <w:sz w:val="20"/>
        </w:rPr>
        <w:t> </w:t>
      </w:r>
      <w:r>
        <w:rPr>
          <w:sz w:val="20"/>
        </w:rPr>
        <w:t>6.</w:t>
      </w:r>
      <w:r>
        <w:rPr>
          <w:spacing w:val="-3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7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18" w:after="0"/>
        <w:ind w:left="40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</w:pPr>
      <w:r>
        <w:rPr/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spacing w:before="1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3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korunách</w:t>
      </w:r>
      <w:r>
        <w:rPr>
          <w:spacing w:val="-7"/>
          <w:sz w:val="20"/>
        </w:rPr>
        <w:t> </w:t>
      </w:r>
      <w:r>
        <w:rPr>
          <w:sz w:val="20"/>
        </w:rPr>
        <w:t>českých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10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1"/>
        <w:ind w:left="0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4921"/>
      </w:tblGrid>
      <w:tr>
        <w:trPr>
          <w:trHeight w:val="508" w:hRule="atLeast"/>
        </w:trPr>
        <w:tc>
          <w:tcPr>
            <w:tcW w:w="4515" w:type="dxa"/>
          </w:tcPr>
          <w:p>
            <w:pPr>
              <w:pStyle w:val="TableParagraph"/>
              <w:spacing w:before="122"/>
              <w:ind w:right="196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21" w:type="dxa"/>
          </w:tcPr>
          <w:p>
            <w:pPr>
              <w:pStyle w:val="TableParagraph"/>
              <w:spacing w:before="122"/>
              <w:ind w:left="197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15" w:type="dxa"/>
          </w:tcPr>
          <w:p>
            <w:pPr>
              <w:pStyle w:val="TableParagraph"/>
              <w:ind w:right="196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21" w:type="dxa"/>
          </w:tcPr>
          <w:p>
            <w:pPr>
              <w:pStyle w:val="TableParagraph"/>
              <w:ind w:left="1980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BodyText"/>
        <w:spacing w:before="11"/>
        <w:ind w:left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3" w:after="0"/>
        <w:ind w:left="40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2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58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107" w:right="230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109" w:right="2307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580" w:right="1000"/>
          <w:cols w:num="2" w:equalWidth="0">
            <w:col w:w="2046" w:space="143"/>
            <w:col w:w="7471"/>
          </w:cols>
        </w:sectPr>
      </w:pP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1" w:after="0"/>
        <w:ind w:left="830" w:right="132" w:hanging="360"/>
        <w:jc w:val="both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byla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11"/>
          <w:sz w:val="20"/>
        </w:rPr>
        <w:t> </w:t>
      </w:r>
      <w:r>
        <w:rPr>
          <w:sz w:val="20"/>
        </w:rPr>
        <w:t>odsouhlaseného</w:t>
      </w:r>
      <w:r>
        <w:rPr>
          <w:spacing w:val="-10"/>
          <w:sz w:val="20"/>
        </w:rPr>
        <w:t> </w:t>
      </w:r>
      <w:r>
        <w:rPr>
          <w:sz w:val="20"/>
        </w:rPr>
        <w:t>podporovaného</w:t>
      </w:r>
      <w:r>
        <w:rPr>
          <w:spacing w:val="-11"/>
          <w:sz w:val="20"/>
        </w:rPr>
        <w:t> </w:t>
      </w:r>
      <w:r>
        <w:rPr>
          <w:sz w:val="20"/>
        </w:rPr>
        <w:t>opatření</w:t>
      </w:r>
      <w:r>
        <w:rPr>
          <w:spacing w:val="-11"/>
          <w:sz w:val="20"/>
        </w:rPr>
        <w:t> </w:t>
      </w:r>
      <w:r>
        <w:rPr>
          <w:sz w:val="20"/>
        </w:rPr>
        <w:t>„Podpora</w:t>
      </w:r>
      <w:r>
        <w:rPr>
          <w:spacing w:val="-12"/>
          <w:sz w:val="20"/>
        </w:rPr>
        <w:t> </w:t>
      </w:r>
      <w:r>
        <w:rPr>
          <w:sz w:val="20"/>
        </w:rPr>
        <w:t>výukových</w:t>
      </w:r>
      <w:r>
        <w:rPr>
          <w:spacing w:val="-52"/>
          <w:sz w:val="20"/>
        </w:rPr>
        <w:t> </w:t>
      </w:r>
      <w:r>
        <w:rPr>
          <w:sz w:val="20"/>
        </w:rPr>
        <w:t>programů</w:t>
      </w:r>
      <w:r>
        <w:rPr>
          <w:spacing w:val="-12"/>
          <w:sz w:val="20"/>
        </w:rPr>
        <w:t> </w:t>
      </w:r>
      <w:r>
        <w:rPr>
          <w:sz w:val="20"/>
        </w:rPr>
        <w:t>ekocentra</w:t>
      </w:r>
      <w:r>
        <w:rPr>
          <w:spacing w:val="-11"/>
          <w:sz w:val="20"/>
        </w:rPr>
        <w:t> </w:t>
      </w:r>
      <w:r>
        <w:rPr>
          <w:sz w:val="20"/>
        </w:rPr>
        <w:t>Chaloupky</w:t>
      </w:r>
      <w:r>
        <w:rPr>
          <w:spacing w:val="-12"/>
          <w:sz w:val="20"/>
        </w:rPr>
        <w:t> </w:t>
      </w:r>
      <w:r>
        <w:rPr>
          <w:sz w:val="20"/>
        </w:rPr>
        <w:t>Horní</w:t>
      </w:r>
      <w:r>
        <w:rPr>
          <w:spacing w:val="-9"/>
          <w:sz w:val="20"/>
        </w:rPr>
        <w:t> </w:t>
      </w:r>
      <w:r>
        <w:rPr>
          <w:sz w:val="20"/>
        </w:rPr>
        <w:t>Krupá“,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součástí</w:t>
      </w:r>
      <w:r>
        <w:rPr>
          <w:spacing w:val="-12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dne</w:t>
      </w:r>
      <w:r>
        <w:rPr>
          <w:spacing w:val="-13"/>
          <w:sz w:val="20"/>
        </w:rPr>
        <w:t> </w:t>
      </w:r>
      <w:r>
        <w:rPr>
          <w:sz w:val="20"/>
        </w:rPr>
        <w:t>29.</w:t>
      </w:r>
      <w:r>
        <w:rPr>
          <w:spacing w:val="-9"/>
          <w:sz w:val="20"/>
        </w:rPr>
        <w:t> </w:t>
      </w:r>
      <w:r>
        <w:rPr>
          <w:sz w:val="20"/>
        </w:rPr>
        <w:t>7.</w:t>
      </w:r>
      <w:r>
        <w:rPr>
          <w:spacing w:val="-5"/>
          <w:sz w:val="20"/>
        </w:rPr>
        <w:t> </w:t>
      </w:r>
      <w:r>
        <w:rPr>
          <w:sz w:val="20"/>
        </w:rPr>
        <w:t>2020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rozpočtu</w:t>
      </w:r>
      <w:r>
        <w:rPr>
          <w:spacing w:val="-52"/>
          <w:sz w:val="20"/>
        </w:rPr>
        <w:t> </w:t>
      </w:r>
      <w:r>
        <w:rPr>
          <w:sz w:val="20"/>
        </w:rPr>
        <w:t>tohoto</w:t>
      </w:r>
      <w:r>
        <w:rPr>
          <w:spacing w:val="-7"/>
          <w:sz w:val="20"/>
        </w:rPr>
        <w:t> </w:t>
      </w:r>
      <w:r>
        <w:rPr>
          <w:sz w:val="20"/>
        </w:rPr>
        <w:t>projektu,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případných</w:t>
      </w:r>
      <w:r>
        <w:rPr>
          <w:spacing w:val="-7"/>
          <w:sz w:val="20"/>
        </w:rPr>
        <w:t> </w:t>
      </w:r>
      <w:r>
        <w:rPr>
          <w:sz w:val="20"/>
        </w:rPr>
        <w:t>změn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doplňků</w:t>
      </w:r>
      <w:r>
        <w:rPr>
          <w:spacing w:val="-7"/>
          <w:sz w:val="20"/>
        </w:rPr>
        <w:t> </w:t>
      </w:r>
      <w:r>
        <w:rPr>
          <w:sz w:val="20"/>
        </w:rPr>
        <w:t>těchto</w:t>
      </w:r>
      <w:r>
        <w:rPr>
          <w:spacing w:val="-6"/>
          <w:sz w:val="20"/>
        </w:rPr>
        <w:t> </w:t>
      </w:r>
      <w:r>
        <w:rPr>
          <w:sz w:val="20"/>
        </w:rPr>
        <w:t>dokumentů,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18" w:after="0"/>
        <w:ind w:left="830" w:right="129" w:hanging="360"/>
        <w:jc w:val="both"/>
        <w:rPr>
          <w:sz w:val="20"/>
        </w:rPr>
      </w:pPr>
      <w:r>
        <w:rPr>
          <w:sz w:val="20"/>
        </w:rPr>
        <w:t>v období od 9/2020 do 6/2022 zrealizoval 88 denních ekologických výukových programů (EVP) v</w:t>
      </w:r>
      <w:r>
        <w:rPr>
          <w:spacing w:val="1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5 000 osobohodin,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1" w:after="0"/>
        <w:ind w:left="830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688" w:right="135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>
          <w:w w:val="95"/>
        </w:rPr>
        <w:t>podpory</w:t>
      </w:r>
      <w:r>
        <w:rPr>
          <w:spacing w:val="23"/>
          <w:w w:val="95"/>
        </w:rPr>
        <w:t> </w:t>
      </w:r>
      <w:r>
        <w:rPr>
          <w:w w:val="95"/>
        </w:rPr>
        <w:t>podle</w:t>
      </w:r>
      <w:r>
        <w:rPr>
          <w:spacing w:val="24"/>
          <w:w w:val="95"/>
        </w:rPr>
        <w:t> </w:t>
      </w:r>
      <w:r>
        <w:rPr>
          <w:w w:val="95"/>
        </w:rPr>
        <w:t>této</w:t>
      </w:r>
      <w:r>
        <w:rPr>
          <w:spacing w:val="32"/>
          <w:w w:val="95"/>
        </w:rPr>
        <w:t> </w:t>
      </w:r>
      <w:r>
        <w:rPr>
          <w:w w:val="95"/>
        </w:rPr>
        <w:t>Smlouvy</w:t>
      </w:r>
      <w:r>
        <w:rPr>
          <w:spacing w:val="24"/>
          <w:w w:val="95"/>
        </w:rPr>
        <w:t> </w:t>
      </w:r>
      <w:r>
        <w:rPr>
          <w:w w:val="95"/>
        </w:rPr>
        <w:t>považováno</w:t>
      </w:r>
      <w:r>
        <w:rPr>
          <w:spacing w:val="25"/>
          <w:w w:val="95"/>
        </w:rPr>
        <w:t> </w:t>
      </w:r>
      <w:r>
        <w:rPr>
          <w:w w:val="95"/>
        </w:rPr>
        <w:t>za</w:t>
      </w:r>
      <w:r>
        <w:rPr>
          <w:spacing w:val="24"/>
          <w:w w:val="95"/>
        </w:rPr>
        <w:t> </w:t>
      </w:r>
      <w:r>
        <w:rPr>
          <w:w w:val="95"/>
        </w:rPr>
        <w:t>neoprávněné</w:t>
      </w:r>
      <w:r>
        <w:rPr>
          <w:spacing w:val="24"/>
          <w:w w:val="95"/>
        </w:rPr>
        <w:t> </w:t>
      </w:r>
      <w:r>
        <w:rPr>
          <w:w w:val="95"/>
        </w:rPr>
        <w:t>použití</w:t>
      </w:r>
      <w:r>
        <w:rPr>
          <w:spacing w:val="28"/>
          <w:w w:val="95"/>
        </w:rPr>
        <w:t> </w:t>
      </w:r>
      <w:r>
        <w:rPr>
          <w:w w:val="95"/>
        </w:rPr>
        <w:t>finančních</w:t>
      </w:r>
      <w:r>
        <w:rPr>
          <w:spacing w:val="25"/>
          <w:w w:val="95"/>
        </w:rPr>
        <w:t> </w:t>
      </w:r>
      <w:r>
        <w:rPr>
          <w:w w:val="95"/>
        </w:rPr>
        <w:t>prostředků</w:t>
      </w:r>
      <w:r>
        <w:rPr>
          <w:spacing w:val="24"/>
          <w:w w:val="95"/>
        </w:rPr>
        <w:t> </w:t>
      </w:r>
      <w:r>
        <w:rPr>
          <w:w w:val="95"/>
        </w:rPr>
        <w:t>poskytnutých</w:t>
      </w:r>
      <w:r>
        <w:rPr>
          <w:spacing w:val="1"/>
          <w:w w:val="95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218/2000</w:t>
      </w:r>
      <w:r>
        <w:rPr>
          <w:spacing w:val="2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 změně</w:t>
      </w:r>
      <w:r>
        <w:rPr>
          <w:spacing w:val="-4"/>
        </w:rPr>
        <w:t> </w:t>
      </w:r>
      <w:r>
        <w:rPr/>
        <w:t>některých</w:t>
      </w:r>
      <w:r>
        <w:rPr>
          <w:spacing w:val="-52"/>
        </w:rPr>
        <w:t> </w:t>
      </w:r>
      <w:r>
        <w:rPr/>
        <w:t>souvisejících zákonů (rozpočtová pravidla), v platném znění, a že mohou být uplatněny sankce podle</w:t>
      </w:r>
      <w:r>
        <w:rPr>
          <w:spacing w:val="-5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0" w:after="0"/>
        <w:ind w:left="76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13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13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1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18" w:after="0"/>
        <w:ind w:left="40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8" w:after="0"/>
        <w:ind w:left="688" w:right="130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3" w:hanging="284"/>
        <w:jc w:val="both"/>
        <w:rPr>
          <w:sz w:val="20"/>
        </w:rPr>
      </w:pPr>
      <w:r>
        <w:rPr>
          <w:sz w:val="20"/>
        </w:rPr>
        <w:t>vrátit odpovídající část podpory v případě, že DPH bude zahrnuta do způsobilých výdajů akce a</w:t>
      </w:r>
      <w:r>
        <w:rPr>
          <w:spacing w:val="1"/>
          <w:sz w:val="20"/>
        </w:rPr>
        <w:t> </w:t>
      </w:r>
      <w:r>
        <w:rPr>
          <w:sz w:val="20"/>
        </w:rPr>
        <w:t>příjemci podpory vznikne nárok na odpočet DPH bez ohledu na to, zda ho u orgánů finanční správy</w:t>
      </w:r>
      <w:r>
        <w:rPr>
          <w:spacing w:val="1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> </w:t>
      </w:r>
      <w:r>
        <w:rPr>
          <w:sz w:val="20"/>
        </w:rPr>
        <w:t>dokončení,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takovém</w:t>
      </w:r>
      <w:r>
        <w:rPr>
          <w:spacing w:val="19"/>
          <w:sz w:val="20"/>
        </w:rPr>
        <w:t> </w:t>
      </w:r>
      <w:r>
        <w:rPr>
          <w:sz w:val="20"/>
        </w:rPr>
        <w:t>rozsahu</w:t>
      </w:r>
      <w:r>
        <w:rPr>
          <w:spacing w:val="17"/>
          <w:sz w:val="20"/>
        </w:rPr>
        <w:t> </w:t>
      </w:r>
      <w:r>
        <w:rPr>
          <w:sz w:val="20"/>
        </w:rPr>
        <w:t>(i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jde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poskytnutí</w:t>
      </w:r>
      <w:r>
        <w:rPr>
          <w:spacing w:val="15"/>
          <w:sz w:val="20"/>
        </w:rPr>
        <w:t> </w:t>
      </w:r>
      <w:r>
        <w:rPr>
          <w:sz w:val="20"/>
        </w:rPr>
        <w:t>příslušných</w:t>
      </w:r>
      <w:r>
        <w:rPr>
          <w:spacing w:val="17"/>
          <w:sz w:val="20"/>
        </w:rPr>
        <w:t> </w:t>
      </w:r>
      <w:r>
        <w:rPr>
          <w:sz w:val="20"/>
        </w:rPr>
        <w:t>dokladů),</w:t>
      </w:r>
      <w:r>
        <w:rPr>
          <w:spacing w:val="16"/>
          <w:sz w:val="20"/>
        </w:rPr>
        <w:t> </w:t>
      </w:r>
      <w:r>
        <w:rPr>
          <w:sz w:val="20"/>
        </w:rPr>
        <w:t>aby</w:t>
      </w:r>
      <w:r>
        <w:rPr>
          <w:spacing w:val="17"/>
          <w:sz w:val="20"/>
        </w:rPr>
        <w:t> </w:t>
      </w:r>
      <w:r>
        <w:rPr>
          <w:sz w:val="20"/>
        </w:rPr>
        <w:t>mohly</w:t>
      </w:r>
      <w:r>
        <w:rPr>
          <w:spacing w:val="16"/>
          <w:sz w:val="20"/>
        </w:rPr>
        <w:t> </w:t>
      </w:r>
      <w:r>
        <w:rPr>
          <w:sz w:val="20"/>
        </w:rPr>
        <w:t>být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580" w:right="1000"/>
        </w:sectPr>
      </w:pPr>
    </w:p>
    <w:p>
      <w:pPr>
        <w:pStyle w:val="BodyText"/>
        <w:spacing w:before="73"/>
        <w:ind w:left="688"/>
        <w:jc w:val="both"/>
      </w:pPr>
      <w:r>
        <w:rPr/>
        <w:t>objasněny</w:t>
      </w:r>
      <w:r>
        <w:rPr>
          <w:spacing w:val="-4"/>
        </w:rPr>
        <w:t> </w:t>
      </w:r>
      <w:r>
        <w:rPr/>
        <w:t>všechny</w:t>
      </w:r>
      <w:r>
        <w:rPr>
          <w:spacing w:val="-4"/>
        </w:rPr>
        <w:t> </w:t>
      </w:r>
      <w:r>
        <w:rPr/>
        <w:t>okolnosti,</w:t>
      </w:r>
      <w:r>
        <w:rPr>
          <w:spacing w:val="-3"/>
        </w:rPr>
        <w:t> </w:t>
      </w:r>
      <w:r>
        <w:rPr/>
        <w:t>týkající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8" w:after="0"/>
        <w:ind w:left="68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m)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48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0" w:after="0"/>
        <w:ind w:left="40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3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2" w:hanging="284"/>
        <w:jc w:val="both"/>
        <w:rPr>
          <w:sz w:val="20"/>
        </w:rPr>
      </w:pPr>
      <w:r>
        <w:rPr>
          <w:w w:val="95"/>
          <w:sz w:val="20"/>
        </w:rPr>
        <w:t>Porušení povinností podle článku II bodů 5 nebo 6, článku IV bodu 1 písm. a) za první nebo třetí odrážkou,</w:t>
      </w:r>
      <w:r>
        <w:rPr>
          <w:spacing w:val="1"/>
          <w:w w:val="95"/>
          <w:sz w:val="20"/>
        </w:rPr>
        <w:t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> </w:t>
      </w:r>
      <w:r>
        <w:rPr>
          <w:sz w:val="20"/>
        </w:rPr>
        <w:t>postiženo 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1" w:after="0"/>
        <w:ind w:left="481" w:right="127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méně</w:t>
      </w:r>
      <w:r>
        <w:rPr>
          <w:spacing w:val="10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 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uvedeného</w:t>
      </w:r>
      <w:r>
        <w:rPr>
          <w:spacing w:val="12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 rozmezí 50-99 % stanovených indikátorů bude toto porušení postiženo odvodem v rozmezí 0,1–49 %</w:t>
      </w:r>
      <w:r>
        <w:rPr>
          <w:spacing w:val="-53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závislosti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 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0" w:after="0"/>
        <w:ind w:left="481" w:right="133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2" w:after="0"/>
        <w:ind w:left="48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ostatních</w:t>
      </w:r>
      <w:r>
        <w:rPr>
          <w:spacing w:val="32"/>
          <w:sz w:val="20"/>
        </w:rPr>
        <w:t> </w:t>
      </w:r>
      <w:r>
        <w:rPr>
          <w:sz w:val="20"/>
        </w:rPr>
        <w:t>povinností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32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postiženo</w:t>
      </w:r>
      <w:r>
        <w:rPr>
          <w:spacing w:val="32"/>
          <w:sz w:val="20"/>
        </w:rPr>
        <w:t> </w:t>
      </w:r>
      <w:r>
        <w:rPr>
          <w:sz w:val="20"/>
        </w:rPr>
        <w:t>sankcí</w:t>
      </w:r>
      <w:r>
        <w:rPr>
          <w:spacing w:val="31"/>
          <w:sz w:val="20"/>
        </w:rPr>
        <w:t> </w:t>
      </w:r>
      <w:r>
        <w:rPr>
          <w:sz w:val="20"/>
        </w:rPr>
        <w:t>ve</w:t>
      </w:r>
      <w:r>
        <w:rPr>
          <w:spacing w:val="31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sz w:val="20"/>
        </w:rPr>
        <w:t>1</w:t>
      </w:r>
      <w:r>
        <w:rPr>
          <w:spacing w:val="32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left="481"/>
      </w:pPr>
      <w:r>
        <w:rPr/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" w:after="0"/>
        <w:ind w:left="405" w:right="13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> </w:t>
      </w:r>
      <w:r>
        <w:rPr>
          <w:sz w:val="20"/>
        </w:rPr>
        <w:t>snazší</w:t>
      </w:r>
      <w:r>
        <w:rPr>
          <w:spacing w:val="7"/>
          <w:sz w:val="20"/>
        </w:rPr>
        <w:t> </w:t>
      </w:r>
      <w:r>
        <w:rPr>
          <w:sz w:val="20"/>
        </w:rPr>
        <w:t>identifikaci</w:t>
      </w:r>
      <w:r>
        <w:rPr>
          <w:spacing w:val="8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8"/>
          <w:sz w:val="20"/>
        </w:rPr>
        <w:t> </w:t>
      </w:r>
      <w:r>
        <w:rPr>
          <w:sz w:val="20"/>
        </w:rPr>
        <w:t>strany</w:t>
      </w:r>
      <w:r>
        <w:rPr>
          <w:spacing w:val="8"/>
          <w:sz w:val="20"/>
        </w:rPr>
        <w:t> </w:t>
      </w:r>
      <w:r>
        <w:rPr>
          <w:sz w:val="20"/>
        </w:rPr>
        <w:t>při</w:t>
      </w:r>
      <w:r>
        <w:rPr>
          <w:spacing w:val="7"/>
          <w:sz w:val="20"/>
        </w:rPr>
        <w:t> </w:t>
      </w:r>
      <w:r>
        <w:rPr>
          <w:sz w:val="20"/>
        </w:rPr>
        <w:t>veškeré</w:t>
      </w:r>
      <w:r>
        <w:rPr>
          <w:spacing w:val="8"/>
          <w:sz w:val="20"/>
        </w:rPr>
        <w:t> </w:t>
      </w:r>
      <w:r>
        <w:rPr>
          <w:sz w:val="20"/>
        </w:rPr>
        <w:t>korespondenci</w:t>
      </w:r>
      <w:r>
        <w:rPr>
          <w:spacing w:val="7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8"/>
          <w:sz w:val="20"/>
        </w:rPr>
        <w:t> </w:t>
      </w:r>
      <w:r>
        <w:rPr>
          <w:sz w:val="20"/>
        </w:rPr>
        <w:t>týkající</w:t>
      </w:r>
      <w:r>
        <w:rPr>
          <w:spacing w:val="8"/>
          <w:sz w:val="20"/>
        </w:rPr>
        <w:t> </w:t>
      </w:r>
      <w:r>
        <w:rPr>
          <w:sz w:val="20"/>
        </w:rPr>
        <w:t>se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580" w:right="1000"/>
        </w:sectPr>
      </w:pPr>
    </w:p>
    <w:p>
      <w:pPr>
        <w:pStyle w:val="BodyText"/>
        <w:spacing w:before="73"/>
        <w:jc w:val="both"/>
      </w:pPr>
      <w:r>
        <w:rPr/>
        <w:t>akce,</w:t>
      </w:r>
      <w:r>
        <w:rPr>
          <w:spacing w:val="-4"/>
        </w:rPr>
        <w:t> </w:t>
      </w:r>
      <w:r>
        <w:rPr/>
        <w:t>uvádět</w:t>
      </w:r>
      <w:r>
        <w:rPr>
          <w:spacing w:val="-3"/>
        </w:rPr>
        <w:t> </w:t>
      </w:r>
      <w:r>
        <w:rPr/>
        <w:t>vždy</w:t>
      </w:r>
      <w:r>
        <w:rPr>
          <w:spacing w:val="-3"/>
        </w:rPr>
        <w:t> </w:t>
      </w:r>
      <w:r>
        <w:rPr/>
        <w:t>číslo</w:t>
      </w:r>
      <w:r>
        <w:rPr>
          <w:spacing w:val="-2"/>
        </w:rPr>
        <w:t> </w:t>
      </w:r>
      <w:r>
        <w:rPr/>
        <w:t>této</w:t>
      </w:r>
      <w:r>
        <w:rPr>
          <w:spacing w:val="2"/>
        </w:rPr>
        <w:t> </w:t>
      </w:r>
      <w:r>
        <w:rPr/>
        <w:t>Smlouvy,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již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označení</w:t>
      </w:r>
      <w:r>
        <w:rPr>
          <w:spacing w:val="-3"/>
        </w:rPr>
        <w:t> </w:t>
      </w:r>
      <w:r>
        <w:rPr/>
        <w:t>věci, které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daná</w:t>
      </w:r>
      <w:r>
        <w:rPr>
          <w:spacing w:val="-3"/>
        </w:rPr>
        <w:t> </w:t>
      </w:r>
      <w:r>
        <w:rPr/>
        <w:t>korespondence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týkat.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0" w:after="0"/>
        <w:ind w:left="40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2" w:after="0"/>
        <w:ind w:left="40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8" w:after="0"/>
        <w:ind w:left="40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0" w:after="0"/>
        <w:ind w:left="40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8" w:after="0"/>
        <w:ind w:left="40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2" w:after="0"/>
        <w:ind w:left="40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93" w:val="left" w:leader="none"/>
        </w:tabs>
        <w:ind w:left="12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602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02" w:val="left" w:leader="none"/>
        </w:tabs>
        <w:ind w:left="12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64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3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6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8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6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40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3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3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0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6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2022-09-30T12:01:27Z</dcterms:created>
  <dcterms:modified xsi:type="dcterms:W3CDTF">2022-09-30T12:01:27Z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2022-09-30T00:00:00Z</vt:filetime>
  </property>
</Properties>
</file>