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30"/>
      </w:tblGrid>
      <w:tr w:rsidR="00B16AEB" w:rsidRPr="00DD2185" w14:paraId="1D57AF1D" w14:textId="77777777" w:rsidTr="001D7D17">
        <w:tc>
          <w:tcPr>
            <w:tcW w:w="9030" w:type="dxa"/>
            <w:tcMar>
              <w:right w:w="173" w:type="dxa"/>
            </w:tcMar>
          </w:tcPr>
          <w:p w14:paraId="10B57BB6" w14:textId="77777777" w:rsidR="00B16AEB" w:rsidRPr="00DD2185" w:rsidRDefault="00B16AEB" w:rsidP="00474215">
            <w:pPr>
              <w:pStyle w:val="Title"/>
              <w:widowControl w:val="0"/>
            </w:pPr>
            <w:r w:rsidRPr="00DD2185">
              <w:t>SMLOUVA O PROVEDENÍ KLINICKÉ STUDIE</w:t>
            </w:r>
          </w:p>
        </w:tc>
      </w:tr>
      <w:tr w:rsidR="00B16AEB" w:rsidRPr="00DD2185" w14:paraId="527620B4" w14:textId="77777777" w:rsidTr="001D7D17">
        <w:tc>
          <w:tcPr>
            <w:tcW w:w="9030" w:type="dxa"/>
            <w:tcMar>
              <w:right w:w="173" w:type="dxa"/>
            </w:tcMar>
          </w:tcPr>
          <w:p w14:paraId="12668164" w14:textId="77777777" w:rsidR="00692FB8" w:rsidRPr="00DD2185" w:rsidRDefault="00692FB8" w:rsidP="00474215">
            <w:pPr>
              <w:widowControl w:val="0"/>
              <w:jc w:val="center"/>
              <w:rPr>
                <w:b/>
                <w:bCs/>
              </w:rPr>
            </w:pPr>
          </w:p>
          <w:p w14:paraId="47E5B5A4" w14:textId="1A4634DB" w:rsidR="00B16AEB" w:rsidRPr="00DD2185" w:rsidRDefault="00B16AEB" w:rsidP="00474215">
            <w:pPr>
              <w:widowControl w:val="0"/>
              <w:jc w:val="center"/>
              <w:rPr>
                <w:b/>
              </w:rPr>
            </w:pPr>
            <w:r w:rsidRPr="00DD2185">
              <w:rPr>
                <w:b/>
                <w:bCs/>
              </w:rPr>
              <w:t>mezi</w:t>
            </w:r>
          </w:p>
        </w:tc>
      </w:tr>
      <w:tr w:rsidR="00474215" w:rsidRPr="00DD2185" w14:paraId="39634BE5" w14:textId="77777777" w:rsidTr="001D7D17">
        <w:tc>
          <w:tcPr>
            <w:tcW w:w="9030" w:type="dxa"/>
            <w:tcMar>
              <w:right w:w="173" w:type="dxa"/>
            </w:tcMar>
          </w:tcPr>
          <w:p w14:paraId="5CDDD561" w14:textId="77777777" w:rsidR="00692FB8" w:rsidRPr="00DD2185" w:rsidRDefault="00692FB8" w:rsidP="00474215">
            <w:pPr>
              <w:widowControl w:val="0"/>
              <w:jc w:val="center"/>
              <w:rPr>
                <w:b/>
                <w:bCs/>
              </w:rPr>
            </w:pPr>
          </w:p>
          <w:p w14:paraId="18D18836" w14:textId="4B998DB2" w:rsidR="00474215" w:rsidRPr="00DD2185" w:rsidRDefault="00474215" w:rsidP="00474215">
            <w:pPr>
              <w:widowControl w:val="0"/>
              <w:jc w:val="center"/>
              <w:rPr>
                <w:color w:val="0000FF"/>
              </w:rPr>
            </w:pPr>
            <w:r w:rsidRPr="00DD2185">
              <w:rPr>
                <w:b/>
                <w:bCs/>
              </w:rPr>
              <w:t>Pfizer Inc.</w:t>
            </w:r>
          </w:p>
        </w:tc>
      </w:tr>
      <w:tr w:rsidR="00474215" w:rsidRPr="00DD2185" w14:paraId="4D634C87" w14:textId="77777777" w:rsidTr="001D7D17">
        <w:tc>
          <w:tcPr>
            <w:tcW w:w="9030" w:type="dxa"/>
            <w:tcMar>
              <w:right w:w="173" w:type="dxa"/>
            </w:tcMar>
          </w:tcPr>
          <w:p w14:paraId="31636696" w14:textId="77777777" w:rsidR="00474215" w:rsidRPr="00DD2185" w:rsidRDefault="00474215" w:rsidP="00D900C0">
            <w:pPr>
              <w:widowControl w:val="0"/>
              <w:spacing w:before="120" w:after="120"/>
              <w:jc w:val="center"/>
              <w:rPr>
                <w:b/>
              </w:rPr>
            </w:pPr>
            <w:r w:rsidRPr="00DD2185">
              <w:rPr>
                <w:b/>
                <w:bCs/>
              </w:rPr>
              <w:t>a</w:t>
            </w:r>
          </w:p>
        </w:tc>
      </w:tr>
      <w:tr w:rsidR="00474215" w:rsidRPr="00DD2185" w14:paraId="24D6246E" w14:textId="77777777" w:rsidTr="001D7D17">
        <w:tc>
          <w:tcPr>
            <w:tcW w:w="9030" w:type="dxa"/>
            <w:tcMar>
              <w:right w:w="173" w:type="dxa"/>
            </w:tcMar>
          </w:tcPr>
          <w:p w14:paraId="757BAE2E" w14:textId="1D83B09D" w:rsidR="00474215" w:rsidRPr="00DD2185" w:rsidRDefault="00212BD2" w:rsidP="00EE4BE8">
            <w:pPr>
              <w:widowControl w:val="0"/>
              <w:jc w:val="center"/>
              <w:rPr>
                <w:b/>
              </w:rPr>
            </w:pPr>
            <w:proofErr w:type="spellStart"/>
            <w:r w:rsidRPr="00212BD2">
              <w:rPr>
                <w:b/>
                <w:bCs/>
                <w:highlight w:val="black"/>
              </w:rPr>
              <w:t>xxxxxxxxxxxxxxxxxxxxxxxxxxxxxx</w:t>
            </w:r>
            <w:proofErr w:type="spellEnd"/>
          </w:p>
        </w:tc>
      </w:tr>
      <w:tr w:rsidR="00474215" w:rsidRPr="00DD2185" w14:paraId="2F52F8B7" w14:textId="77777777" w:rsidTr="001D7D17">
        <w:tc>
          <w:tcPr>
            <w:tcW w:w="9030" w:type="dxa"/>
            <w:tcMar>
              <w:right w:w="173" w:type="dxa"/>
            </w:tcMar>
          </w:tcPr>
          <w:p w14:paraId="46406441" w14:textId="77777777" w:rsidR="00474215" w:rsidRPr="00DD2185" w:rsidRDefault="00474215" w:rsidP="00D900C0">
            <w:pPr>
              <w:widowControl w:val="0"/>
              <w:spacing w:before="120" w:after="120"/>
              <w:jc w:val="center"/>
              <w:rPr>
                <w:b/>
              </w:rPr>
            </w:pPr>
            <w:r w:rsidRPr="00DD2185">
              <w:rPr>
                <w:b/>
                <w:bCs/>
              </w:rPr>
              <w:t>a</w:t>
            </w:r>
          </w:p>
        </w:tc>
      </w:tr>
      <w:tr w:rsidR="00474215" w:rsidRPr="00DD2185" w14:paraId="63FF4599" w14:textId="77777777" w:rsidTr="001D7D17">
        <w:tc>
          <w:tcPr>
            <w:tcW w:w="9030" w:type="dxa"/>
            <w:tcMar>
              <w:right w:w="173" w:type="dxa"/>
            </w:tcMar>
          </w:tcPr>
          <w:p w14:paraId="21B09C5F" w14:textId="195A881B" w:rsidR="00D900C0" w:rsidRPr="00DD2185" w:rsidRDefault="001D7D17" w:rsidP="00D900C0">
            <w:pPr>
              <w:widowControl w:val="0"/>
              <w:jc w:val="center"/>
              <w:rPr>
                <w:b/>
                <w:bCs/>
              </w:rPr>
            </w:pPr>
            <w:r w:rsidRPr="00DD2185">
              <w:rPr>
                <w:b/>
                <w:bCs/>
              </w:rPr>
              <w:t>F</w:t>
            </w:r>
            <w:r w:rsidR="00D900C0" w:rsidRPr="00DD2185">
              <w:rPr>
                <w:b/>
                <w:bCs/>
              </w:rPr>
              <w:t xml:space="preserve">akultní nemocnice </w:t>
            </w:r>
            <w:r w:rsidRPr="00DD2185">
              <w:rPr>
                <w:b/>
                <w:bCs/>
              </w:rPr>
              <w:t>Olomouc</w:t>
            </w:r>
            <w:r w:rsidR="00D900C0" w:rsidRPr="00DD2185">
              <w:rPr>
                <w:b/>
                <w:bCs/>
              </w:rPr>
              <w:t xml:space="preserve"> </w:t>
            </w:r>
          </w:p>
          <w:p w14:paraId="1D1C5BED" w14:textId="74BA2F50" w:rsidR="00474215" w:rsidRPr="00DD2185" w:rsidRDefault="001D7D17" w:rsidP="00692FB8">
            <w:pPr>
              <w:widowControl w:val="0"/>
              <w:jc w:val="center"/>
              <w:rPr>
                <w:b/>
              </w:rPr>
            </w:pPr>
            <w:r w:rsidRPr="00DD2185">
              <w:rPr>
                <w:b/>
                <w:bCs/>
              </w:rPr>
              <w:t xml:space="preserve">                                        </w:t>
            </w:r>
          </w:p>
        </w:tc>
      </w:tr>
      <w:tr w:rsidR="00474215" w:rsidRPr="00DD2185" w14:paraId="3D771CB7" w14:textId="77777777" w:rsidTr="001D7D17">
        <w:tc>
          <w:tcPr>
            <w:tcW w:w="9030" w:type="dxa"/>
            <w:tcMar>
              <w:right w:w="173" w:type="dxa"/>
            </w:tcMar>
          </w:tcPr>
          <w:p w14:paraId="531DE8C1" w14:textId="77777777" w:rsidR="00474215" w:rsidRPr="00DD2185" w:rsidRDefault="00474215" w:rsidP="00474215">
            <w:pPr>
              <w:widowControl w:val="0"/>
              <w:jc w:val="center"/>
              <w:rPr>
                <w:b/>
              </w:rPr>
            </w:pPr>
          </w:p>
        </w:tc>
      </w:tr>
      <w:tr w:rsidR="00474215" w:rsidRPr="00DD2185" w14:paraId="67699A97" w14:textId="77777777" w:rsidTr="001D7D17">
        <w:tc>
          <w:tcPr>
            <w:tcW w:w="9030" w:type="dxa"/>
            <w:tcMar>
              <w:right w:w="173" w:type="dxa"/>
            </w:tcMar>
          </w:tcPr>
          <w:p w14:paraId="14FC5AFD" w14:textId="5D5F8AB9" w:rsidR="00474215" w:rsidRPr="00DD2185" w:rsidRDefault="00474215" w:rsidP="00474215">
            <w:pPr>
              <w:widowControl w:val="0"/>
              <w:jc w:val="center"/>
              <w:rPr>
                <w:b/>
                <w:bCs/>
              </w:rPr>
            </w:pPr>
            <w:r w:rsidRPr="00DD2185">
              <w:rPr>
                <w:b/>
                <w:bCs/>
              </w:rPr>
              <w:t xml:space="preserve">Protokol Pfizer č. </w:t>
            </w:r>
            <w:r w:rsidR="005975A3" w:rsidRPr="00DD2185">
              <w:rPr>
                <w:b/>
                <w:bCs/>
              </w:rPr>
              <w:t>C1071007</w:t>
            </w:r>
          </w:p>
          <w:p w14:paraId="063CD951" w14:textId="291B3CE8" w:rsidR="00502C62" w:rsidRPr="00DD2185" w:rsidRDefault="00502C62" w:rsidP="00474215">
            <w:pPr>
              <w:widowControl w:val="0"/>
              <w:jc w:val="center"/>
              <w:rPr>
                <w:b/>
              </w:rPr>
            </w:pPr>
          </w:p>
        </w:tc>
      </w:tr>
      <w:tr w:rsidR="00474215" w:rsidRPr="00DD2185" w14:paraId="4E85838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95C8C76" w14:textId="77777777" w:rsidR="00474215" w:rsidRPr="00DD2185" w:rsidRDefault="00474215" w:rsidP="00BF1B42">
            <w:pPr>
              <w:widowControl w:val="0"/>
              <w:jc w:val="both"/>
            </w:pPr>
            <w:r w:rsidRPr="00DD2185">
              <w:t xml:space="preserve">Tato smlouva o provedení klinické studie („smlouva“) mezi  </w:t>
            </w:r>
          </w:p>
        </w:tc>
      </w:tr>
      <w:tr w:rsidR="00474215" w:rsidRPr="00DD2185" w14:paraId="2F01410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312B045" w14:textId="77777777" w:rsidR="00474215" w:rsidRPr="00DD2185" w:rsidRDefault="00474215" w:rsidP="00BF1B42">
            <w:pPr>
              <w:pStyle w:val="BodyTextIndent"/>
              <w:widowControl w:val="0"/>
              <w:ind w:left="0"/>
              <w:jc w:val="both"/>
            </w:pPr>
          </w:p>
        </w:tc>
      </w:tr>
      <w:tr w:rsidR="00474215" w:rsidRPr="00DD2185" w14:paraId="741A1E1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E295E79" w14:textId="1EBDB8BA" w:rsidR="00474215" w:rsidRPr="00DD2185" w:rsidRDefault="00474215" w:rsidP="00BF1B42">
            <w:pPr>
              <w:widowControl w:val="0"/>
              <w:jc w:val="both"/>
            </w:pPr>
            <w:r w:rsidRPr="00DD2185">
              <w:rPr>
                <w:b/>
                <w:bCs/>
              </w:rPr>
              <w:t>Pfizer Inc., se sídlem na adrese 235 East 42</w:t>
            </w:r>
            <w:r w:rsidRPr="00DD2185">
              <w:rPr>
                <w:b/>
                <w:bCs/>
                <w:vertAlign w:val="superscript"/>
              </w:rPr>
              <w:t>nd</w:t>
            </w:r>
            <w:r w:rsidRPr="00DD2185">
              <w:rPr>
                <w:b/>
                <w:bCs/>
              </w:rPr>
              <w:t xml:space="preserve"> Street, New York, NY 10017, USA</w:t>
            </w:r>
            <w:r w:rsidRPr="00DD2185">
              <w:rPr>
                <w:b/>
                <w:bCs/>
                <w:i/>
                <w:iCs/>
              </w:rPr>
              <w:t xml:space="preserve"> </w:t>
            </w:r>
            <w:r w:rsidRPr="00DD2185">
              <w:rPr>
                <w:b/>
                <w:bCs/>
              </w:rPr>
              <w:t xml:space="preserve">(„Pfizer“) </w:t>
            </w:r>
          </w:p>
        </w:tc>
      </w:tr>
      <w:tr w:rsidR="00474215" w:rsidRPr="00DD2185" w14:paraId="61066D7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902871F" w14:textId="77777777" w:rsidR="00474215" w:rsidRPr="00DD2185" w:rsidRDefault="00474215" w:rsidP="00BF1B42">
            <w:pPr>
              <w:widowControl w:val="0"/>
              <w:jc w:val="both"/>
            </w:pPr>
          </w:p>
        </w:tc>
      </w:tr>
      <w:tr w:rsidR="00474215" w:rsidRPr="00DD2185" w14:paraId="56402B0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EA2CA85" w14:textId="77777777" w:rsidR="00474215" w:rsidRPr="00DD2185" w:rsidRDefault="00474215" w:rsidP="00BF1B42">
            <w:pPr>
              <w:widowControl w:val="0"/>
              <w:jc w:val="both"/>
            </w:pPr>
            <w:r w:rsidRPr="00DD2185">
              <w:t>a</w:t>
            </w:r>
          </w:p>
        </w:tc>
      </w:tr>
      <w:tr w:rsidR="00474215" w:rsidRPr="00DD2185" w14:paraId="547A24F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6C090A6" w14:textId="77777777" w:rsidR="00474215" w:rsidRPr="00DD2185" w:rsidRDefault="00474215" w:rsidP="00BF1B42">
            <w:pPr>
              <w:widowControl w:val="0"/>
              <w:jc w:val="both"/>
            </w:pPr>
          </w:p>
        </w:tc>
      </w:tr>
      <w:tr w:rsidR="00474215" w:rsidRPr="00DD2185" w14:paraId="4439C9A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CE910E3" w14:textId="77777777" w:rsidR="00474215" w:rsidRPr="00DD2185" w:rsidRDefault="00474215" w:rsidP="00BF1B42">
            <w:pPr>
              <w:widowControl w:val="0"/>
              <w:jc w:val="both"/>
            </w:pPr>
          </w:p>
        </w:tc>
      </w:tr>
      <w:tr w:rsidR="00474215" w:rsidRPr="00DD2185" w14:paraId="3CA0101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7614874" w14:textId="126BCB86" w:rsidR="001D7D17" w:rsidRPr="00DD2185" w:rsidRDefault="00212BD2" w:rsidP="00F04B4D">
            <w:pPr>
              <w:widowControl w:val="0"/>
              <w:jc w:val="both"/>
              <w:rPr>
                <w:b/>
              </w:rPr>
            </w:pPr>
            <w:proofErr w:type="spellStart"/>
            <w:r w:rsidRPr="00212BD2">
              <w:rPr>
                <w:b/>
                <w:bCs/>
                <w:highlight w:val="black"/>
              </w:rPr>
              <w:t>xxxxxxxxxxxxxxxxxxxxxxxxxxxxxx</w:t>
            </w:r>
            <w:proofErr w:type="spellEnd"/>
          </w:p>
          <w:p w14:paraId="4192ED22" w14:textId="580C8E96" w:rsidR="00474215" w:rsidRPr="00DD2185" w:rsidRDefault="00F04B4D" w:rsidP="009E493E">
            <w:pPr>
              <w:widowControl w:val="0"/>
              <w:jc w:val="both"/>
            </w:pPr>
            <w:r w:rsidRPr="00DD2185">
              <w:t>trvale bytem</w:t>
            </w:r>
            <w:r w:rsidR="00B849C9" w:rsidRPr="00DD2185">
              <w:t xml:space="preserve">: </w:t>
            </w:r>
            <w:proofErr w:type="spellStart"/>
            <w:r w:rsidR="00212BD2" w:rsidRPr="00212BD2">
              <w:rPr>
                <w:b/>
                <w:bCs/>
                <w:highlight w:val="black"/>
              </w:rPr>
              <w:t>xxxxxxxxxxxxxxxxxxxxxxxxxxxxxx</w:t>
            </w:r>
            <w:proofErr w:type="spellEnd"/>
            <w:r w:rsidR="00B849C9" w:rsidRPr="00DD2185">
              <w:t xml:space="preserve">, </w:t>
            </w:r>
            <w:r w:rsidRPr="00DD2185">
              <w:t xml:space="preserve">s pracovištěm na adrese: </w:t>
            </w:r>
            <w:r w:rsidR="001D7D17" w:rsidRPr="00DD2185">
              <w:t xml:space="preserve">Fakultní nemocnice Olomouc, </w:t>
            </w:r>
            <w:proofErr w:type="spellStart"/>
            <w:r w:rsidR="009E493E" w:rsidRPr="00DD2185">
              <w:t>Hemato</w:t>
            </w:r>
            <w:proofErr w:type="spellEnd"/>
            <w:r w:rsidR="009E493E" w:rsidRPr="00DD2185">
              <w:t>-o</w:t>
            </w:r>
            <w:r w:rsidR="001D7D17" w:rsidRPr="00DD2185">
              <w:t xml:space="preserve">nkologická klinika, I. P. Pavlova 6, 779 00 Olomouc </w:t>
            </w:r>
            <w:r w:rsidR="00474215" w:rsidRPr="00DD2185">
              <w:t>(„</w:t>
            </w:r>
            <w:r w:rsidR="00474215" w:rsidRPr="00DD2185">
              <w:rPr>
                <w:b/>
                <w:bCs/>
              </w:rPr>
              <w:t>hlavní zkoušející</w:t>
            </w:r>
            <w:r w:rsidR="00474215" w:rsidRPr="00DD2185">
              <w:t xml:space="preserve">”), </w:t>
            </w:r>
          </w:p>
        </w:tc>
      </w:tr>
      <w:tr w:rsidR="00474215" w:rsidRPr="00DD2185" w14:paraId="6630663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3950011" w14:textId="77777777" w:rsidR="00474215" w:rsidRPr="00DD2185" w:rsidRDefault="00474215" w:rsidP="00BF1B42">
            <w:pPr>
              <w:widowControl w:val="0"/>
              <w:jc w:val="both"/>
            </w:pPr>
          </w:p>
        </w:tc>
      </w:tr>
      <w:tr w:rsidR="00474215" w:rsidRPr="00DD2185" w14:paraId="48F4D7B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9CF18BC" w14:textId="0C5FB346" w:rsidR="00474215" w:rsidRPr="00DD2185" w:rsidRDefault="009E493E" w:rsidP="00BF1B42">
            <w:pPr>
              <w:widowControl w:val="0"/>
              <w:jc w:val="both"/>
            </w:pPr>
            <w:r w:rsidRPr="00DD2185">
              <w:t>A</w:t>
            </w:r>
          </w:p>
        </w:tc>
      </w:tr>
      <w:tr w:rsidR="00474215" w:rsidRPr="00DD2185" w14:paraId="3D45BA1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4034A49" w14:textId="77777777" w:rsidR="00474215" w:rsidRPr="00DD2185" w:rsidRDefault="00474215" w:rsidP="00BF1B42">
            <w:pPr>
              <w:widowControl w:val="0"/>
              <w:jc w:val="both"/>
            </w:pPr>
          </w:p>
        </w:tc>
      </w:tr>
      <w:tr w:rsidR="00474215" w:rsidRPr="00DD2185" w14:paraId="1AC27F1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765BDB7" w14:textId="0BCFB501" w:rsidR="00D900C0" w:rsidRPr="00DD2185" w:rsidRDefault="001D7D17" w:rsidP="00D900C0">
            <w:pPr>
              <w:widowControl w:val="0"/>
              <w:jc w:val="both"/>
            </w:pPr>
            <w:proofErr w:type="spellStart"/>
            <w:r w:rsidRPr="00DD2185">
              <w:rPr>
                <w:b/>
              </w:rPr>
              <w:t>Fakultn</w:t>
            </w:r>
            <w:proofErr w:type="spellEnd"/>
            <w:r w:rsidRPr="00DD2185">
              <w:rPr>
                <w:b/>
                <w:lang w:val="sk-SK"/>
              </w:rPr>
              <w:t>í nemocnice Olomouc</w:t>
            </w:r>
            <w:r w:rsidR="00474215" w:rsidRPr="00DD2185">
              <w:t xml:space="preserve"> </w:t>
            </w:r>
          </w:p>
          <w:p w14:paraId="5B48CD1F" w14:textId="2FE97D46" w:rsidR="00D900C0" w:rsidRPr="00DD2185" w:rsidRDefault="00474215" w:rsidP="001D7D17">
            <w:pPr>
              <w:widowControl w:val="0"/>
              <w:jc w:val="both"/>
            </w:pPr>
            <w:r w:rsidRPr="00DD2185">
              <w:t xml:space="preserve">se sídlem na adrese </w:t>
            </w:r>
            <w:r w:rsidR="001D7D17" w:rsidRPr="00DD2185">
              <w:t>I.P. Pavlova 185/6, Olomouc 779 00</w:t>
            </w:r>
          </w:p>
          <w:p w14:paraId="239D8E22" w14:textId="722DF47D" w:rsidR="00D900C0" w:rsidRPr="00DD2185" w:rsidRDefault="00D900C0" w:rsidP="00D900C0">
            <w:pPr>
              <w:widowControl w:val="0"/>
              <w:jc w:val="both"/>
              <w:rPr>
                <w:lang w:val="sk-SK"/>
              </w:rPr>
            </w:pPr>
            <w:r w:rsidRPr="00DD2185">
              <w:t>I</w:t>
            </w:r>
            <w:r w:rsidRPr="00DD2185">
              <w:rPr>
                <w:lang w:val="sk-SK"/>
              </w:rPr>
              <w:t>ČO</w:t>
            </w:r>
            <w:r w:rsidR="001D7D17" w:rsidRPr="00DD2185">
              <w:rPr>
                <w:lang w:val="sk-SK"/>
              </w:rPr>
              <w:t>:</w:t>
            </w:r>
            <w:r w:rsidR="001D7D17" w:rsidRPr="00DD2185">
              <w:t xml:space="preserve"> </w:t>
            </w:r>
            <w:r w:rsidR="001D7D17" w:rsidRPr="00DD2185">
              <w:rPr>
                <w:lang w:val="sk-SK"/>
              </w:rPr>
              <w:t>00098892</w:t>
            </w:r>
            <w:r w:rsidR="00956ACF" w:rsidRPr="00DD2185">
              <w:rPr>
                <w:lang w:val="sk-SK"/>
              </w:rPr>
              <w:t xml:space="preserve">, </w:t>
            </w:r>
            <w:r w:rsidRPr="00DD2185">
              <w:rPr>
                <w:lang w:val="sk-SK"/>
              </w:rPr>
              <w:t>DIČ: CZ</w:t>
            </w:r>
            <w:r w:rsidR="001D7D17" w:rsidRPr="00DD2185">
              <w:rPr>
                <w:lang w:val="sk-SK"/>
              </w:rPr>
              <w:t>00098892</w:t>
            </w:r>
          </w:p>
          <w:p w14:paraId="37001F6E" w14:textId="25AE1D0F" w:rsidR="00474215" w:rsidRPr="00DD2185" w:rsidRDefault="00474215" w:rsidP="00D900C0">
            <w:pPr>
              <w:widowControl w:val="0"/>
              <w:jc w:val="both"/>
            </w:pPr>
            <w:r w:rsidRPr="00DD2185">
              <w:t>(</w:t>
            </w:r>
            <w:r w:rsidRPr="00DD2185">
              <w:rPr>
                <w:b/>
                <w:bCs/>
              </w:rPr>
              <w:t>„zdravotnické zařízení</w:t>
            </w:r>
            <w:r w:rsidRPr="00DD2185">
              <w:t xml:space="preserve">“), </w:t>
            </w:r>
          </w:p>
        </w:tc>
      </w:tr>
      <w:tr w:rsidR="00474215" w:rsidRPr="00DD2185" w14:paraId="4508FE5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292CE81" w14:textId="77777777" w:rsidR="00474215" w:rsidRPr="00DD2185" w:rsidRDefault="00474215" w:rsidP="00474215">
            <w:pPr>
              <w:widowControl w:val="0"/>
            </w:pPr>
          </w:p>
        </w:tc>
      </w:tr>
      <w:tr w:rsidR="00474215" w:rsidRPr="00DD2185" w14:paraId="1B4CF98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511EA0F" w14:textId="77777777" w:rsidR="00474215" w:rsidRPr="00DD2185" w:rsidRDefault="00474215" w:rsidP="00474215">
            <w:pPr>
              <w:widowControl w:val="0"/>
            </w:pPr>
          </w:p>
        </w:tc>
      </w:tr>
      <w:tr w:rsidR="000853F9" w:rsidRPr="00DD2185" w14:paraId="3AAE0F4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30C51E1" w14:textId="4EDAF703" w:rsidR="00474215" w:rsidRPr="00DD2185" w:rsidRDefault="00474215" w:rsidP="00AA044E">
            <w:pPr>
              <w:widowControl w:val="0"/>
            </w:pPr>
            <w:r w:rsidRPr="00DD2185">
              <w:t>po podepsání všemi stranami nabývá účinnosti ke dni</w:t>
            </w:r>
            <w:r w:rsidR="00956ACF" w:rsidRPr="00DD2185">
              <w:t xml:space="preserve"> </w:t>
            </w:r>
            <w:r w:rsidR="00956ACF" w:rsidRPr="00DD2185">
              <w:rPr>
                <w:lang w:val="cs"/>
              </w:rPr>
              <w:t xml:space="preserve">uveřejnění upravené verze této smlouvy v souladu s článkem 15.2 (Zveřejnění upravené smlouvy). </w:t>
            </w:r>
            <w:r w:rsidRPr="00DD2185">
              <w:t xml:space="preserve"> </w:t>
            </w:r>
          </w:p>
        </w:tc>
      </w:tr>
      <w:tr w:rsidR="00474215" w:rsidRPr="00DD2185" w14:paraId="4126F0B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28D4899" w14:textId="77777777" w:rsidR="00474215" w:rsidRPr="00DD2185" w:rsidRDefault="00474215" w:rsidP="00474215">
            <w:pPr>
              <w:widowControl w:val="0"/>
            </w:pPr>
          </w:p>
        </w:tc>
      </w:tr>
      <w:tr w:rsidR="00474215" w:rsidRPr="00DD2185" w14:paraId="4C6A4CD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DECB1B6" w14:textId="23FDF0FE" w:rsidR="00474215" w:rsidRPr="00DD2185" w:rsidRDefault="00474215" w:rsidP="00EE4BE8">
            <w:pPr>
              <w:widowControl w:val="0"/>
              <w:jc w:val="both"/>
              <w:rPr>
                <w:color w:val="0000FF"/>
              </w:rPr>
            </w:pPr>
            <w:r w:rsidRPr="00DD2185">
              <w:t>Společnost Pfizer („</w:t>
            </w:r>
            <w:r w:rsidRPr="00DD2185">
              <w:rPr>
                <w:b/>
                <w:bCs/>
              </w:rPr>
              <w:t>společnost Pfizer</w:t>
            </w:r>
            <w:r w:rsidRPr="00DD2185">
              <w:t>“) si přeje stát se zadavatelem klinické studie s názvem „</w:t>
            </w:r>
            <w:r w:rsidR="005975A3" w:rsidRPr="00DD2185">
              <w:rPr>
                <w:b/>
              </w:rPr>
              <w:t>RANDOMIZOVANÁ DVOURAMENNÁ STUDIE FÁZE 3 POROVNÁVAJÍCÍ ELRANATAMAB (PF-06863135) A LENALIDOMID U PACIENTŮ S NOVĚ DIAGNOSTIKOVANÝM MNOHOČETNÝM MYELOMEM, KTEŘÍ PO AUTOLOGNÍ TRANSPLANTACI KMENOVÝCH BUNĚK VYKAZUJÍ MINIMÁLNÍ ZBYTKOVÉ ONEMOCNĚNÍ</w:t>
            </w:r>
            <w:r w:rsidRPr="00DD2185">
              <w:t>“ (dále jen „</w:t>
            </w:r>
            <w:r w:rsidRPr="00DD2185">
              <w:rPr>
                <w:b/>
                <w:bCs/>
              </w:rPr>
              <w:t>studie</w:t>
            </w:r>
            <w:r w:rsidRPr="00DD2185">
              <w:t>“), kterou bude provádět hlavní zkoušející ve zdravotnickém zařízení podle výše uvedeného protokolu společnosti Pfizer („</w:t>
            </w:r>
            <w:r w:rsidRPr="00DD2185">
              <w:rPr>
                <w:b/>
                <w:bCs/>
              </w:rPr>
              <w:t>protokol</w:t>
            </w:r>
            <w:r w:rsidRPr="00DD2185">
              <w:t>“).</w:t>
            </w:r>
          </w:p>
        </w:tc>
      </w:tr>
      <w:tr w:rsidR="00474215" w:rsidRPr="00DD2185" w14:paraId="2FA0872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5119C29" w14:textId="77777777" w:rsidR="00474215" w:rsidRPr="00DD2185" w:rsidRDefault="00474215" w:rsidP="00474215">
            <w:pPr>
              <w:widowControl w:val="0"/>
            </w:pPr>
          </w:p>
        </w:tc>
      </w:tr>
      <w:tr w:rsidR="00474215" w:rsidRPr="00DD2185" w14:paraId="4AA4EC6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C6D5D66" w14:textId="77777777" w:rsidR="00474215" w:rsidRPr="00DD2185" w:rsidRDefault="00474215" w:rsidP="00474215">
            <w:pPr>
              <w:widowControl w:val="0"/>
            </w:pPr>
            <w:r w:rsidRPr="00DD2185">
              <w:t>Smluvní strany se dohodly na následujícím:</w:t>
            </w:r>
          </w:p>
        </w:tc>
      </w:tr>
      <w:tr w:rsidR="00474215" w:rsidRPr="00DD2185" w14:paraId="3041B9E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40EA0F6" w14:textId="77777777" w:rsidR="00474215" w:rsidRPr="00DD2185" w:rsidRDefault="00474215" w:rsidP="00474215">
            <w:pPr>
              <w:widowControl w:val="0"/>
            </w:pPr>
          </w:p>
        </w:tc>
      </w:tr>
      <w:tr w:rsidR="00474215" w:rsidRPr="00DD2185" w14:paraId="0167EB3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485F07E" w14:textId="77777777" w:rsidR="00474215" w:rsidRPr="00DD2185" w:rsidRDefault="00474215" w:rsidP="00474215">
            <w:pPr>
              <w:widowControl w:val="0"/>
              <w:tabs>
                <w:tab w:val="left" w:pos="720"/>
              </w:tabs>
              <w:ind w:left="720" w:hanging="720"/>
            </w:pPr>
            <w:r w:rsidRPr="00DD2185">
              <w:t>1.</w:t>
            </w:r>
            <w:r w:rsidRPr="00DD2185">
              <w:tab/>
            </w:r>
            <w:r w:rsidRPr="00DD2185">
              <w:rPr>
                <w:u w:val="single"/>
              </w:rPr>
              <w:t>Povinnosti</w:t>
            </w:r>
          </w:p>
        </w:tc>
      </w:tr>
      <w:tr w:rsidR="00474215" w:rsidRPr="00DD2185" w14:paraId="5D2262B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AB8585B" w14:textId="77777777" w:rsidR="00474215" w:rsidRPr="00DD2185" w:rsidRDefault="00474215" w:rsidP="00474215">
            <w:pPr>
              <w:widowControl w:val="0"/>
            </w:pPr>
          </w:p>
        </w:tc>
      </w:tr>
      <w:tr w:rsidR="00474215" w:rsidRPr="00DD2185" w14:paraId="70ACDC3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B30F828" w14:textId="6EEE344C" w:rsidR="00474215" w:rsidRPr="00DD2185" w:rsidRDefault="00474215" w:rsidP="00502C62">
            <w:pPr>
              <w:widowControl w:val="0"/>
              <w:tabs>
                <w:tab w:val="left" w:pos="1440"/>
              </w:tabs>
              <w:ind w:left="1440" w:hanging="720"/>
              <w:jc w:val="both"/>
            </w:pPr>
            <w:r w:rsidRPr="00DD2185">
              <w:rPr>
                <w:sz w:val="28"/>
              </w:rPr>
              <w:t>1.1</w:t>
            </w:r>
            <w:r w:rsidRPr="00DD2185">
              <w:rPr>
                <w:sz w:val="28"/>
              </w:rPr>
              <w:tab/>
            </w:r>
            <w:r w:rsidRPr="00DD2185">
              <w:rPr>
                <w:u w:val="single"/>
              </w:rPr>
              <w:t>Zkoušející a výzkumní pracovníci</w:t>
            </w:r>
            <w:r w:rsidRPr="00DD2185">
              <w:rPr>
                <w:sz w:val="28"/>
              </w:rPr>
              <w:t xml:space="preserve">.  </w:t>
            </w:r>
            <w:r w:rsidRPr="00DD2185">
              <w:t xml:space="preserve">Tato studie bude provedena hlavním zkoušejícím. Hlavního zkoušející jako zaměstnanec zdravotnického zařízení a zdravotnické zařízení jako zaměstnavatel tímto udělují výslovný souhlas s účastí hlavního zkoušejícího ve studii podle této smlouvy a za odměnu dohodnutou se společností Pfizer podle paragrafu 304, bodu 1) zákona 262/2006 Sb., </w:t>
            </w:r>
            <w:r w:rsidR="00502C62" w:rsidRPr="00DD2185">
              <w:t>zákoníku práce v platném znění.</w:t>
            </w:r>
            <w:r w:rsidRPr="00DD2185">
              <w:t xml:space="preserve"> Zdravotnické zařízení nesmí přidělit provádění studie jinému hlavnímu zkoušejícímu bez předchozího písemného svolení společnosti Pfizer.  Hlavní zkoušející a zdravotnické zařízení zajistí, že při provádění studie budou jako </w:t>
            </w:r>
            <w:proofErr w:type="spellStart"/>
            <w:r w:rsidRPr="00DD2185">
              <w:t>spoluzkoušející</w:t>
            </w:r>
            <w:proofErr w:type="spellEnd"/>
            <w:r w:rsidRPr="00DD2185">
              <w:t xml:space="preserve"> nebo výzkumní pracovníci působit pouze osoby, které jsou řádně zaškoleny a mají odpovídající kvalifikaci.</w:t>
            </w:r>
          </w:p>
        </w:tc>
      </w:tr>
      <w:tr w:rsidR="00474215" w:rsidRPr="00DD2185" w14:paraId="4CF725F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28900F9" w14:textId="77777777" w:rsidR="00474215" w:rsidRPr="00DD2185" w:rsidRDefault="00474215" w:rsidP="00502C62">
            <w:pPr>
              <w:widowControl w:val="0"/>
              <w:jc w:val="both"/>
            </w:pPr>
          </w:p>
        </w:tc>
      </w:tr>
      <w:tr w:rsidR="00474215" w:rsidRPr="00DD2185" w14:paraId="4CDEE0E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077BEC8" w14:textId="61A5BEEE" w:rsidR="00474215" w:rsidRPr="00DD2185" w:rsidRDefault="00474215" w:rsidP="00502C62">
            <w:pPr>
              <w:widowControl w:val="0"/>
              <w:tabs>
                <w:tab w:val="left" w:pos="1440"/>
              </w:tabs>
              <w:ind w:left="1440" w:hanging="720"/>
              <w:jc w:val="both"/>
              <w:rPr>
                <w:bCs/>
                <w:iCs/>
              </w:rPr>
            </w:pPr>
            <w:r w:rsidRPr="00DD2185">
              <w:t>1.2</w:t>
            </w:r>
            <w:r w:rsidRPr="00DD2185">
              <w:tab/>
            </w:r>
            <w:r w:rsidRPr="00DD2185">
              <w:rPr>
                <w:u w:val="single"/>
              </w:rPr>
              <w:t>Dodržování právních předpisů a stanovených požadavků</w:t>
            </w:r>
            <w:r w:rsidRPr="00DD2185">
              <w:t xml:space="preserve">.  Hlavní zkoušející a zdravotnické zařízení odpovídají společnosti Pfizer za to, že všichni pracovníci studie budou dodržovat podmínky této smlouvy, zásady správné klinické praxe Mezinárodní konference pro harmonizaci (SKP ICH) a příslušné zákony, právní předpisy a vládní pokyny, zejména včetně zákona č. 378/2007 Sb., o léčivech ve znění pozdějších předpisů (dále jen „zákon o léčivech“), vyhlášky Ministerstva zdravotnictví a Ministerstva zemědělství č. 226/2008 Sb., o správné klinické praxi a bližších podmínkách klinického hodnocení léčivých přípravků ve znění pozdějších předpisů, vyhlášky Ministerstva zdravotnictví a Ministerstva zemědělství č. 86/2008 Sb., o stanovení zásad správné laboratorní praxe v oblasti léčiv, ve znění pozdějších přepisů, vyhlášky Ministerstva zdravotnictví a Ministerstva zemědělství č. 84/2008 Sb., o správné lékárenské praxi, bližších podmínkách zacházení s léčivy v lékárnách, zdravotnických zařízeních a u dalších provozovatelů a zařízeních vydávajících léčivé přípravky, ve znění pozdějších předpisů, a zákona č. 372/2011 Sb., o zdravotních službách a podmínkách jejich poskytování, ve znění pozdějších předpisů.   Hlavní zkoušející ponese celkovou zodpovědnost za provádění studie, včetně všech povinností, jež jsou hlavním zkoušejícím uděleny příslušnými právními předpisy, jimiž se řídí provádění klinických hodnocení.  Zdravotnické zařízení bude odpovídajícím způsobem dohlížet na aktivity hlavního zkoušejícího ve zdravotnickém zařízení.  </w:t>
            </w:r>
          </w:p>
        </w:tc>
      </w:tr>
      <w:tr w:rsidR="00474215" w:rsidRPr="00DD2185" w14:paraId="77319F5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D664354" w14:textId="77777777" w:rsidR="00474215" w:rsidRPr="00DD2185" w:rsidRDefault="00474215" w:rsidP="00502C62">
            <w:pPr>
              <w:widowControl w:val="0"/>
              <w:jc w:val="both"/>
            </w:pPr>
          </w:p>
        </w:tc>
      </w:tr>
      <w:tr w:rsidR="00474215" w:rsidRPr="00DD2185" w14:paraId="291C60B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5BAC4CA" w14:textId="77777777" w:rsidR="00474215" w:rsidRPr="00DD2185" w:rsidRDefault="00474215" w:rsidP="00502C62">
            <w:pPr>
              <w:widowControl w:val="0"/>
              <w:tabs>
                <w:tab w:val="left" w:pos="1440"/>
              </w:tabs>
              <w:ind w:left="1440" w:hanging="720"/>
              <w:jc w:val="both"/>
              <w:rPr>
                <w:bCs/>
                <w:iCs/>
              </w:rPr>
            </w:pPr>
            <w:r w:rsidRPr="00DD2185">
              <w:t>1.3</w:t>
            </w:r>
            <w:r w:rsidRPr="00DD2185">
              <w:tab/>
            </w:r>
            <w:r w:rsidRPr="00DD2185">
              <w:rPr>
                <w:u w:val="single"/>
              </w:rPr>
              <w:t>Školení správné klinické praxe poskytnuté společností Pfizer</w:t>
            </w:r>
            <w:r w:rsidRPr="00DD2185">
              <w:t xml:space="preserve">.  Před zařazením jakéhokoli subjektu hodnocení (definovaného ve článku 4 Zařazování subjektů do studie) absolvují hlavní zkoušející a všichni </w:t>
            </w:r>
            <w:proofErr w:type="spellStart"/>
            <w:r w:rsidRPr="00DD2185">
              <w:t>spoluzkoušející</w:t>
            </w:r>
            <w:proofErr w:type="spellEnd"/>
            <w:r w:rsidRPr="00DD2185">
              <w:t xml:space="preserve"> školení správné klinické praxe poskytované společností Pfizer (dále jen „</w:t>
            </w:r>
            <w:r w:rsidRPr="00DD2185">
              <w:rPr>
                <w:b/>
                <w:bCs/>
              </w:rPr>
              <w:t>školení SKP společnosti Pfizer</w:t>
            </w:r>
            <w:r w:rsidRPr="00DD2185">
              <w:t xml:space="preserve">“).  Jakýkoli zkoušející, který se do studie zapojí později, absolvuje školení SKP společnosti Pfizer předtím, než začne vykonávat povinnosti související se studií.  Pro studie příslušné délky hlavní zkoušející a </w:t>
            </w:r>
            <w:proofErr w:type="spellStart"/>
            <w:r w:rsidRPr="00DD2185">
              <w:t>spoluzkoušející</w:t>
            </w:r>
            <w:proofErr w:type="spellEnd"/>
            <w:r w:rsidRPr="00DD2185">
              <w:t xml:space="preserve"> absolvují školení SKP společnosti Pfizer v průběhu studie jednou za tři roky nebo častěji, pokud budou provedeny významné změny zásad SKP ICH nebo výukových materiálů.  </w:t>
            </w:r>
          </w:p>
        </w:tc>
      </w:tr>
      <w:tr w:rsidR="00474215" w:rsidRPr="00DD2185" w14:paraId="448C6DF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0B6EC1A" w14:textId="77777777" w:rsidR="00474215" w:rsidRPr="00DD2185" w:rsidRDefault="00474215" w:rsidP="00502C62">
            <w:pPr>
              <w:widowControl w:val="0"/>
              <w:tabs>
                <w:tab w:val="left" w:pos="1440"/>
              </w:tabs>
              <w:ind w:left="1440" w:hanging="720"/>
              <w:jc w:val="both"/>
              <w:rPr>
                <w:bCs/>
                <w:iCs/>
              </w:rPr>
            </w:pPr>
          </w:p>
        </w:tc>
      </w:tr>
      <w:tr w:rsidR="00474215" w:rsidRPr="00DD2185" w14:paraId="1AA79DA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A62C836" w14:textId="2E9AA966" w:rsidR="00474215" w:rsidRPr="00DD2185" w:rsidRDefault="00474215" w:rsidP="00502C62">
            <w:pPr>
              <w:widowControl w:val="0"/>
              <w:tabs>
                <w:tab w:val="left" w:pos="1440"/>
              </w:tabs>
              <w:ind w:left="1440" w:hanging="720"/>
              <w:jc w:val="both"/>
              <w:rPr>
                <w:bCs/>
                <w:iCs/>
              </w:rPr>
            </w:pPr>
            <w:r w:rsidRPr="00DD2185">
              <w:t>1.4</w:t>
            </w:r>
            <w:r w:rsidRPr="00DD2185">
              <w:tab/>
              <w:t>Dodržování zákonů regulujících světový obchod.  Smluvní strany souhlasí s tím, že aktivity podle této smlouvy mohou podléhat platným omezením dovozu a vývozu a zákonům a nařízením o hospodářských sankcích („zákony regulující světový obchod“). Zdravotnické zařízení, hlavní zkoušející a společnost Pfizer budou dodržovat všechny platné zákony regulující světový obchod.</w:t>
            </w:r>
          </w:p>
        </w:tc>
      </w:tr>
      <w:tr w:rsidR="00474215" w:rsidRPr="00DD2185" w14:paraId="6669949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B57E7EF" w14:textId="77777777" w:rsidR="00474215" w:rsidRPr="00DD2185" w:rsidRDefault="00474215" w:rsidP="00502C62">
            <w:pPr>
              <w:widowControl w:val="0"/>
              <w:tabs>
                <w:tab w:val="left" w:pos="1440"/>
              </w:tabs>
              <w:ind w:left="1440" w:hanging="720"/>
              <w:jc w:val="both"/>
              <w:rPr>
                <w:bCs/>
                <w:iCs/>
              </w:rPr>
            </w:pPr>
          </w:p>
        </w:tc>
      </w:tr>
      <w:tr w:rsidR="00474215" w:rsidRPr="00DD2185" w14:paraId="2635C6E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B772E3D" w14:textId="7E6167F9" w:rsidR="00474215" w:rsidRPr="00DD2185" w:rsidRDefault="00474215" w:rsidP="00502C62">
            <w:pPr>
              <w:widowControl w:val="0"/>
              <w:ind w:left="2200" w:hanging="720"/>
              <w:jc w:val="both"/>
              <w:rPr>
                <w:bCs/>
                <w:iCs/>
              </w:rPr>
            </w:pPr>
            <w:r w:rsidRPr="00DD2185">
              <w:t>a.</w:t>
            </w:r>
            <w:r w:rsidRPr="00DD2185">
              <w:tab/>
              <w:t>Smluvní strany potvrzují, že (i) žádná z aktivit podle této smlouvy nebude probíhat v oblastech omezeného trhu; (</w:t>
            </w:r>
            <w:proofErr w:type="spellStart"/>
            <w:r w:rsidRPr="00DD2185">
              <w:t>ii</w:t>
            </w:r>
            <w:proofErr w:type="spellEnd"/>
            <w:r w:rsidRPr="00DD2185">
              <w:t>) do žádné z aktivit podle této smlouvy nebudou zapojeny osoby s místem pobytu v oblastech omezeného trhu ani osoby, které v takových oblastech běžně pobývají; a (</w:t>
            </w:r>
            <w:proofErr w:type="spellStart"/>
            <w:r w:rsidRPr="00DD2185">
              <w:t>iii</w:t>
            </w:r>
            <w:proofErr w:type="spellEnd"/>
            <w:r w:rsidRPr="00DD2185">
              <w:t>) do žádné z aktivit podle této smlouvy nebudou zapojeny společnosti, organizace ani státní subjekty z oblastí omezeného trhu.  „Oblastí omezeného trhu“ je Krymský poloostrov, Kuba, Doněcká oblast, Írán, Severní Korea a Sýrie.</w:t>
            </w:r>
          </w:p>
        </w:tc>
      </w:tr>
      <w:tr w:rsidR="00474215" w:rsidRPr="00DD2185" w14:paraId="5535FD3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81B9527" w14:textId="77777777" w:rsidR="00474215" w:rsidRPr="00DD2185" w:rsidRDefault="00474215" w:rsidP="00502C62">
            <w:pPr>
              <w:widowControl w:val="0"/>
              <w:tabs>
                <w:tab w:val="left" w:pos="1440"/>
              </w:tabs>
              <w:ind w:left="1440" w:hanging="720"/>
              <w:jc w:val="both"/>
              <w:rPr>
                <w:bCs/>
                <w:iCs/>
              </w:rPr>
            </w:pPr>
          </w:p>
        </w:tc>
      </w:tr>
      <w:tr w:rsidR="00474215" w:rsidRPr="00DD2185" w14:paraId="773893E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33F1C97" w14:textId="77777777" w:rsidR="00474215" w:rsidRPr="00DD2185" w:rsidRDefault="00474215" w:rsidP="00502C62">
            <w:pPr>
              <w:ind w:left="2200" w:hanging="720"/>
              <w:jc w:val="both"/>
              <w:rPr>
                <w:bCs/>
                <w:iCs/>
              </w:rPr>
            </w:pPr>
            <w:r w:rsidRPr="00DD2185">
              <w:t>b.</w:t>
            </w:r>
            <w:r w:rsidRPr="00DD2185">
              <w:tab/>
              <w:t>Každá smluvní strana prohlašuje a zaručuje, že (i) není na seznamech osob s omezením (definovaných níže); (</w:t>
            </w:r>
            <w:proofErr w:type="spellStart"/>
            <w:r w:rsidRPr="00DD2185">
              <w:t>ii</w:t>
            </w:r>
            <w:proofErr w:type="spellEnd"/>
            <w:r w:rsidRPr="00DD2185">
              <w:t>) není ve vlastnictví žádné fyzické nebo právnické osoby vedené na seznamech osob s omezením ani není žádnou takovou osobou ovládána; a (</w:t>
            </w:r>
            <w:proofErr w:type="spellStart"/>
            <w:r w:rsidRPr="00DD2185">
              <w:t>iii</w:t>
            </w:r>
            <w:proofErr w:type="spellEnd"/>
            <w:r w:rsidRPr="00DD2185">
              <w:t>) že do aktivit podle této smlouvy nezapojí žádnou fyzickou ani právnickou osobu vedenou na seznamech osob s omezením. V případě, že je do aktivit podle této smlouvy zapojena fyzická nebo právnická osoba vedená na seznamu osob s omezením, smluvní strana propojená s takovou fyzickou nebo právnickou osobou bude neprodleně informovat druhou smluvní stranu a pozastaví příslušné aktivity, jichž se to týká, včetně veškerých příslušných plateb, dokud se smluvní strany nedohodnou na pokračování.</w:t>
            </w:r>
          </w:p>
        </w:tc>
      </w:tr>
      <w:tr w:rsidR="00474215" w:rsidRPr="00DD2185" w14:paraId="7E25062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08E4CCC" w14:textId="77777777" w:rsidR="00474215" w:rsidRPr="00DD2185" w:rsidRDefault="00474215" w:rsidP="00502C62">
            <w:pPr>
              <w:ind w:left="2200" w:hanging="720"/>
              <w:jc w:val="both"/>
              <w:rPr>
                <w:bCs/>
                <w:iCs/>
              </w:rPr>
            </w:pPr>
          </w:p>
        </w:tc>
      </w:tr>
      <w:tr w:rsidR="00474215" w:rsidRPr="00DD2185" w14:paraId="0E79444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D69CA0D" w14:textId="7B2F5B46" w:rsidR="00474215" w:rsidRPr="00DD2185" w:rsidRDefault="00474215" w:rsidP="00502C62">
            <w:pPr>
              <w:ind w:left="2200" w:hanging="720"/>
              <w:jc w:val="both"/>
              <w:rPr>
                <w:bCs/>
                <w:iCs/>
              </w:rPr>
            </w:pPr>
            <w:r w:rsidRPr="00DD2185">
              <w:t>c.</w:t>
            </w:r>
            <w:r w:rsidRPr="00DD2185">
              <w:tab/>
              <w:t>Pokud jde o tuto smlouvu, patří mezi seznamy osob s omezením Konsolidovaný kontrolní seznam (</w:t>
            </w:r>
            <w:proofErr w:type="spellStart"/>
            <w:r w:rsidRPr="00DD2185">
              <w:t>Consolidated</w:t>
            </w:r>
            <w:proofErr w:type="spellEnd"/>
            <w:r w:rsidRPr="00DD2185">
              <w:t xml:space="preserve"> Screening List, https://www.export.gov/consolidat</w:t>
            </w:r>
            <w:r w:rsidR="000D5FC6" w:rsidRPr="00DD2185">
              <w:t>ed_screening_list)</w:t>
            </w:r>
            <w:r w:rsidRPr="00DD2185">
              <w:t xml:space="preserve"> Seznam vyloučených osob (</w:t>
            </w:r>
            <w:proofErr w:type="spellStart"/>
            <w:r w:rsidRPr="00DD2185">
              <w:t>Excluded</w:t>
            </w:r>
            <w:proofErr w:type="spellEnd"/>
            <w:r w:rsidRPr="00DD2185">
              <w:t xml:space="preserve"> </w:t>
            </w:r>
            <w:proofErr w:type="spellStart"/>
            <w:r w:rsidRPr="00DD2185">
              <w:t>Parties</w:t>
            </w:r>
            <w:proofErr w:type="spellEnd"/>
            <w:r w:rsidRPr="00DD2185">
              <w:t xml:space="preserve"> List </w:t>
            </w:r>
            <w:proofErr w:type="spellStart"/>
            <w:r w:rsidRPr="00DD2185">
              <w:t>System</w:t>
            </w:r>
            <w:proofErr w:type="spellEnd"/>
            <w:r w:rsidRPr="00DD2185">
              <w:t xml:space="preserve"> [https://www.sam.gov]) a Konsolidovaný seznam fyzických a právnických osob a skupin, na které se vztahují finanční sankce Evropské unie (</w:t>
            </w:r>
            <w:proofErr w:type="spellStart"/>
            <w:r w:rsidRPr="00DD2185">
              <w:t>Consolidated</w:t>
            </w:r>
            <w:proofErr w:type="spellEnd"/>
            <w:r w:rsidRPr="00DD2185">
              <w:t xml:space="preserve"> List </w:t>
            </w:r>
            <w:proofErr w:type="spellStart"/>
            <w:r w:rsidRPr="00DD2185">
              <w:t>of</w:t>
            </w:r>
            <w:proofErr w:type="spellEnd"/>
            <w:r w:rsidRPr="00DD2185">
              <w:t xml:space="preserve"> </w:t>
            </w:r>
            <w:proofErr w:type="spellStart"/>
            <w:r w:rsidRPr="00DD2185">
              <w:t>Persons</w:t>
            </w:r>
            <w:proofErr w:type="spellEnd"/>
            <w:r w:rsidRPr="00DD2185">
              <w:t xml:space="preserve">, </w:t>
            </w:r>
            <w:proofErr w:type="spellStart"/>
            <w:r w:rsidRPr="00DD2185">
              <w:t>Groups</w:t>
            </w:r>
            <w:proofErr w:type="spellEnd"/>
            <w:r w:rsidRPr="00DD2185">
              <w:t xml:space="preserve">, and </w:t>
            </w:r>
            <w:proofErr w:type="spellStart"/>
            <w:r w:rsidRPr="00DD2185">
              <w:t>Entities</w:t>
            </w:r>
            <w:proofErr w:type="spellEnd"/>
            <w:r w:rsidRPr="00DD2185">
              <w:t xml:space="preserve"> </w:t>
            </w:r>
            <w:proofErr w:type="spellStart"/>
            <w:r w:rsidRPr="00DD2185">
              <w:t>Subject</w:t>
            </w:r>
            <w:proofErr w:type="spellEnd"/>
            <w:r w:rsidRPr="00DD2185">
              <w:t xml:space="preserve"> to E.U. </w:t>
            </w:r>
            <w:proofErr w:type="spellStart"/>
            <w:r w:rsidRPr="00DD2185">
              <w:t>Financial</w:t>
            </w:r>
            <w:proofErr w:type="spellEnd"/>
            <w:r w:rsidRPr="00DD2185">
              <w:t xml:space="preserve"> </w:t>
            </w:r>
            <w:proofErr w:type="spellStart"/>
            <w:r w:rsidRPr="00DD2185">
              <w:t>Sanctions</w:t>
            </w:r>
            <w:proofErr w:type="spellEnd"/>
            <w:r w:rsidRPr="00DD2185">
              <w:t xml:space="preserve"> https://eeas.europa.eu/headquarters/headquarters-homepage/8442/consolidated-list-sanctions_en).</w:t>
            </w:r>
          </w:p>
        </w:tc>
      </w:tr>
      <w:tr w:rsidR="00474215" w:rsidRPr="00DD2185" w14:paraId="2391401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D3DB68E" w14:textId="77777777" w:rsidR="00474215" w:rsidRPr="00DD2185" w:rsidRDefault="00474215" w:rsidP="00502C62">
            <w:pPr>
              <w:jc w:val="both"/>
              <w:rPr>
                <w:bCs/>
                <w:iCs/>
              </w:rPr>
            </w:pPr>
          </w:p>
        </w:tc>
      </w:tr>
      <w:tr w:rsidR="00474215" w:rsidRPr="00DD2185" w14:paraId="527F8B7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654E91C" w14:textId="6B1DE068" w:rsidR="00474215" w:rsidRPr="00DD2185" w:rsidRDefault="00474215" w:rsidP="00502C62">
            <w:pPr>
              <w:widowControl w:val="0"/>
              <w:tabs>
                <w:tab w:val="left" w:pos="1440"/>
              </w:tabs>
              <w:ind w:left="1440" w:hanging="720"/>
              <w:jc w:val="both"/>
              <w:rPr>
                <w:bCs/>
                <w:iCs/>
                <w:highlight w:val="yellow"/>
              </w:rPr>
            </w:pPr>
            <w:r w:rsidRPr="00DD2185">
              <w:t>1.5</w:t>
            </w:r>
            <w:r w:rsidRPr="00DD2185">
              <w:tab/>
            </w:r>
            <w:r w:rsidRPr="00DD2185">
              <w:rPr>
                <w:u w:val="single"/>
              </w:rPr>
              <w:t>Etická komise / Státní ústav pro kontrolu léčiv</w:t>
            </w:r>
            <w:r w:rsidRPr="00DD2185">
              <w:t>. Před zahájením studie společnost Pfizer získá nebo zajistí třetí stranu, která získá, schválení studie a formuláře informovaného souhlasu Státním ústavem pro kontrolu léčiv („</w:t>
            </w:r>
            <w:r w:rsidRPr="00DD2185">
              <w:rPr>
                <w:b/>
                <w:bCs/>
              </w:rPr>
              <w:t>SÚKL</w:t>
            </w:r>
            <w:r w:rsidRPr="00DD2185">
              <w:t xml:space="preserve">“) a etickou komisí.  Společnost Pfizer vynaloží přiměřené úsilí, aby zajistila, že studie bude podléhat trvalému dohledu etické komise/SÚKL po celou dobu jejího provádění.  V případě multicentrických studií společnost Pfizer předloží žádost o stanovisko pouze jedné etické komisi pro multicentrickou studii a zároveň předloží žádost o stanovisko etické komisi </w:t>
            </w:r>
            <w:r w:rsidRPr="00DD2185">
              <w:lastRenderedPageBreak/>
              <w:t xml:space="preserve">zařízení, v nichž by měla být příslušná klinická studie prováděna.  Pokud pro některé z pracovišť plánovaného provádění klinické studie nebyla žádná etická komise zřízena, měla by pro takové pracoviště poskytnout své stanovisko etická komise pro multicentrickou studii. </w:t>
            </w:r>
          </w:p>
        </w:tc>
      </w:tr>
      <w:tr w:rsidR="00474215" w:rsidRPr="00DD2185" w14:paraId="2703D35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521A6AB" w14:textId="77777777" w:rsidR="00474215" w:rsidRPr="00DD2185" w:rsidRDefault="00474215" w:rsidP="00474215">
            <w:pPr>
              <w:widowControl w:val="0"/>
            </w:pPr>
          </w:p>
        </w:tc>
      </w:tr>
      <w:tr w:rsidR="002D355A" w:rsidRPr="00DD2185" w14:paraId="756A81B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tbl>
            <w:tblPr>
              <w:tblStyle w:val="TableGrid"/>
              <w:tblW w:w="4967" w:type="pct"/>
              <w:tblLayout w:type="fixed"/>
              <w:tblLook w:val="04A0" w:firstRow="1" w:lastRow="0" w:firstColumn="1" w:lastColumn="0" w:noHBand="0" w:noVBand="1"/>
            </w:tblPr>
            <w:tblGrid>
              <w:gridCol w:w="8756"/>
            </w:tblGrid>
            <w:tr w:rsidR="002D355A" w:rsidRPr="00DD2185" w14:paraId="05E90511" w14:textId="77777777" w:rsidTr="000463C0">
              <w:tc>
                <w:tcPr>
                  <w:tcW w:w="9030" w:type="dxa"/>
                  <w:tcBorders>
                    <w:top w:val="nil"/>
                    <w:left w:val="nil"/>
                    <w:bottom w:val="nil"/>
                    <w:right w:val="nil"/>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8540"/>
                  </w:tblGrid>
                  <w:tr w:rsidR="002D355A" w:rsidRPr="00DD2185" w14:paraId="02A10B71" w14:textId="77777777" w:rsidTr="000463C0">
                    <w:tc>
                      <w:tcPr>
                        <w:tcW w:w="9026" w:type="dxa"/>
                        <w:tcMar>
                          <w:right w:w="173" w:type="dxa"/>
                        </w:tcMar>
                      </w:tcPr>
                      <w:p w14:paraId="532EDDB6" w14:textId="77777777" w:rsidR="000B5A9F" w:rsidRPr="00DD2185" w:rsidRDefault="000B5A9F" w:rsidP="009E493E">
                        <w:pPr>
                          <w:keepLines/>
                          <w:widowControl w:val="0"/>
                          <w:jc w:val="both"/>
                        </w:pPr>
                        <w:r w:rsidRPr="00DD2185">
                          <w:t>2.</w:t>
                        </w:r>
                        <w:r w:rsidRPr="00DD2185">
                          <w:tab/>
                        </w:r>
                        <w:r w:rsidRPr="00DD2185">
                          <w:rPr>
                            <w:u w:val="single"/>
                          </w:rPr>
                          <w:t>Financování</w:t>
                        </w:r>
                        <w:r w:rsidRPr="00DD2185">
                          <w:t xml:space="preserve">.  Společnost Pfizer poskytne zdravotnickému zařízení finanční odměnu za jeho služby a použití jeho prostor pro studii, jak je uvedeno v </w:t>
                        </w:r>
                        <w:r w:rsidRPr="00DD2185">
                          <w:rPr>
                            <w:b/>
                            <w:i/>
                          </w:rPr>
                          <w:t>příloze A „Rozpočet studie a platební podmínky“</w:t>
                        </w:r>
                        <w:r w:rsidRPr="00DD2185">
                          <w:t xml:space="preserve"> a podle podmínek stanovených v této příloze.  Poskytovatel potvrzuje, že platby, které obdrží, splňují platné právní předpisy a veškeré platné zásady a postupy poskytovatele. Poskytovatel tímto souhlasí s poskytnutím této smlouvy etické komisi poskytovatele a etické komisi pro multicentrickou studii pro odůvodnění podmínek studie v souladu se zákonem o léčivech. Společnost Pfizer poskytne finanční odměnu hlavnímu zkoušejícímu (a případně ostatním delegovaným členům studijního týmu) za aktivity při provádění studie podle smlouvy uzavřené mezi společností Pfizer a hlavním zkoušejícím (a případně ostatními členy studijního týmu), přičemž odměny podle takových samostatných smluv budou v souladu s pravidly zdravotnického zařízení a v souladu s podíly určenými zdravotnickým zařízením v Příloze A této smlouvy.</w:t>
                        </w:r>
                        <w:r w:rsidR="009B57AE" w:rsidRPr="00DD2185">
                          <w:t xml:space="preserve"> </w:t>
                        </w:r>
                      </w:p>
                      <w:p w14:paraId="46C6E8BA" w14:textId="77777777" w:rsidR="009B57AE" w:rsidRPr="00DD2185" w:rsidRDefault="009B57AE" w:rsidP="009B57AE">
                        <w:pPr>
                          <w:pStyle w:val="CommentText"/>
                          <w:jc w:val="both"/>
                          <w:rPr>
                            <w:sz w:val="24"/>
                            <w:szCs w:val="24"/>
                          </w:rPr>
                        </w:pPr>
                        <w:r w:rsidRPr="00DD2185">
                          <w:rPr>
                            <w:sz w:val="24"/>
                            <w:szCs w:val="24"/>
                          </w:rPr>
                          <w:t>Zdravotnické zařízení neodpovídá za řádné zdanění finanční odměny pro hlavního zkoušejícího a ostatní delegované členy studijního týmu.</w:t>
                        </w:r>
                      </w:p>
                      <w:p w14:paraId="2CDF03C9" w14:textId="117BBDD9" w:rsidR="009B57AE" w:rsidRPr="00DD2185" w:rsidRDefault="009B57AE" w:rsidP="009E493E">
                        <w:pPr>
                          <w:keepLines/>
                          <w:widowControl w:val="0"/>
                          <w:jc w:val="both"/>
                        </w:pPr>
                      </w:p>
                    </w:tc>
                  </w:tr>
                </w:tbl>
                <w:p w14:paraId="7740A439" w14:textId="77777777" w:rsidR="000B5A9F" w:rsidRPr="00DD2185" w:rsidRDefault="000B5A9F" w:rsidP="000B5A9F">
                  <w:pPr>
                    <w:widowControl w:val="0"/>
                  </w:pPr>
                </w:p>
              </w:tc>
            </w:tr>
          </w:tbl>
          <w:p w14:paraId="58815A1A" w14:textId="77777777" w:rsidR="000B5A9F" w:rsidRPr="00DD2185" w:rsidRDefault="000B5A9F" w:rsidP="000D5FC6">
            <w:pPr>
              <w:widowControl w:val="0"/>
              <w:tabs>
                <w:tab w:val="left" w:pos="1440"/>
              </w:tabs>
              <w:ind w:left="1440" w:hanging="720"/>
              <w:jc w:val="both"/>
            </w:pPr>
          </w:p>
        </w:tc>
      </w:tr>
      <w:tr w:rsidR="000B5A9F" w:rsidRPr="00DD2185" w14:paraId="0FAB9EE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EEE8686" w14:textId="77777777" w:rsidR="000B5A9F" w:rsidRPr="00DD2185" w:rsidRDefault="000B5A9F" w:rsidP="000D5FC6">
            <w:pPr>
              <w:widowControl w:val="0"/>
              <w:tabs>
                <w:tab w:val="left" w:pos="1440"/>
              </w:tabs>
              <w:ind w:left="1440" w:hanging="720"/>
              <w:jc w:val="both"/>
            </w:pPr>
          </w:p>
        </w:tc>
      </w:tr>
      <w:tr w:rsidR="00474215" w:rsidRPr="00DD2185" w14:paraId="3AC8EA4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8CFE675" w14:textId="189F5233" w:rsidR="00474215" w:rsidRPr="00DD2185" w:rsidRDefault="00474215" w:rsidP="000D5FC6">
            <w:pPr>
              <w:widowControl w:val="0"/>
              <w:tabs>
                <w:tab w:val="left" w:pos="1440"/>
              </w:tabs>
              <w:ind w:left="1440" w:hanging="720"/>
              <w:jc w:val="both"/>
            </w:pPr>
            <w:r w:rsidRPr="00DD2185">
              <w:t>2.1</w:t>
            </w:r>
            <w:r w:rsidRPr="00DD2185">
              <w:tab/>
            </w:r>
            <w:r w:rsidRPr="00DD2185">
              <w:rPr>
                <w:u w:val="single"/>
              </w:rPr>
              <w:t>Setkání zkoušejících</w:t>
            </w:r>
            <w:r w:rsidRPr="00DD2185">
              <w:t>.   Pokud se od hlavního zkoušejícího nebo jiných pracovníků studie vyžaduje účast na setkání zkoušejících pro tuto studii, společnost Pfizer zařídí a přímo uhradí dopravu a ubytování a pokryje přiměřené náklady na stravování v souvislosti s těmito schůzkami, nebude však za takovou účast poskytovat odměnu.  Je-li nutné, aby zdravotnické zařízení dalo svolení k účasti hlavního zkoušejícího na takových setkáních, nebude takové svolení neodůvodněně odmítnuto ani uděleno opožděně.</w:t>
            </w:r>
          </w:p>
        </w:tc>
      </w:tr>
      <w:tr w:rsidR="00474215" w:rsidRPr="00DD2185" w14:paraId="7C6AB8D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8D05C1E" w14:textId="77777777" w:rsidR="00474215" w:rsidRPr="00DD2185" w:rsidRDefault="00474215" w:rsidP="000D5FC6">
            <w:pPr>
              <w:widowControl w:val="0"/>
              <w:tabs>
                <w:tab w:val="left" w:pos="1440"/>
              </w:tabs>
              <w:jc w:val="both"/>
            </w:pPr>
          </w:p>
        </w:tc>
      </w:tr>
      <w:tr w:rsidR="00474215" w:rsidRPr="00DD2185" w14:paraId="552FC9B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5414CE6" w14:textId="77777777" w:rsidR="00474215" w:rsidRPr="00DD2185" w:rsidRDefault="00474215" w:rsidP="000D5FC6">
            <w:pPr>
              <w:widowControl w:val="0"/>
              <w:tabs>
                <w:tab w:val="left" w:pos="1440"/>
              </w:tabs>
              <w:ind w:left="1440" w:hanging="720"/>
              <w:jc w:val="both"/>
            </w:pPr>
            <w:r w:rsidRPr="00DD2185">
              <w:t>2.2</w:t>
            </w:r>
            <w:r w:rsidRPr="00DD2185">
              <w:tab/>
            </w:r>
            <w:r w:rsidRPr="00DD2185">
              <w:rPr>
                <w:u w:val="single"/>
              </w:rPr>
              <w:t>Zveřejnění informací společností Pfizer</w:t>
            </w:r>
            <w:r w:rsidRPr="00DD2185">
              <w:t xml:space="preserve">.  V zájmu transparentnosti svých vztahů se zkoušejícími a pracovišti studie nebo z důvodu zajištění dodržování příslušných právních předpisů může společnost Pfizer zveřejnit podporu, kterou podle této smlouvy poskytuje.  Takové zveřejnění společností Pfizer může identifikovat zdravotnické zařízení i hlavního zkoušejícího, ale bude zřetelně rozlišovat mezi platbami a jinými převody aktiv ve prospěch institucí a ve prospěch fyzických osob.    </w:t>
            </w:r>
          </w:p>
        </w:tc>
      </w:tr>
      <w:tr w:rsidR="00474215" w:rsidRPr="00DD2185" w14:paraId="27279E3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55ACAED" w14:textId="77777777" w:rsidR="00474215" w:rsidRPr="00DD2185" w:rsidRDefault="00474215" w:rsidP="000D5FC6">
            <w:pPr>
              <w:widowControl w:val="0"/>
              <w:jc w:val="both"/>
            </w:pPr>
          </w:p>
        </w:tc>
      </w:tr>
      <w:tr w:rsidR="00474215" w:rsidRPr="00DD2185" w14:paraId="79084D8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5EDA60F" w14:textId="77777777" w:rsidR="00474215" w:rsidRPr="00DD2185" w:rsidRDefault="00474215" w:rsidP="000D5FC6">
            <w:pPr>
              <w:widowControl w:val="0"/>
              <w:tabs>
                <w:tab w:val="left" w:pos="720"/>
              </w:tabs>
              <w:ind w:left="720" w:hanging="720"/>
              <w:jc w:val="both"/>
            </w:pPr>
            <w:r w:rsidRPr="00DD2185">
              <w:t>3.</w:t>
            </w:r>
            <w:r w:rsidRPr="00DD2185">
              <w:tab/>
            </w:r>
            <w:r w:rsidRPr="00DD2185">
              <w:rPr>
                <w:u w:val="single"/>
              </w:rPr>
              <w:t>Protokol</w:t>
            </w:r>
            <w:r w:rsidRPr="00DD2185">
              <w:t>.  Hlavní zkoušející bude provádět studii a hlavní zkoušející a zdravotnické zařízení budou provádět všechny aktivity související se studií v souladu s protokolem, mimo jiné včetně požadavků spojených se schválením institucionální hodnotící komisí nebo nezávislou etickou komisí („</w:t>
            </w:r>
            <w:r w:rsidRPr="00DD2185">
              <w:rPr>
                <w:b/>
                <w:bCs/>
              </w:rPr>
              <w:t>IRB/NEK</w:t>
            </w:r>
            <w:r w:rsidRPr="00DD2185">
              <w:t>“) a hlášením nežádoucích příhod.</w:t>
            </w:r>
          </w:p>
        </w:tc>
      </w:tr>
      <w:tr w:rsidR="00474215" w:rsidRPr="00DD2185" w14:paraId="6546FD9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E92800B" w14:textId="77777777" w:rsidR="00474215" w:rsidRPr="00DD2185" w:rsidRDefault="00474215" w:rsidP="00474215">
            <w:pPr>
              <w:widowControl w:val="0"/>
            </w:pPr>
          </w:p>
        </w:tc>
      </w:tr>
      <w:tr w:rsidR="00474215" w:rsidRPr="00DD2185" w14:paraId="67DE012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F7B4A4B" w14:textId="18D79566" w:rsidR="00474215" w:rsidRPr="00DD2185" w:rsidRDefault="00474215" w:rsidP="000D5FC6">
            <w:pPr>
              <w:widowControl w:val="0"/>
              <w:tabs>
                <w:tab w:val="left" w:pos="1440"/>
              </w:tabs>
              <w:ind w:left="1440" w:hanging="720"/>
              <w:jc w:val="both"/>
            </w:pPr>
            <w:r w:rsidRPr="00DD2185">
              <w:t>3.1</w:t>
            </w:r>
            <w:r w:rsidRPr="00DD2185">
              <w:tab/>
            </w:r>
            <w:r w:rsidRPr="00DD2185">
              <w:rPr>
                <w:u w:val="single"/>
              </w:rPr>
              <w:t>Dodatky</w:t>
            </w:r>
            <w:r w:rsidRPr="00DD2185">
              <w:t>.  Protokol může být upraven pouze písemným dodatkem schváleným společností Pfizer, hlavním zkoušejícím, odpovědnou IRB/NEK a SÚKL („</w:t>
            </w:r>
            <w:r w:rsidRPr="00DD2185">
              <w:rPr>
                <w:b/>
                <w:bCs/>
              </w:rPr>
              <w:t>dodatek</w:t>
            </w:r>
            <w:r w:rsidRPr="00DD2185">
              <w:t xml:space="preserve">“), s výjimkou naléhavých změn nezbytných k ochraně bezpečnosti subjektů hodnocení (definovaných ve článku 4 „Zařazování subjektů do studie“) tak, jak je popsáno v protokolu.  Pokud je v akutním </w:t>
            </w:r>
            <w:r w:rsidRPr="00DD2185">
              <w:lastRenderedPageBreak/>
              <w:t>případě nutné odchýlení od protokolu pro zajištění bezpečnosti subjektů, které právě podstupují léčbu, hlavní zkoušející o tom bude informovat společnost Pfizer, odpovědnou etickou komisi a SÚKL (v příslušném případě), a to co nejdříve to bude možné, v každém případě však nejpozději do jednoho kalendářního dne po provedení změny.  Žádná taková změna provedená pro bezpečnost subjektů hodnocení, které právě podstupují léčbu, se nebude vztahovat na žádné budoucí subjekty hodnocení, pokud nebude schválena společností Pfizer a odpovědnou etickou komisí a SÚKL (v příslušném případě) a doložena jako písemný dodatek k protokolu.</w:t>
            </w:r>
          </w:p>
        </w:tc>
      </w:tr>
      <w:tr w:rsidR="00474215" w:rsidRPr="00DD2185" w14:paraId="0F23E93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AE004C5" w14:textId="77777777" w:rsidR="00474215" w:rsidRPr="00DD2185" w:rsidRDefault="00474215" w:rsidP="000D5FC6">
            <w:pPr>
              <w:widowControl w:val="0"/>
              <w:tabs>
                <w:tab w:val="left" w:pos="1440"/>
              </w:tabs>
              <w:jc w:val="both"/>
            </w:pPr>
          </w:p>
        </w:tc>
      </w:tr>
      <w:tr w:rsidR="00474215" w:rsidRPr="00DD2185" w14:paraId="48ABAFB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FB688D1" w14:textId="77777777" w:rsidR="00474215" w:rsidRPr="00DD2185" w:rsidRDefault="00474215" w:rsidP="000D5FC6">
            <w:pPr>
              <w:widowControl w:val="0"/>
              <w:tabs>
                <w:tab w:val="left" w:pos="1440"/>
              </w:tabs>
              <w:ind w:left="1440" w:hanging="720"/>
              <w:jc w:val="both"/>
            </w:pPr>
            <w:r w:rsidRPr="00DD2185">
              <w:t>3.2</w:t>
            </w:r>
            <w:r w:rsidRPr="00DD2185">
              <w:tab/>
            </w:r>
            <w:r w:rsidRPr="00DD2185">
              <w:rPr>
                <w:u w:val="single"/>
              </w:rPr>
              <w:t>Žádný další výzkum</w:t>
            </w:r>
            <w:r w:rsidRPr="00DD2185">
              <w:t xml:space="preserve">.  Během provádění studie nesmí být na subjektech hodnocení (dle definice ve článku 4 „Zařazování subjektů do studie“) ani na biologických vzorcích odebraných během provádění studie prováděn žádný další </w:t>
            </w:r>
            <w:proofErr w:type="gramStart"/>
            <w:r w:rsidRPr="00DD2185">
              <w:t>výzkum,  pokud</w:t>
            </w:r>
            <w:proofErr w:type="gramEnd"/>
            <w:r w:rsidRPr="00DD2185">
              <w:t xml:space="preserve"> to není schváleno společností Pfizer a zdokumentováno jako dodatek k protokolu nebo učiněno za vzájemně dohodnutých podmínek, které jsou smluvními stranami zdokumentovány jinak.  </w:t>
            </w:r>
          </w:p>
        </w:tc>
      </w:tr>
      <w:tr w:rsidR="00474215" w:rsidRPr="00DD2185" w14:paraId="50778EF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D80C7A2" w14:textId="77777777" w:rsidR="00474215" w:rsidRPr="00DD2185" w:rsidRDefault="00474215" w:rsidP="00474215">
            <w:pPr>
              <w:widowControl w:val="0"/>
              <w:tabs>
                <w:tab w:val="left" w:pos="1440"/>
              </w:tabs>
            </w:pPr>
          </w:p>
        </w:tc>
      </w:tr>
      <w:tr w:rsidR="00474215" w:rsidRPr="00DD2185" w14:paraId="5FB59A5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5B51A10" w14:textId="41D01332" w:rsidR="00474215" w:rsidRPr="00DD2185" w:rsidRDefault="00474215" w:rsidP="00641462">
            <w:pPr>
              <w:widowControl w:val="0"/>
              <w:tabs>
                <w:tab w:val="left" w:pos="720"/>
              </w:tabs>
              <w:ind w:left="720" w:hanging="720"/>
              <w:jc w:val="both"/>
            </w:pPr>
            <w:r w:rsidRPr="00DD2185">
              <w:t>4.</w:t>
            </w:r>
            <w:r w:rsidRPr="00DD2185">
              <w:tab/>
            </w:r>
            <w:r w:rsidRPr="00DD2185">
              <w:rPr>
                <w:u w:val="single"/>
              </w:rPr>
              <w:t>Zařazování subjektů do studie</w:t>
            </w:r>
            <w:r w:rsidR="00502C62" w:rsidRPr="00DD2185">
              <w:t>.</w:t>
            </w:r>
            <w:r w:rsidRPr="00DD2185">
              <w:t xml:space="preserve"> Hlavní zkoušející a zdravotnické zařízení (prostřednictvím jednání hlavního zkoušejícího) souhlasili s tím, že zařadí do studie nejméně</w:t>
            </w:r>
            <w:r w:rsidR="009E493E" w:rsidRPr="00DD2185">
              <w:t xml:space="preserve"> </w:t>
            </w:r>
            <w:proofErr w:type="spellStart"/>
            <w:r w:rsidR="00212BD2" w:rsidRPr="00212BD2">
              <w:rPr>
                <w:highlight w:val="black"/>
              </w:rPr>
              <w:t>xxxxxxxx</w:t>
            </w:r>
            <w:proofErr w:type="spellEnd"/>
            <w:r w:rsidR="009E493E" w:rsidRPr="00DD2185">
              <w:t xml:space="preserve">, avšak ne více než </w:t>
            </w:r>
            <w:proofErr w:type="spellStart"/>
            <w:r w:rsidR="00212BD2" w:rsidRPr="00212BD2">
              <w:rPr>
                <w:highlight w:val="black"/>
              </w:rPr>
              <w:t>xxxxxxxxx</w:t>
            </w:r>
            <w:proofErr w:type="spellEnd"/>
            <w:r w:rsidR="009E493E" w:rsidRPr="00DD2185">
              <w:t xml:space="preserve"> způsobilých účastníků studie, a to do </w:t>
            </w:r>
            <w:proofErr w:type="spellStart"/>
            <w:r w:rsidR="00212BD2" w:rsidRPr="00212BD2">
              <w:rPr>
                <w:highlight w:val="black"/>
              </w:rPr>
              <w:t>xxxxxxxxxxxx</w:t>
            </w:r>
            <w:proofErr w:type="spellEnd"/>
            <w:r w:rsidRPr="00DD2185">
              <w:t>, pokud společnost Pfizer neupraví tuto období pro zařazení subjektů do studie písemným oznámením.  Způsobilý účastník je osoba, která splňuje všechna kritéria protokolu pro zařazení d</w:t>
            </w:r>
            <w:r w:rsidR="00641462" w:rsidRPr="00DD2185">
              <w:t>o studie („subjekt hodnocení“).</w:t>
            </w:r>
          </w:p>
        </w:tc>
      </w:tr>
      <w:tr w:rsidR="00474215" w:rsidRPr="00DD2185" w14:paraId="76B3AFF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4EF2D8F" w14:textId="77777777" w:rsidR="00474215" w:rsidRPr="00DD2185" w:rsidRDefault="00474215" w:rsidP="000D5FC6">
            <w:pPr>
              <w:widowControl w:val="0"/>
              <w:jc w:val="both"/>
            </w:pPr>
          </w:p>
        </w:tc>
      </w:tr>
      <w:tr w:rsidR="00474215" w:rsidRPr="00DD2185" w14:paraId="011EE55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673BCCD" w14:textId="0C1C8634" w:rsidR="00474215" w:rsidRPr="00DD2185" w:rsidRDefault="00474215" w:rsidP="000D5FC6">
            <w:pPr>
              <w:widowControl w:val="0"/>
              <w:tabs>
                <w:tab w:val="left" w:pos="1440"/>
              </w:tabs>
              <w:ind w:left="1440" w:hanging="720"/>
              <w:jc w:val="both"/>
            </w:pPr>
            <w:r w:rsidRPr="00DD2185">
              <w:t>4.1</w:t>
            </w:r>
            <w:r w:rsidRPr="00DD2185">
              <w:tab/>
            </w:r>
            <w:r w:rsidRPr="00DD2185">
              <w:rPr>
                <w:u w:val="single"/>
              </w:rPr>
              <w:t>Multicentrické studie</w:t>
            </w:r>
            <w:r w:rsidRPr="00DD2185">
              <w:t>.  Společnost Pfizer může předčasně ukončit zařazování subjektů hodnocení písemným oznámením, pokud bylo dosaženo celkového počtu zařazených potřebného pro multicentrickou studii před koncem období zařazování pro tuto studii nebo před tím, než hlavní zkoušející a zdravotnické zařízení (prostřednictvím aktivit hlavního zkoušejícího) zařadili minimální počet subjektů hodnocení.</w:t>
            </w:r>
          </w:p>
        </w:tc>
      </w:tr>
      <w:tr w:rsidR="00474215" w:rsidRPr="00DD2185" w14:paraId="522A92E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E049DE8" w14:textId="77777777" w:rsidR="00474215" w:rsidRPr="00DD2185" w:rsidRDefault="00474215" w:rsidP="00474215">
            <w:pPr>
              <w:widowControl w:val="0"/>
              <w:rPr>
                <w:i/>
                <w:color w:val="0000FF"/>
              </w:rPr>
            </w:pPr>
          </w:p>
        </w:tc>
      </w:tr>
      <w:tr w:rsidR="00474215" w:rsidRPr="00DD2185" w14:paraId="5390F8B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65204DA" w14:textId="77777777" w:rsidR="00474215" w:rsidRPr="00DD2185" w:rsidRDefault="00474215" w:rsidP="000D5FC6">
            <w:pPr>
              <w:widowControl w:val="0"/>
              <w:tabs>
                <w:tab w:val="left" w:pos="720"/>
              </w:tabs>
              <w:ind w:left="720" w:hanging="720"/>
              <w:jc w:val="both"/>
              <w:rPr>
                <w:u w:val="single"/>
              </w:rPr>
            </w:pPr>
            <w:r w:rsidRPr="00DD2185">
              <w:t>5.</w:t>
            </w:r>
            <w:r w:rsidRPr="00DD2185">
              <w:tab/>
            </w:r>
            <w:r w:rsidRPr="00DD2185">
              <w:rPr>
                <w:u w:val="single"/>
              </w:rPr>
              <w:t>Provádění studie.</w:t>
            </w:r>
          </w:p>
        </w:tc>
      </w:tr>
      <w:tr w:rsidR="00474215" w:rsidRPr="00DD2185" w14:paraId="3C21126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BA32075" w14:textId="77777777" w:rsidR="00474215" w:rsidRPr="00DD2185" w:rsidRDefault="00474215" w:rsidP="000D5FC6">
            <w:pPr>
              <w:widowControl w:val="0"/>
              <w:tabs>
                <w:tab w:val="left" w:pos="720"/>
              </w:tabs>
              <w:jc w:val="both"/>
            </w:pPr>
          </w:p>
        </w:tc>
      </w:tr>
      <w:tr w:rsidR="00474215" w:rsidRPr="00DD2185" w14:paraId="1101C07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BCAE00A" w14:textId="5DF0BE66" w:rsidR="00474215" w:rsidRPr="00DD2185" w:rsidRDefault="00474215" w:rsidP="000D5FC6">
            <w:pPr>
              <w:widowControl w:val="0"/>
              <w:tabs>
                <w:tab w:val="left" w:pos="1440"/>
              </w:tabs>
              <w:ind w:left="1440" w:hanging="720"/>
              <w:jc w:val="both"/>
            </w:pPr>
            <w:r w:rsidRPr="00DD2185">
              <w:t>5.1</w:t>
            </w:r>
            <w:r w:rsidRPr="00DD2185">
              <w:tab/>
            </w:r>
            <w:r w:rsidRPr="00DD2185">
              <w:rPr>
                <w:u w:val="single"/>
              </w:rPr>
              <w:t>Účtování poplatků subjektům hodnocení</w:t>
            </w:r>
            <w:r w:rsidRPr="00DD2185">
              <w:t>.  Hlavní zkoušející ani zdravotnické zařízení nebudou subjektům hodnocení ani třetím stranám nic účtovat za hodnocené léčivo (viz článek 8 „Hodnocené léčivo“) ani za žádné služby, které jsou na základě této smlouvy hrazeny společností Pfizer.</w:t>
            </w:r>
          </w:p>
        </w:tc>
      </w:tr>
      <w:tr w:rsidR="00474215" w:rsidRPr="00DD2185" w14:paraId="43F8F9B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B407C9B" w14:textId="77777777" w:rsidR="00474215" w:rsidRPr="00DD2185" w:rsidRDefault="00474215" w:rsidP="000D5FC6">
            <w:pPr>
              <w:widowControl w:val="0"/>
              <w:tabs>
                <w:tab w:val="left" w:pos="1440"/>
              </w:tabs>
              <w:jc w:val="both"/>
            </w:pPr>
          </w:p>
        </w:tc>
      </w:tr>
      <w:tr w:rsidR="00474215" w:rsidRPr="00DD2185" w14:paraId="606AA6C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19085D2" w14:textId="65118495" w:rsidR="00474215" w:rsidRPr="00DD2185" w:rsidRDefault="00474215" w:rsidP="000D5FC6">
            <w:pPr>
              <w:widowControl w:val="0"/>
              <w:tabs>
                <w:tab w:val="left" w:pos="1440"/>
              </w:tabs>
              <w:ind w:left="1440" w:hanging="720"/>
              <w:jc w:val="both"/>
            </w:pPr>
            <w:r w:rsidRPr="00DD2185">
              <w:t>5.2</w:t>
            </w:r>
            <w:r w:rsidRPr="00DD2185">
              <w:tab/>
            </w:r>
            <w:r w:rsidRPr="00DD2185">
              <w:rPr>
                <w:u w:val="single"/>
              </w:rPr>
              <w:t>Bezpečnostní opatření a závažná porušení protokolu nebo SKP ICH</w:t>
            </w:r>
            <w:r w:rsidRPr="00DD2185">
              <w:t xml:space="preserve">.  Hlavní zkoušející a zdravotnické zařízení (přímo, nebo prostřednictvím hlavního zkoušejícího) budou neprodleně informovat společnost Pfizer o jakýchkoli urgentních bezpečnostních opatřeních přijatých hlavním zkoušejícím k ochraně subjektů hodnocení před okamžitým nebezpečím.  Hlavní zkoušející a zdravotnické zařízení (přímo, nebo prostřednictvím hlavního zkoušejícího) budou neprodleně informovat společnost Pfizer o jakýchkoli závažných porušeních protokolu nebo zásad SKP ICH, o nichž se hlavní zkoušející nebo zdravotnické zařízení dozví.  </w:t>
            </w:r>
          </w:p>
        </w:tc>
      </w:tr>
      <w:tr w:rsidR="00474215" w:rsidRPr="00DD2185" w14:paraId="3A17436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68DD452" w14:textId="77777777" w:rsidR="00474215" w:rsidRPr="00DD2185" w:rsidRDefault="00474215" w:rsidP="000D5FC6">
            <w:pPr>
              <w:widowControl w:val="0"/>
              <w:tabs>
                <w:tab w:val="left" w:pos="1440"/>
              </w:tabs>
              <w:jc w:val="both"/>
            </w:pPr>
          </w:p>
        </w:tc>
      </w:tr>
      <w:tr w:rsidR="00474215" w:rsidRPr="00DD2185" w14:paraId="5A532CA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0D29962" w14:textId="77777777" w:rsidR="00474215" w:rsidRPr="00DD2185" w:rsidRDefault="00474215" w:rsidP="000D5FC6">
            <w:pPr>
              <w:widowControl w:val="0"/>
              <w:tabs>
                <w:tab w:val="left" w:pos="720"/>
              </w:tabs>
              <w:ind w:left="720" w:hanging="720"/>
              <w:jc w:val="both"/>
            </w:pPr>
            <w:r w:rsidRPr="00DD2185">
              <w:t>6.</w:t>
            </w:r>
            <w:r w:rsidRPr="00DD2185">
              <w:tab/>
            </w:r>
            <w:r w:rsidRPr="00DD2185">
              <w:rPr>
                <w:u w:val="single"/>
              </w:rPr>
              <w:t>Ochrana osobních údajů a sdělování finančních informací FDA</w:t>
            </w:r>
          </w:p>
        </w:tc>
      </w:tr>
      <w:tr w:rsidR="00474215" w:rsidRPr="00DD2185" w14:paraId="622557B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3E5CE3A" w14:textId="77777777" w:rsidR="00474215" w:rsidRPr="00DD2185" w:rsidRDefault="00474215" w:rsidP="000D5FC6">
            <w:pPr>
              <w:pStyle w:val="Footer"/>
              <w:widowControl w:val="0"/>
              <w:jc w:val="both"/>
            </w:pPr>
          </w:p>
        </w:tc>
      </w:tr>
      <w:tr w:rsidR="00474215" w:rsidRPr="00DD2185" w14:paraId="031F388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1747A47" w14:textId="77777777" w:rsidR="00860B8F" w:rsidRPr="00DD2185" w:rsidRDefault="00860B8F" w:rsidP="000D5FC6">
            <w:pPr>
              <w:numPr>
                <w:ilvl w:val="2"/>
                <w:numId w:val="10"/>
              </w:numPr>
              <w:tabs>
                <w:tab w:val="clear" w:pos="2880"/>
              </w:tabs>
              <w:ind w:left="2268" w:hanging="850"/>
              <w:jc w:val="both"/>
            </w:pPr>
            <w:r w:rsidRPr="00DD2185">
              <w:t xml:space="preserve">Osobní údaje.  Výraz „osobní údaje“ má význam stanovený platnými právními předpisy a zahrnuje mimo jiné informace (bez ohledu na médium a zda se jedná o jednotlivé informace nebo informace v kombinaci s dalšími dostupnými informacemi), které identifikují fyzickou osobu nebo souvisejí s identifikovanou nebo identifikovatelnou fyzickou osobou.  Zakódované nebo jinak </w:t>
            </w:r>
            <w:proofErr w:type="spellStart"/>
            <w:r w:rsidRPr="00DD2185">
              <w:t>pseudonymizované</w:t>
            </w:r>
            <w:proofErr w:type="spellEnd"/>
            <w:r w:rsidRPr="00DD2185">
              <w:t xml:space="preserve"> údaje jsou považovány za osobní údaje, i když držitel těchto údajů nemá přístup ke klíči, který propojuje údaje s identitou fyzické osoby.  Osobní údaje shromážděné v souvislosti se studií budou zahrnovat osobní údaje zástupce společnosti Pfizer (dle článku 12.2) a osobní údaje týkající se hlavního zkoušejícího, </w:t>
            </w:r>
            <w:proofErr w:type="spellStart"/>
            <w:r w:rsidRPr="00DD2185">
              <w:t>spoluzkoušejících</w:t>
            </w:r>
            <w:proofErr w:type="spellEnd"/>
            <w:r w:rsidRPr="00DD2185">
              <w:t>, výzkumných pracovníků, třetích stran a subjektů hodnocení.</w:t>
            </w:r>
            <w:r w:rsidRPr="00DD2185">
              <w:br/>
            </w:r>
          </w:p>
          <w:p w14:paraId="5C83C78A" w14:textId="77777777" w:rsidR="00860B8F" w:rsidRPr="00DD2185" w:rsidRDefault="00860B8F" w:rsidP="000D5FC6">
            <w:pPr>
              <w:numPr>
                <w:ilvl w:val="2"/>
                <w:numId w:val="10"/>
              </w:numPr>
              <w:tabs>
                <w:tab w:val="clear" w:pos="2880"/>
              </w:tabs>
              <w:ind w:left="2268" w:hanging="850"/>
              <w:jc w:val="both"/>
            </w:pPr>
            <w:r w:rsidRPr="00DD2185">
              <w:rPr>
                <w:u w:val="single"/>
              </w:rPr>
              <w:t>Správa údajů a dodržování právních předpisů</w:t>
            </w:r>
            <w:r w:rsidRPr="00DD2185">
              <w:t xml:space="preserve">.  Zdravotnické zařízení a společnost Pfizer jsou v rámci plnění této smlouvy nezávislými správci údajů v souvislosti s nakládáním s údaji pacientů, včetně osobních údajů. Zdravotnické zařízení je nezávislým správcem osobních údajů subjektů hodnocení obsažených v: (a) </w:t>
            </w:r>
            <w:proofErr w:type="spellStart"/>
            <w:r w:rsidRPr="00DD2185">
              <w:t>nepseudonymizovaných</w:t>
            </w:r>
            <w:proofErr w:type="spellEnd"/>
            <w:r w:rsidRPr="00DD2185">
              <w:t xml:space="preserve"> zdrojových dokumentech a zdravotní dokumentaci zpracovávané pro účely poskytování zdravotnických služeb nebo zdravotní péče subjektům hodnocení, (b) údajích ze studie před jejich předložením společnosti Pfizer v souladu se článkem 11.1. Společnost Pfizer je nezávislým správcem všech osobních údajů obsažených v údajích ze studie a biologických vzorcích předložených společnosti Pfizer zdravotnickým zařízením nebo hlavním zkoušejícím či jinak vytvořených společností Pfizer. Zdravotnické zařízení a společnost Pfizer budou dodržovat platné právní předpisy na ochranu osobních údajů, mimo jiné včetně zavedení odpovídajícího programu evidence a zabezpečení, jmenování pověřence pro ochranu osobních údajů a plnění dohod se zpracovateli, které zdravotnické zařízení a Pfizer jmenují. Zdravotnické zařízení a společnost Pfizer ponesou odpovědnost za jakékoli neplnění svých vlastních povinností správce údajů, včetně jakéhokoli neplnění povinností zpracovatelem, jehož služeb využili. </w:t>
            </w:r>
            <w:r w:rsidRPr="00DD2185">
              <w:br/>
            </w:r>
          </w:p>
          <w:p w14:paraId="468AD97E" w14:textId="77777777" w:rsidR="00860B8F" w:rsidRPr="00DD2185" w:rsidRDefault="00860B8F" w:rsidP="000D5FC6">
            <w:pPr>
              <w:numPr>
                <w:ilvl w:val="2"/>
                <w:numId w:val="10"/>
              </w:numPr>
              <w:tabs>
                <w:tab w:val="clear" w:pos="2880"/>
              </w:tabs>
              <w:ind w:left="2268" w:hanging="850"/>
              <w:jc w:val="both"/>
            </w:pPr>
            <w:r w:rsidRPr="00DD2185">
              <w:rPr>
                <w:u w:val="single"/>
              </w:rPr>
              <w:t>Spolupráce</w:t>
            </w:r>
            <w:r w:rsidRPr="00DD2185">
              <w:t>.  Zdravotnické zařízení a společnost Pfizer budou spolupracovat a budou si vzájemně pomáhat, pokud jde o posouzení vlivu na ochranu osobních údajů a/nebo konzultace s kontrolními úřady, které mohou být nutné v souvislosti se zpracováním osobních údajů prováděným v rámci plnění této smlouvy. Zdravotnické zařízení bude neprodleně informovat společnost Pfizer o (i) jakýchkoli oznámeních, která obdrží od orgánu na ochranu osobních údajů, jež se budou týkat studie; a (</w:t>
            </w:r>
            <w:proofErr w:type="spellStart"/>
            <w:r w:rsidRPr="00DD2185">
              <w:t>ii</w:t>
            </w:r>
            <w:proofErr w:type="spellEnd"/>
            <w:r w:rsidRPr="00DD2185">
              <w:t>) jakékoli bezpečnostní události související s osobními údaji vedenými zdravotnickým zařízením podle této smlouvy. Pokud se oznámení nebo událost uvedené v bodu (i) nebo (</w:t>
            </w:r>
            <w:proofErr w:type="spellStart"/>
            <w:r w:rsidRPr="00DD2185">
              <w:t>ii</w:t>
            </w:r>
            <w:proofErr w:type="spellEnd"/>
            <w:r w:rsidRPr="00DD2185">
              <w:t xml:space="preserve">) článku 6.1.3 týkají osobních údajů, na něž se vztahují povinnosti zdravotnického zařízení jako správce údajů, bude </w:t>
            </w:r>
            <w:r w:rsidRPr="00DD2185">
              <w:lastRenderedPageBreak/>
              <w:t>oznámení obsahovat informace postačující pro to, aby společnost Pfizer mohla zdravotnickému zařízení poskytnout zpětnou vazbu, a to výhradně jako zúčastněná strana a nikoli jako právní nebo regulační radu.   Zdravotnické zařízení, jako nezávislý správce osobních údajů, zjistí, zda bude bezpečnostní událost považována za porušení zabezpečení údajů, poskytne všechna požadovaná oznámení a provede všechny nezbytné kroky k nápravě bezpečnostní události, a to na své vlastní náklady.</w:t>
            </w:r>
            <w:r w:rsidRPr="00DD2185">
              <w:br/>
            </w:r>
          </w:p>
          <w:p w14:paraId="57C680E0" w14:textId="6D5161C2" w:rsidR="00860B8F" w:rsidRPr="00DD2185" w:rsidRDefault="00860B8F" w:rsidP="000D5FC6">
            <w:pPr>
              <w:numPr>
                <w:ilvl w:val="2"/>
                <w:numId w:val="10"/>
              </w:numPr>
              <w:tabs>
                <w:tab w:val="clear" w:pos="2880"/>
              </w:tabs>
              <w:ind w:left="2268" w:hanging="850"/>
              <w:jc w:val="both"/>
            </w:pPr>
            <w:r w:rsidRPr="00DD2185">
              <w:rPr>
                <w:u w:val="single"/>
              </w:rPr>
              <w:t>Práva subjektů údajů účastnících se studie</w:t>
            </w:r>
            <w:r w:rsidRPr="00DD2185">
              <w:t xml:space="preserve">. Zdravotnické zařízení souhlasí s tím, že je oproti společnosti Pfizer lépe schopno spravovat požadavky subjektů hodnocení týkající se ochrany osobních údajů a bude reagovat na požadavky subjektů hodnocení v souladu s platnými právními předpisy. Zdravotnické zařízení bude neprodleně informovat společnost Pfizer na adresu </w:t>
            </w:r>
            <w:proofErr w:type="spellStart"/>
            <w:r w:rsidR="00212BD2" w:rsidRPr="00212BD2">
              <w:rPr>
                <w:b/>
                <w:bCs/>
                <w:highlight w:val="black"/>
              </w:rPr>
              <w:t>xxxxxxxxxxxxxxxxxxxxxxxxxxxxxx</w:t>
            </w:r>
            <w:proofErr w:type="spellEnd"/>
            <w:r w:rsidRPr="00DD2185">
              <w:t xml:space="preserve"> o jakémkoli odebrání souhlasu se zpracováním údajů poskytnutého subjektem hodnocení.</w:t>
            </w:r>
            <w:r w:rsidRPr="00DD2185">
              <w:br/>
            </w:r>
          </w:p>
          <w:p w14:paraId="754B03DD" w14:textId="77777777" w:rsidR="00860B8F" w:rsidRPr="00DD2185" w:rsidRDefault="00860B8F" w:rsidP="000D5FC6">
            <w:pPr>
              <w:numPr>
                <w:ilvl w:val="2"/>
                <w:numId w:val="10"/>
              </w:numPr>
              <w:tabs>
                <w:tab w:val="clear" w:pos="2880"/>
              </w:tabs>
              <w:ind w:left="2268" w:hanging="850"/>
              <w:jc w:val="both"/>
            </w:pPr>
            <w:r w:rsidRPr="00DD2185">
              <w:rPr>
                <w:u w:val="single"/>
              </w:rPr>
              <w:t>Osobní údaje pracovníků zdravotnického zařízení</w:t>
            </w:r>
            <w:r w:rsidRPr="00DD2185">
              <w:t xml:space="preserve">.  Zdravotnické zařízení a hlavní zkoušející potvrzují, že obdrželi oznámení společnosti Pfizer o ochraně osobních údajů pro zkoušející a pracovníky </w:t>
            </w:r>
            <w:proofErr w:type="gramStart"/>
            <w:r w:rsidRPr="00DD2185">
              <w:t>studie - Evropská</w:t>
            </w:r>
            <w:proofErr w:type="gramEnd"/>
            <w:r w:rsidRPr="00DD2185">
              <w:t xml:space="preserve"> unie, Evropský hospodářský prostor a Švýcarsko.</w:t>
            </w:r>
            <w:r w:rsidRPr="00DD2185">
              <w:br/>
            </w:r>
          </w:p>
          <w:p w14:paraId="0E054E0A" w14:textId="77777777" w:rsidR="000D5FC6" w:rsidRPr="00DD2185" w:rsidRDefault="00860B8F" w:rsidP="000D5FC6">
            <w:pPr>
              <w:numPr>
                <w:ilvl w:val="2"/>
                <w:numId w:val="10"/>
              </w:numPr>
              <w:tabs>
                <w:tab w:val="clear" w:pos="2880"/>
              </w:tabs>
              <w:ind w:left="2268" w:hanging="850"/>
              <w:jc w:val="both"/>
            </w:pPr>
            <w:r w:rsidRPr="00DD2185">
              <w:rPr>
                <w:u w:val="single"/>
              </w:rPr>
              <w:t>Přeshraniční předávání údajů</w:t>
            </w:r>
            <w:r w:rsidRPr="00DD2185">
              <w:t>.  Zdravotnické zařízení a hlavní zkoušející předají osobní údaje mimo Evropskou unii, Evropský hospodářský prostor nebo Švýcarsko pouze v souladu s dokumenty obsahujícími pokyny poskytnutými společností Pfizer v souvislosti s touto studií.  Zdravotnické zařízení a společnost Pfizer uzavřeli standardní smluvní doložky EU připojené k této smlouvě jako příloha E.</w:t>
            </w:r>
          </w:p>
          <w:p w14:paraId="59E0241A" w14:textId="492E57FC" w:rsidR="00860B8F" w:rsidRPr="00DD2185" w:rsidRDefault="00860B8F" w:rsidP="000D5FC6">
            <w:pPr>
              <w:ind w:left="2268"/>
              <w:jc w:val="both"/>
            </w:pPr>
          </w:p>
          <w:p w14:paraId="5538E7BE" w14:textId="275E6829" w:rsidR="00474215" w:rsidRPr="00DD2185" w:rsidRDefault="00860B8F" w:rsidP="000D5FC6">
            <w:pPr>
              <w:numPr>
                <w:ilvl w:val="1"/>
                <w:numId w:val="10"/>
              </w:numPr>
              <w:ind w:hanging="731"/>
              <w:jc w:val="both"/>
            </w:pPr>
            <w:r w:rsidRPr="00DD2185">
              <w:rPr>
                <w:u w:val="single"/>
              </w:rPr>
              <w:t>Oznámení finančních informací.</w:t>
            </w:r>
            <w:r w:rsidRPr="00DD2185">
              <w:t>  V případech, kdy společnost Pfizer shledá, že se na studii vztahuje nařízení amerického Úřadu pro kontrolu potravin a léčiv („FDA“) nazvané „</w:t>
            </w:r>
            <w:r w:rsidRPr="00DD2185">
              <w:rPr>
                <w:i/>
                <w:iCs/>
              </w:rPr>
              <w:t>Sdělování finančních informací zkoušejícími klinických hodnocení</w:t>
            </w:r>
            <w:r w:rsidRPr="00DD2185">
              <w:t>“ (dále jen „</w:t>
            </w:r>
            <w:r w:rsidRPr="00DD2185">
              <w:rPr>
                <w:b/>
                <w:bCs/>
              </w:rPr>
              <w:t>nařízení FDA</w:t>
            </w:r>
            <w:r w:rsidRPr="00DD2185">
              <w:t xml:space="preserve">“), hlavní zkoušející souhlasí a hlavní zkoušející nebo podle potřeby zdravotnické zařízení zajistí, aby všichni </w:t>
            </w:r>
            <w:proofErr w:type="spellStart"/>
            <w:r w:rsidRPr="00DD2185">
              <w:t>spoluzkoušející</w:t>
            </w:r>
            <w:proofErr w:type="spellEnd"/>
            <w:r w:rsidRPr="00DD2185">
              <w:t xml:space="preserve"> souhlasili s tím, že sdělí společnosti Pfizer veškeré příslušné finanční a další informace (včetně podrobných údajů o majetkové účasti ve společnosti Pfizer nebo jejích přidružených společnostech) související s hlavním zkoušejícím nebo případně se </w:t>
            </w:r>
            <w:proofErr w:type="spellStart"/>
            <w:r w:rsidRPr="00DD2185">
              <w:t>spoluzkoušejícími</w:t>
            </w:r>
            <w:proofErr w:type="spellEnd"/>
            <w:r w:rsidRPr="00DD2185">
              <w:t xml:space="preserve"> (a v příslušných případech související s manželem/manželkou a rodinnými příslušníky hlavního zkoušejícího nebo </w:t>
            </w:r>
            <w:proofErr w:type="spellStart"/>
            <w:r w:rsidRPr="00DD2185">
              <w:t>spoluzkoušejících</w:t>
            </w:r>
            <w:proofErr w:type="spellEnd"/>
            <w:r w:rsidRPr="00DD2185">
              <w:t xml:space="preserve">) podle požadavků společnosti Pfizer s cílem </w:t>
            </w:r>
            <w:r w:rsidR="000D5FC6" w:rsidRPr="00DD2185">
              <w:t>splnit požadavky nařízení FDA. </w:t>
            </w:r>
          </w:p>
        </w:tc>
      </w:tr>
      <w:tr w:rsidR="00474215" w:rsidRPr="00DD2185" w14:paraId="052EB18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AFE9F36" w14:textId="77777777" w:rsidR="00474215" w:rsidRPr="00DD2185" w:rsidRDefault="00474215" w:rsidP="00474215">
            <w:pPr>
              <w:widowControl w:val="0"/>
              <w:tabs>
                <w:tab w:val="left" w:pos="252"/>
              </w:tabs>
            </w:pPr>
          </w:p>
        </w:tc>
      </w:tr>
      <w:tr w:rsidR="00474215" w:rsidRPr="00DD2185" w14:paraId="024B7C0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B5DA338" w14:textId="77777777" w:rsidR="00474215" w:rsidRPr="00DD2185" w:rsidRDefault="00474215" w:rsidP="000D5FC6">
            <w:pPr>
              <w:widowControl w:val="0"/>
              <w:tabs>
                <w:tab w:val="left" w:pos="720"/>
              </w:tabs>
              <w:ind w:left="720" w:hanging="720"/>
              <w:jc w:val="both"/>
            </w:pPr>
            <w:r w:rsidRPr="00DD2185">
              <w:t>7.</w:t>
            </w:r>
            <w:r w:rsidRPr="00DD2185">
              <w:tab/>
            </w:r>
            <w:r w:rsidRPr="00DD2185">
              <w:rPr>
                <w:u w:val="single"/>
              </w:rPr>
              <w:t>Informovaný souhlas a nábor subjektů.</w:t>
            </w:r>
          </w:p>
        </w:tc>
      </w:tr>
      <w:tr w:rsidR="00474215" w:rsidRPr="00DD2185" w14:paraId="64AFE5D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4E0F1FB" w14:textId="77777777" w:rsidR="00474215" w:rsidRPr="00DD2185" w:rsidRDefault="00474215" w:rsidP="000D5FC6">
            <w:pPr>
              <w:widowControl w:val="0"/>
              <w:tabs>
                <w:tab w:val="left" w:pos="720"/>
              </w:tabs>
              <w:jc w:val="both"/>
            </w:pPr>
          </w:p>
        </w:tc>
      </w:tr>
      <w:tr w:rsidR="00474215" w:rsidRPr="00DD2185" w14:paraId="6013E9F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B10D6F9" w14:textId="07924FA2" w:rsidR="00474215" w:rsidRPr="00DD2185" w:rsidRDefault="00474215" w:rsidP="000D5FC6">
            <w:pPr>
              <w:widowControl w:val="0"/>
              <w:tabs>
                <w:tab w:val="left" w:pos="1440"/>
              </w:tabs>
              <w:ind w:left="1440" w:hanging="720"/>
              <w:jc w:val="both"/>
              <w:rPr>
                <w:highlight w:val="yellow"/>
              </w:rPr>
            </w:pPr>
            <w:r w:rsidRPr="00DD2185">
              <w:t>7.1</w:t>
            </w:r>
            <w:r w:rsidRPr="00DD2185">
              <w:tab/>
            </w:r>
            <w:r w:rsidRPr="00DD2185">
              <w:rPr>
                <w:u w:val="single"/>
              </w:rPr>
              <w:t>Informovaný souhlas</w:t>
            </w:r>
            <w:r w:rsidRPr="00DD2185">
              <w:t xml:space="preserve">.  Hlavní zkoušející od každého subjektu hodnocení získá písemný informovaný souhlas a bude uchovávat podepsaný originál </w:t>
            </w:r>
            <w:r w:rsidRPr="00DD2185">
              <w:lastRenderedPageBreak/>
              <w:t>tohoto souhlasu v záznamech subjektu hodnocení.  Společnost Pfizer poskytne vzorový formulář informovaného souhlasu pro studii, který byl schválen NEK a SÚKL.  Zdravotnické zařízení a hlavní zkoušející nesmí v tomto dokumentu provádět žádné změny bez předchozího písemného souhlasu společnosti Pfizer před tím, než bude upravený formulář informovaného souhlasu použit pro studii (včetně jakýchkoli úprav provedených během studie).  Zdravotnické zařízení a hlavní zkoušející nesmí provádět nábor potenciálních subjektů k účasti ve studii, zahájit výzkum, na který se vztahuje tato smlouva, ani podávat hodnocené léčivo (definované níže) subjektům hodnocení, pokud a dokud nebyl od každého subjektu hodnocení získán platný informovaný souhlas.</w:t>
            </w:r>
          </w:p>
        </w:tc>
      </w:tr>
      <w:tr w:rsidR="00474215" w:rsidRPr="00DD2185" w14:paraId="3EB7262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702BA6F" w14:textId="77777777" w:rsidR="00474215" w:rsidRPr="00DD2185" w:rsidRDefault="00474215" w:rsidP="000D5FC6">
            <w:pPr>
              <w:widowControl w:val="0"/>
              <w:jc w:val="both"/>
            </w:pPr>
          </w:p>
        </w:tc>
      </w:tr>
      <w:tr w:rsidR="00474215" w:rsidRPr="00DD2185" w14:paraId="7460EAB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33F09A0" w14:textId="59507E49" w:rsidR="00474215" w:rsidRPr="00DD2185" w:rsidRDefault="00474215" w:rsidP="000D5FC6">
            <w:pPr>
              <w:widowControl w:val="0"/>
              <w:tabs>
                <w:tab w:val="left" w:pos="1440"/>
              </w:tabs>
              <w:ind w:left="1440" w:hanging="720"/>
              <w:jc w:val="both"/>
            </w:pPr>
            <w:r w:rsidRPr="00DD2185">
              <w:t>7.2</w:t>
            </w:r>
            <w:r w:rsidRPr="00DD2185">
              <w:tab/>
            </w:r>
            <w:r w:rsidRPr="00DD2185">
              <w:rPr>
                <w:u w:val="single"/>
              </w:rPr>
              <w:t>Nábor subjektů.</w:t>
            </w:r>
            <w:r w:rsidRPr="00DD2185">
              <w:t xml:space="preserve">  Zdravotnické zařízení a hlavní zkoušející zajistí, že metody náboru subjektů hodnocení specifické pro studii, úkony a materiály budou předem písemně schváleny IRB/NEK a budou splňovat všechny platné zákony, předpisy a vládní pokyny.  Tento požadavek se vztahuje na všechny takové materiály, a to bez ohledu na médium.</w:t>
            </w:r>
          </w:p>
        </w:tc>
      </w:tr>
      <w:tr w:rsidR="00474215" w:rsidRPr="00DD2185" w14:paraId="11134B5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519FD32" w14:textId="77777777" w:rsidR="00474215" w:rsidRPr="00DD2185" w:rsidRDefault="00474215" w:rsidP="000D5FC6">
            <w:pPr>
              <w:pStyle w:val="ListParagraph"/>
              <w:widowControl w:val="0"/>
              <w:ind w:left="1440" w:hanging="720"/>
              <w:jc w:val="both"/>
            </w:pPr>
          </w:p>
        </w:tc>
      </w:tr>
      <w:tr w:rsidR="00474215" w:rsidRPr="00DD2185" w14:paraId="6BA4689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C3E4331" w14:textId="0ADCC09F" w:rsidR="00474215" w:rsidRPr="00DD2185" w:rsidRDefault="00474215" w:rsidP="000D5FC6">
            <w:pPr>
              <w:widowControl w:val="0"/>
              <w:tabs>
                <w:tab w:val="left" w:pos="1440"/>
              </w:tabs>
              <w:ind w:left="1440" w:hanging="720"/>
              <w:jc w:val="both"/>
            </w:pPr>
            <w:r w:rsidRPr="00DD2185">
              <w:t>7.3</w:t>
            </w:r>
            <w:r w:rsidRPr="00DD2185">
              <w:tab/>
            </w:r>
            <w:r w:rsidRPr="00DD2185">
              <w:rPr>
                <w:u w:val="single"/>
              </w:rPr>
              <w:t>Nežádoucí příhody</w:t>
            </w:r>
            <w:r w:rsidRPr="00DD2185">
              <w:t>. Zdravotnické zařízení prostřednictvím hlavního zkoušejícího zajistí hlášení nežádoucích příhod subjektů hodnocení v souladu s pokyny v protokolu a platnými právními předpisy.  Tam, kde je to nutné, to zahrnuje jejich rychlé ohlášení telefonicky nebo faxem společnosti Pfizer. Společnost Pfizer tedy v zákonem daném rozsahu ponese plnou odpovědnost za hlášení všech nežádoucích příhod místním a mezinárodním kontrolním a/nebo zdravotnickým orgánům.</w:t>
            </w:r>
          </w:p>
        </w:tc>
      </w:tr>
      <w:tr w:rsidR="00474215" w:rsidRPr="00DD2185" w14:paraId="1B87E07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D4C849B" w14:textId="77777777" w:rsidR="00474215" w:rsidRPr="00DD2185" w:rsidRDefault="00474215" w:rsidP="000D5FC6">
            <w:pPr>
              <w:widowControl w:val="0"/>
              <w:tabs>
                <w:tab w:val="left" w:pos="1440"/>
              </w:tabs>
              <w:jc w:val="both"/>
            </w:pPr>
          </w:p>
        </w:tc>
      </w:tr>
      <w:tr w:rsidR="00474215" w:rsidRPr="00DD2185" w14:paraId="6639C6A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DFCE18E" w14:textId="77777777" w:rsidR="00D40EE6" w:rsidRPr="00DD2185" w:rsidRDefault="00474215" w:rsidP="00693117">
            <w:pPr>
              <w:pStyle w:val="ListParagraph"/>
              <w:tabs>
                <w:tab w:val="left" w:pos="34"/>
              </w:tabs>
              <w:ind w:left="567"/>
              <w:jc w:val="both"/>
            </w:pPr>
            <w:r w:rsidRPr="00DD2185">
              <w:t>8.</w:t>
            </w:r>
            <w:r w:rsidRPr="00DD2185">
              <w:tab/>
            </w:r>
            <w:r w:rsidRPr="00DD2185">
              <w:rPr>
                <w:u w:val="single"/>
              </w:rPr>
              <w:t>Hodnocené léčivo.</w:t>
            </w:r>
            <w:r w:rsidRPr="00DD2185">
              <w:t xml:space="preserve">  Společnost Pfizer zajistí, že zdravotnické zařízení bezplatně obdrží dostatečné množství přípravku společnosti Pfizer, který je zkoumán („</w:t>
            </w:r>
            <w:r w:rsidRPr="00DD2185">
              <w:rPr>
                <w:b/>
                <w:bCs/>
              </w:rPr>
              <w:t>léčivo společnosti Pfizer</w:t>
            </w:r>
            <w:r w:rsidRPr="00DD2185">
              <w:t>“), aby hlavní zkoušející mohl provádět studii.  Není-li v příloze A (Rozpočet studie a platební podmínky) uvedeno jinak, společnost Pfizer také zajistí, aby zdravotnické zařízení obdrželo jakákoli další léčiva vyžadovaná podle protokolu, a to buď bezplatně nebo náklady na náklady společnosti Pfizer (např. placebo, srovnávací léčivo, souběžně podávané léčivo).  Jakékoli další léčivo vyžadované protokolem, které společnost Pfizer poskytuje nebo jehož náklady hradí, je společně s léčivem společnosti Pfizer považováno za „</w:t>
            </w:r>
            <w:r w:rsidRPr="00DD2185">
              <w:rPr>
                <w:b/>
                <w:bCs/>
              </w:rPr>
              <w:t>hodnocené léčivo</w:t>
            </w:r>
            <w:r w:rsidRPr="00DD2185">
              <w:t xml:space="preserve">“.   Hodnocené léčivo bude dodáváno do lékárny zdravotnického zařízení.  </w:t>
            </w:r>
          </w:p>
          <w:p w14:paraId="532C07D4" w14:textId="0A1A3F2C" w:rsidR="00D40EE6" w:rsidRPr="00DD2185" w:rsidRDefault="00D40EE6" w:rsidP="00693117">
            <w:pPr>
              <w:pStyle w:val="ListParagraph"/>
              <w:tabs>
                <w:tab w:val="left" w:pos="34"/>
              </w:tabs>
              <w:ind w:left="567"/>
              <w:jc w:val="both"/>
            </w:pPr>
          </w:p>
          <w:p w14:paraId="37DDDEA4" w14:textId="77777777" w:rsidR="00D40EE6" w:rsidRPr="00DD2185" w:rsidRDefault="00D40EE6" w:rsidP="00D40EE6">
            <w:pPr>
              <w:pStyle w:val="ListParagraph"/>
              <w:tabs>
                <w:tab w:val="left" w:pos="34"/>
              </w:tabs>
              <w:ind w:left="567"/>
              <w:jc w:val="both"/>
            </w:pPr>
            <w:r w:rsidRPr="00DD2185">
              <w:t>Lékárna FNOL</w:t>
            </w:r>
          </w:p>
          <w:p w14:paraId="55B315AA" w14:textId="0538A54A" w:rsidR="00D40EE6" w:rsidRPr="00DD2185" w:rsidRDefault="00D40EE6" w:rsidP="00D40EE6">
            <w:pPr>
              <w:pStyle w:val="ListParagraph"/>
              <w:tabs>
                <w:tab w:val="left" w:pos="34"/>
              </w:tabs>
              <w:ind w:left="567"/>
              <w:jc w:val="both"/>
            </w:pPr>
            <w:r w:rsidRPr="00DD2185">
              <w:t>Fakultní nemocnice Olomouc, budova Z</w:t>
            </w:r>
          </w:p>
          <w:p w14:paraId="5252FDAA" w14:textId="77777777" w:rsidR="00D40EE6" w:rsidRPr="00DD2185" w:rsidRDefault="00D40EE6" w:rsidP="00D40EE6">
            <w:pPr>
              <w:pStyle w:val="ListParagraph"/>
              <w:tabs>
                <w:tab w:val="left" w:pos="34"/>
              </w:tabs>
              <w:ind w:left="567"/>
              <w:jc w:val="both"/>
            </w:pPr>
            <w:proofErr w:type="spellStart"/>
            <w:r w:rsidRPr="00DD2185">
              <w:t>I.P.Pavlova</w:t>
            </w:r>
            <w:proofErr w:type="spellEnd"/>
            <w:r w:rsidRPr="00DD2185">
              <w:t xml:space="preserve"> 185/6</w:t>
            </w:r>
          </w:p>
          <w:p w14:paraId="2BF62FA9" w14:textId="54DA339B" w:rsidR="00D40EE6" w:rsidRPr="00DD2185" w:rsidRDefault="00D40EE6" w:rsidP="00D40EE6">
            <w:pPr>
              <w:pStyle w:val="ListParagraph"/>
              <w:tabs>
                <w:tab w:val="left" w:pos="34"/>
              </w:tabs>
              <w:ind w:left="567"/>
              <w:jc w:val="both"/>
            </w:pPr>
            <w:r w:rsidRPr="00DD2185">
              <w:t>779 00 Olomouc</w:t>
            </w:r>
          </w:p>
          <w:p w14:paraId="582BE67D" w14:textId="77777777" w:rsidR="00D40EE6" w:rsidRPr="00DD2185" w:rsidRDefault="00D40EE6" w:rsidP="00693117">
            <w:pPr>
              <w:pStyle w:val="ListParagraph"/>
              <w:tabs>
                <w:tab w:val="left" w:pos="34"/>
              </w:tabs>
              <w:ind w:left="567"/>
              <w:jc w:val="both"/>
            </w:pPr>
          </w:p>
          <w:p w14:paraId="46B9F005" w14:textId="3BF71C44" w:rsidR="00474215" w:rsidRPr="00DD2185" w:rsidRDefault="00474215" w:rsidP="00D40EE6">
            <w:pPr>
              <w:pStyle w:val="ListParagraph"/>
              <w:tabs>
                <w:tab w:val="left" w:pos="34"/>
              </w:tabs>
              <w:ind w:left="567"/>
              <w:jc w:val="both"/>
              <w:rPr>
                <w:i/>
                <w:spacing w:val="-3"/>
              </w:rPr>
            </w:pPr>
            <w:r w:rsidRPr="00DD2185">
              <w:t>Zdravotnické zařízení se tímto zavazuje, že zajistí, aby bylo hodnocené léčivo uchováváno odděleně od ostatních léků v lékárně a aby jeho příprava, kontrola, uchovávání a vydávání (dále jen „manipulace s hodnoceným léčivem") byly prováděny v souladu s protokolem, pokyny společnosti Pfizer a také v souladu s obecně závaznými právními předpisy uvedenými výše ve článku 1.3, správnou lékárenskou praxí a podmínkami stanovenými v platných pokynech vydaných Státním ústavem pro kontrolu léčiv</w:t>
            </w:r>
            <w:r w:rsidR="009A56B4" w:rsidRPr="00DD2185">
              <w:t xml:space="preserve">. </w:t>
            </w:r>
          </w:p>
        </w:tc>
      </w:tr>
      <w:tr w:rsidR="00474215" w:rsidRPr="00DD2185" w14:paraId="446C5E2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18708E0" w14:textId="77777777" w:rsidR="00474215" w:rsidRPr="00DD2185" w:rsidRDefault="00474215" w:rsidP="000D5FC6">
            <w:pPr>
              <w:widowControl w:val="0"/>
              <w:tabs>
                <w:tab w:val="left" w:pos="720"/>
              </w:tabs>
              <w:jc w:val="both"/>
              <w:rPr>
                <w:i/>
                <w:spacing w:val="-3"/>
                <w:highlight w:val="yellow"/>
              </w:rPr>
            </w:pPr>
          </w:p>
        </w:tc>
      </w:tr>
      <w:tr w:rsidR="00474215" w:rsidRPr="00DD2185" w14:paraId="1582E21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C64E3C6" w14:textId="4F695EAC" w:rsidR="00474215" w:rsidRPr="00DD2185" w:rsidRDefault="00474215" w:rsidP="00D40EE6">
            <w:pPr>
              <w:widowControl w:val="0"/>
              <w:ind w:left="615"/>
              <w:jc w:val="both"/>
              <w:rPr>
                <w:bCs/>
                <w:highlight w:val="yellow"/>
              </w:rPr>
            </w:pPr>
            <w:r w:rsidRPr="00DD2185">
              <w:t>Zdravotnické zařízení jmenuje dva lékárníky s odpovídající kvalifikací a zkušenostmi.  Lékárníci budou držiteli platných profesních osvědčení (bez omezení), budou zaregistrováni u oficiální profesní organizace lékárníků v České republice v souladu s příslušnými právními předpisy a budou odpovídat za nakládání s hodnoceným léčivem a za vedení kompletní dokumentace o této činnosti.  Zdravotnické zařízení neprodleně po jejich jmenování písemně oznámí společnosti Pfizer jméno a příjmení uvedených osob spolu s náležitými kontaktními údaji (v příslušných případech).  Hlavní zkoušející se tímto zavazuje, že bude používat a podávat hodnocené léčivo přímo z lékárny zdravotnického zařízení v souladu s protokolem a v dávkách potřebných pro každou individuální návštěvu subjektu hodnocení.</w:t>
            </w:r>
          </w:p>
        </w:tc>
      </w:tr>
      <w:tr w:rsidR="00474215" w:rsidRPr="00DD2185" w14:paraId="045A337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9289147" w14:textId="77777777" w:rsidR="00474215" w:rsidRPr="00DD2185" w:rsidRDefault="00474215" w:rsidP="000D5FC6">
            <w:pPr>
              <w:widowControl w:val="0"/>
              <w:jc w:val="both"/>
              <w:rPr>
                <w:bCs/>
              </w:rPr>
            </w:pPr>
          </w:p>
        </w:tc>
      </w:tr>
      <w:tr w:rsidR="00474215" w:rsidRPr="00DD2185" w14:paraId="1F6C6F2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3758B44" w14:textId="77777777" w:rsidR="00474215" w:rsidRPr="00DD2185" w:rsidRDefault="00474215" w:rsidP="000D5FC6">
            <w:pPr>
              <w:widowControl w:val="0"/>
              <w:tabs>
                <w:tab w:val="left" w:pos="1440"/>
              </w:tabs>
              <w:ind w:left="1440" w:hanging="720"/>
              <w:jc w:val="both"/>
            </w:pPr>
            <w:r w:rsidRPr="00DD2185">
              <w:t>8.1</w:t>
            </w:r>
            <w:r w:rsidRPr="00DD2185">
              <w:tab/>
            </w:r>
            <w:r w:rsidRPr="00DD2185">
              <w:rPr>
                <w:u w:val="single"/>
              </w:rPr>
              <w:t>Uchovávání a výdej hodnoceného léčiva</w:t>
            </w:r>
            <w:r w:rsidRPr="00DD2185">
              <w:t>.  Hlavní zkoušející a zdravotnické zařízení budou provádět odpovídající kontrolu zásob hodnoceného léčiva a nepodají nebo nevydají hodnocené léčivo nikomu, kdo není subjektem hodnocení, ani k němu neposkytnou nikomu přístup kromě pracovníků studie.</w:t>
            </w:r>
          </w:p>
        </w:tc>
      </w:tr>
      <w:tr w:rsidR="00474215" w:rsidRPr="00DD2185" w14:paraId="587B907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DF198B1" w14:textId="77777777" w:rsidR="00474215" w:rsidRPr="00DD2185" w:rsidRDefault="00474215" w:rsidP="000D5FC6">
            <w:pPr>
              <w:widowControl w:val="0"/>
              <w:ind w:left="1440" w:hanging="720"/>
              <w:jc w:val="both"/>
            </w:pPr>
          </w:p>
        </w:tc>
      </w:tr>
      <w:tr w:rsidR="00474215" w:rsidRPr="00DD2185" w14:paraId="54FF644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7633BF2" w14:textId="77777777" w:rsidR="00474215" w:rsidRPr="00DD2185" w:rsidRDefault="00474215" w:rsidP="000D5FC6">
            <w:pPr>
              <w:widowControl w:val="0"/>
              <w:tabs>
                <w:tab w:val="left" w:pos="1440"/>
              </w:tabs>
              <w:ind w:left="1440" w:hanging="720"/>
              <w:jc w:val="both"/>
            </w:pPr>
            <w:r w:rsidRPr="00DD2185">
              <w:t>8.2</w:t>
            </w:r>
            <w:r w:rsidRPr="00DD2185">
              <w:tab/>
            </w:r>
            <w:r w:rsidRPr="00DD2185">
              <w:rPr>
                <w:u w:val="single"/>
              </w:rPr>
              <w:t>Použití</w:t>
            </w:r>
            <w:r w:rsidRPr="00DD2185">
              <w:t>.  Hlavní zkoušející a zdravotnické zařízení použijí hodnocené léčivo pouze tak, jak je stanoveno v protokolu a v přísném souladu se zákonem o léčivech a s dalšími příslušnými právními předpisy.  Jakékoli jiné použití hodnoceného léčiva hlavním zkoušejícím nebo zdravotnickým zařízením nebo povolené hlavním zkoušejícím či zdravotnickým zařízením představuje zásadní porušení této smlouvy.</w:t>
            </w:r>
          </w:p>
        </w:tc>
      </w:tr>
      <w:tr w:rsidR="00474215" w:rsidRPr="00DD2185" w14:paraId="69DC307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4B75F9F" w14:textId="77777777" w:rsidR="00474215" w:rsidRPr="00DD2185" w:rsidRDefault="00474215" w:rsidP="000D5FC6">
            <w:pPr>
              <w:widowControl w:val="0"/>
              <w:jc w:val="both"/>
            </w:pPr>
          </w:p>
        </w:tc>
      </w:tr>
      <w:tr w:rsidR="00474215" w:rsidRPr="00DD2185" w14:paraId="6BF1940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F3B95E0" w14:textId="77777777" w:rsidR="00474215" w:rsidRPr="00DD2185" w:rsidRDefault="00474215" w:rsidP="000D5FC6">
            <w:pPr>
              <w:widowControl w:val="0"/>
              <w:tabs>
                <w:tab w:val="left" w:pos="1440"/>
              </w:tabs>
              <w:ind w:left="1440" w:hanging="720"/>
              <w:jc w:val="both"/>
            </w:pPr>
            <w:r w:rsidRPr="00DD2185">
              <w:t>8.3</w:t>
            </w:r>
            <w:r w:rsidRPr="00DD2185">
              <w:tab/>
            </w:r>
            <w:r w:rsidRPr="00DD2185">
              <w:rPr>
                <w:u w:val="single"/>
              </w:rPr>
              <w:t>Vlastnictví léčiva společnosti Pfizer</w:t>
            </w:r>
            <w:r w:rsidRPr="00DD2185">
              <w:t>.  Léčivo společnosti Pfizer je a zůstává majetkem společnosti Pfizer.  S výjimkou omezenou na použití uvedené v protokolu, společnost Pfizer neuděluje hlavnímu zkoušejícímu ani zdravotnickému zařízení žádná výslovná ani implicitní práva k duševnímu vlastnictví související s léčivem společnosti Pfizer nebo metodami výroby či použití léčiva společnosti Pfizer.</w:t>
            </w:r>
          </w:p>
        </w:tc>
      </w:tr>
      <w:tr w:rsidR="00474215" w:rsidRPr="00DD2185" w14:paraId="67A443A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DC7DE34" w14:textId="77777777" w:rsidR="00474215" w:rsidRPr="00DD2185" w:rsidRDefault="00474215" w:rsidP="000D5FC6">
            <w:pPr>
              <w:widowControl w:val="0"/>
              <w:jc w:val="both"/>
            </w:pPr>
          </w:p>
        </w:tc>
      </w:tr>
      <w:tr w:rsidR="00474215" w:rsidRPr="00DD2185" w14:paraId="6D1EB5F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tbl>
            <w:tblPr>
              <w:tblStyle w:val="TableGrid"/>
              <w:tblW w:w="4967" w:type="pct"/>
              <w:tblLayout w:type="fixed"/>
              <w:tblLook w:val="04A0" w:firstRow="1" w:lastRow="0" w:firstColumn="1" w:lastColumn="0" w:noHBand="0" w:noVBand="1"/>
            </w:tblPr>
            <w:tblGrid>
              <w:gridCol w:w="8756"/>
            </w:tblGrid>
            <w:tr w:rsidR="00474215" w:rsidRPr="00DD2185" w14:paraId="6BA966F9" w14:textId="77777777" w:rsidTr="001D7D17">
              <w:tc>
                <w:tcPr>
                  <w:tcW w:w="9030" w:type="dxa"/>
                  <w:tcBorders>
                    <w:top w:val="nil"/>
                    <w:left w:val="nil"/>
                    <w:bottom w:val="nil"/>
                    <w:right w:val="nil"/>
                  </w:tcBorders>
                </w:tcPr>
                <w:p w14:paraId="2D6A5666" w14:textId="77777777" w:rsidR="00A56861" w:rsidRPr="00DD2185" w:rsidRDefault="00474215" w:rsidP="00A56861">
                  <w:pPr>
                    <w:widowControl w:val="0"/>
                    <w:tabs>
                      <w:tab w:val="left" w:pos="720"/>
                    </w:tabs>
                    <w:ind w:left="720" w:hanging="720"/>
                    <w:jc w:val="both"/>
                  </w:pPr>
                  <w:r w:rsidRPr="00DD2185">
                    <w:t>9.</w:t>
                  </w:r>
                  <w:r w:rsidRPr="00DD2185">
                    <w:tab/>
                  </w:r>
                  <w:r w:rsidRPr="00DD2185">
                    <w:rPr>
                      <w:u w:val="single"/>
                    </w:rPr>
                    <w:t>Vybavení nebo materiály</w:t>
                  </w:r>
                  <w:r w:rsidRPr="00DD2185">
                    <w:t>.   Společnost Pfizer může poskytnout nebo zajistí, aby dodavatel poskytl určité vybavení („</w:t>
                  </w:r>
                  <w:r w:rsidRPr="00DD2185">
                    <w:rPr>
                      <w:b/>
                      <w:bCs/>
                    </w:rPr>
                    <w:t>vybavení</w:t>
                  </w:r>
                  <w:r w:rsidRPr="00DD2185">
                    <w:t>“) nebo chráněné materiály, jež bude hlavní zkoušející nebo zdravotnické zařízení používat během provádění studie.  Takové chráněné materiály mohou zahrnovat počítačový software, metodiku, hodnotící škály a další nástroje, které jsou ve vlastnictví společnosti Pfizer nebo na něž má Pfizer licenci (společně dále jen „</w:t>
                  </w:r>
                  <w:r w:rsidRPr="00DD2185">
                    <w:rPr>
                      <w:b/>
                      <w:bCs/>
                    </w:rPr>
                    <w:t>materiály</w:t>
                  </w:r>
                  <w:r w:rsidRPr="00DD2185">
                    <w:t>“).  Vybavení nebo materiály, které budou poskytnuty pro studii, a jakékoli s nimi související požadavky jsou popsány v příloze B, Vybavení a materiály, která se tímto odkazem stává součástí této smlouvy.</w:t>
                  </w:r>
                </w:p>
                <w:p w14:paraId="23C585C4" w14:textId="02C07C39" w:rsidR="00474215" w:rsidRPr="00DD2185" w:rsidRDefault="00A56861" w:rsidP="00A56861">
                  <w:pPr>
                    <w:widowControl w:val="0"/>
                    <w:tabs>
                      <w:tab w:val="left" w:pos="720"/>
                    </w:tabs>
                    <w:ind w:left="720" w:firstLine="52"/>
                    <w:jc w:val="both"/>
                  </w:pPr>
                  <w:r w:rsidRPr="00DD2185">
                    <w:t>V případě zapůjčení vybavení společnosti Pfizer Zdravotnickému zařízení bude toto vybavení předmětem smlouvy o výpůjčce uzavřené mezi společností Pfizer a Zdravotnickým zařízením.</w:t>
                  </w:r>
                </w:p>
              </w:tc>
            </w:tr>
            <w:tr w:rsidR="00474215" w:rsidRPr="00DD2185" w14:paraId="255779AF" w14:textId="77777777" w:rsidTr="001D7D17">
              <w:tc>
                <w:tcPr>
                  <w:tcW w:w="9030" w:type="dxa"/>
                  <w:tcBorders>
                    <w:top w:val="nil"/>
                    <w:left w:val="nil"/>
                    <w:bottom w:val="nil"/>
                    <w:right w:val="nil"/>
                  </w:tcBorders>
                </w:tcPr>
                <w:p w14:paraId="5CE05631" w14:textId="11A6CF8E" w:rsidR="00474215" w:rsidRPr="00DD2185" w:rsidRDefault="00474215" w:rsidP="00A56861">
                  <w:pPr>
                    <w:widowControl w:val="0"/>
                  </w:pPr>
                </w:p>
              </w:tc>
            </w:tr>
          </w:tbl>
          <w:p w14:paraId="27E3E6EC" w14:textId="5DFF7DD2" w:rsidR="00474215" w:rsidRPr="00DD2185" w:rsidRDefault="00474215" w:rsidP="000D5FC6">
            <w:pPr>
              <w:widowControl w:val="0"/>
              <w:tabs>
                <w:tab w:val="left" w:pos="720"/>
              </w:tabs>
              <w:ind w:left="720" w:hanging="720"/>
              <w:jc w:val="both"/>
            </w:pPr>
            <w:r w:rsidRPr="00DD2185">
              <w:t>10.</w:t>
            </w:r>
            <w:r w:rsidRPr="00DD2185">
              <w:tab/>
            </w:r>
            <w:r w:rsidRPr="00DD2185">
              <w:rPr>
                <w:u w:val="single"/>
              </w:rPr>
              <w:t>Důvěrné informace</w:t>
            </w:r>
            <w:r w:rsidRPr="00DD2185">
              <w:t xml:space="preserve">.  V průběhu studie může hlavní zkoušející nebo zdravotnické zařízení obdržet nebo vytvářet informace, které jsou pro společnost Pfizer nebo její přidruženou společnost důvěrné.  </w:t>
            </w:r>
          </w:p>
        </w:tc>
      </w:tr>
      <w:tr w:rsidR="00474215" w:rsidRPr="00DD2185" w14:paraId="69522B0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E3884F9" w14:textId="77777777" w:rsidR="00474215" w:rsidRPr="00DD2185" w:rsidRDefault="00474215" w:rsidP="000D5FC6">
            <w:pPr>
              <w:widowControl w:val="0"/>
              <w:jc w:val="both"/>
            </w:pPr>
          </w:p>
        </w:tc>
      </w:tr>
      <w:tr w:rsidR="00474215" w:rsidRPr="00DD2185" w14:paraId="7922C3F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049C54D" w14:textId="77777777" w:rsidR="00474215" w:rsidRPr="00DD2185" w:rsidRDefault="00474215" w:rsidP="000D5FC6">
            <w:pPr>
              <w:widowControl w:val="0"/>
              <w:tabs>
                <w:tab w:val="left" w:pos="1440"/>
              </w:tabs>
              <w:ind w:left="1440" w:hanging="720"/>
              <w:jc w:val="both"/>
            </w:pPr>
            <w:r w:rsidRPr="00DD2185">
              <w:t>10.1</w:t>
            </w:r>
            <w:r w:rsidRPr="00DD2185">
              <w:tab/>
            </w:r>
            <w:r w:rsidRPr="00DD2185">
              <w:rPr>
                <w:u w:val="single"/>
              </w:rPr>
              <w:t>Definice</w:t>
            </w:r>
            <w:r w:rsidRPr="00DD2185">
              <w:t xml:space="preserve">.  S výjimkou ustanovení článku 10.2 níže, Výjimky, „důvěrné </w:t>
            </w:r>
            <w:r w:rsidRPr="00DD2185">
              <w:lastRenderedPageBreak/>
              <w:t>informace“ zahrnují:</w:t>
            </w:r>
          </w:p>
        </w:tc>
      </w:tr>
      <w:tr w:rsidR="00474215" w:rsidRPr="00DD2185" w14:paraId="36B957E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4323F76" w14:textId="77777777" w:rsidR="00474215" w:rsidRPr="00DD2185" w:rsidRDefault="00474215" w:rsidP="000D5FC6">
            <w:pPr>
              <w:widowControl w:val="0"/>
              <w:tabs>
                <w:tab w:val="left" w:pos="2160"/>
              </w:tabs>
              <w:autoSpaceDE w:val="0"/>
              <w:autoSpaceDN w:val="0"/>
              <w:adjustRightInd w:val="0"/>
              <w:ind w:left="2160" w:hanging="720"/>
              <w:jc w:val="both"/>
            </w:pPr>
            <w:r w:rsidRPr="00DD2185">
              <w:lastRenderedPageBreak/>
              <w:t>a.</w:t>
            </w:r>
            <w:r w:rsidRPr="00DD2185">
              <w:tab/>
              <w:t>protokol,</w:t>
            </w:r>
          </w:p>
        </w:tc>
      </w:tr>
      <w:tr w:rsidR="00474215" w:rsidRPr="00DD2185" w14:paraId="5E5C8BD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F6EF290" w14:textId="77777777" w:rsidR="00474215" w:rsidRPr="00DD2185" w:rsidRDefault="00474215" w:rsidP="000D5FC6">
            <w:pPr>
              <w:widowControl w:val="0"/>
              <w:tabs>
                <w:tab w:val="left" w:pos="2160"/>
              </w:tabs>
              <w:autoSpaceDE w:val="0"/>
              <w:autoSpaceDN w:val="0"/>
              <w:adjustRightInd w:val="0"/>
              <w:ind w:left="2160" w:hanging="720"/>
              <w:jc w:val="both"/>
            </w:pPr>
            <w:r w:rsidRPr="00DD2185">
              <w:t>b.</w:t>
            </w:r>
            <w:r w:rsidRPr="00DD2185">
              <w:tab/>
              <w:t>soubor informací pro zkoušejícího,</w:t>
            </w:r>
          </w:p>
        </w:tc>
      </w:tr>
      <w:tr w:rsidR="00474215" w:rsidRPr="00DD2185" w14:paraId="5B4FD6E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F6E08AF" w14:textId="77777777" w:rsidR="00474215" w:rsidRPr="00DD2185" w:rsidRDefault="00474215" w:rsidP="000D5FC6">
            <w:pPr>
              <w:widowControl w:val="0"/>
              <w:tabs>
                <w:tab w:val="left" w:pos="2160"/>
              </w:tabs>
              <w:autoSpaceDE w:val="0"/>
              <w:autoSpaceDN w:val="0"/>
              <w:adjustRightInd w:val="0"/>
              <w:ind w:left="2160" w:hanging="720"/>
              <w:jc w:val="both"/>
            </w:pPr>
            <w:r w:rsidRPr="00DD2185">
              <w:t>c.</w:t>
            </w:r>
            <w:r w:rsidRPr="00DD2185">
              <w:tab/>
              <w:t xml:space="preserve">údaje ze studie (tak, jak jsou definovány níže ve článku 11, Údaje ze studie, biologické vzorky a záznamy studie), </w:t>
            </w:r>
          </w:p>
        </w:tc>
      </w:tr>
      <w:tr w:rsidR="00474215" w:rsidRPr="00DD2185" w14:paraId="7260C45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0F5022A" w14:textId="77777777" w:rsidR="00474215" w:rsidRPr="00DD2185" w:rsidRDefault="00474215" w:rsidP="000D5FC6">
            <w:pPr>
              <w:widowControl w:val="0"/>
              <w:tabs>
                <w:tab w:val="left" w:pos="2160"/>
              </w:tabs>
              <w:autoSpaceDE w:val="0"/>
              <w:autoSpaceDN w:val="0"/>
              <w:adjustRightInd w:val="0"/>
              <w:ind w:left="2160" w:hanging="720"/>
              <w:jc w:val="both"/>
            </w:pPr>
            <w:r w:rsidRPr="00DD2185">
              <w:t>d.</w:t>
            </w:r>
            <w:r w:rsidRPr="00DD2185">
              <w:tab/>
              <w:t xml:space="preserve">údaje z analýz biologických vzorků (tak, jak jsou definovány níže ve článku 11, Údaje ze studie, biologické vzorky a záznamy studie), </w:t>
            </w:r>
          </w:p>
        </w:tc>
      </w:tr>
      <w:tr w:rsidR="00474215" w:rsidRPr="00DD2185" w14:paraId="510E819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55961ED" w14:textId="77777777" w:rsidR="00474215" w:rsidRPr="00DD2185" w:rsidRDefault="00474215" w:rsidP="000D5FC6">
            <w:pPr>
              <w:widowControl w:val="0"/>
              <w:tabs>
                <w:tab w:val="left" w:pos="2160"/>
              </w:tabs>
              <w:autoSpaceDE w:val="0"/>
              <w:autoSpaceDN w:val="0"/>
              <w:adjustRightInd w:val="0"/>
              <w:ind w:left="2160" w:hanging="720"/>
              <w:jc w:val="both"/>
            </w:pPr>
            <w:r w:rsidRPr="00DD2185">
              <w:t>e.</w:t>
            </w:r>
            <w:r w:rsidRPr="00DD2185">
              <w:tab/>
              <w:t xml:space="preserve">přílohu A (Rozpočet studie a platební podmínky) této smlouvy a  </w:t>
            </w:r>
          </w:p>
        </w:tc>
      </w:tr>
      <w:tr w:rsidR="00474215" w:rsidRPr="00DD2185" w14:paraId="72C7944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48F2693" w14:textId="08D8E40F" w:rsidR="00474215" w:rsidRPr="00DD2185" w:rsidRDefault="00474215" w:rsidP="000D5FC6">
            <w:pPr>
              <w:widowControl w:val="0"/>
              <w:tabs>
                <w:tab w:val="left" w:pos="2160"/>
              </w:tabs>
              <w:autoSpaceDE w:val="0"/>
              <w:autoSpaceDN w:val="0"/>
              <w:adjustRightInd w:val="0"/>
              <w:ind w:left="2160" w:hanging="720"/>
              <w:jc w:val="both"/>
            </w:pPr>
            <w:r w:rsidRPr="00DD2185">
              <w:t>f.</w:t>
            </w:r>
            <w:r w:rsidRPr="00DD2185">
              <w:tab/>
              <w:t>veškeré další informace související se studí, s léčivem společnosti Pfizer nebo s technologií, výzkumem nebo obchodními plány společnosti Pfizer nebo jejích přidružených společností, jež společnost Pfizer nebo její přidružená společnost poskytne hlavnímu zkoušejícímu nebo zdravotnickému zařízení v písemné nebo jiné hmotné podobě a označí jako DŮVĚRNÉ nebo jež jim původně sdělí ústní formou a následně shrne a potvrdí písemně jako DŮVĚRNÉ do 30 dnů od data ústního sdělení;</w:t>
            </w:r>
            <w:r w:rsidRPr="00DD2185">
              <w:rPr>
                <w:color w:val="0000FF"/>
              </w:rPr>
              <w:t xml:space="preserve">  </w:t>
            </w:r>
            <w:r w:rsidRPr="00DD2185">
              <w:t xml:space="preserve">ústně sdělené informace typu popsaného v tomto článku 10.1., písmeno f) budou též považovány za důvěrné informace, a to i tehdy, jestliže nedojde k pozdějšímu písemnému potvrzení jejich důvěrnosti, pokud je důvěrný charakter jejich sdělení druhé smluvní straně přiměřeně zjevný.  </w:t>
            </w:r>
          </w:p>
        </w:tc>
      </w:tr>
      <w:tr w:rsidR="00474215" w:rsidRPr="00DD2185" w14:paraId="433B01E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D8FDDC0" w14:textId="77777777" w:rsidR="00474215" w:rsidRPr="00DD2185" w:rsidRDefault="00474215" w:rsidP="000D5FC6">
            <w:pPr>
              <w:widowControl w:val="0"/>
              <w:jc w:val="both"/>
            </w:pPr>
          </w:p>
        </w:tc>
      </w:tr>
      <w:tr w:rsidR="00474215" w:rsidRPr="00DD2185" w14:paraId="3170555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9C54EE4" w14:textId="77777777" w:rsidR="00474215" w:rsidRPr="00DD2185" w:rsidRDefault="00474215" w:rsidP="000D5FC6">
            <w:pPr>
              <w:widowControl w:val="0"/>
              <w:tabs>
                <w:tab w:val="left" w:pos="1440"/>
              </w:tabs>
              <w:ind w:left="1440" w:hanging="720"/>
              <w:jc w:val="both"/>
            </w:pPr>
            <w:r w:rsidRPr="00DD2185">
              <w:t>10.2</w:t>
            </w:r>
            <w:r w:rsidRPr="00DD2185">
              <w:tab/>
            </w:r>
            <w:r w:rsidRPr="00DD2185">
              <w:rPr>
                <w:u w:val="single"/>
              </w:rPr>
              <w:t>Výjimky</w:t>
            </w:r>
            <w:r w:rsidRPr="00DD2185">
              <w:t>.  Důvěrné informace nezahrnují informace, které:</w:t>
            </w:r>
          </w:p>
        </w:tc>
      </w:tr>
      <w:tr w:rsidR="00474215" w:rsidRPr="00DD2185" w14:paraId="01099DE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D870CFA" w14:textId="77777777" w:rsidR="00474215" w:rsidRPr="00DD2185" w:rsidRDefault="00474215" w:rsidP="000D5FC6">
            <w:pPr>
              <w:widowControl w:val="0"/>
              <w:jc w:val="both"/>
            </w:pPr>
          </w:p>
        </w:tc>
      </w:tr>
      <w:tr w:rsidR="00474215" w:rsidRPr="00DD2185" w14:paraId="0DCD661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8FB5A8B" w14:textId="77777777" w:rsidR="00474215" w:rsidRPr="00DD2185" w:rsidRDefault="00474215" w:rsidP="000D5FC6">
            <w:pPr>
              <w:widowControl w:val="0"/>
              <w:tabs>
                <w:tab w:val="left" w:pos="2160"/>
              </w:tabs>
              <w:autoSpaceDE w:val="0"/>
              <w:autoSpaceDN w:val="0"/>
              <w:adjustRightInd w:val="0"/>
              <w:ind w:left="2160" w:hanging="720"/>
              <w:jc w:val="both"/>
            </w:pPr>
            <w:r w:rsidRPr="00DD2185">
              <w:t>a.</w:t>
            </w:r>
            <w:r w:rsidRPr="00DD2185">
              <w:tab/>
              <w:t xml:space="preserve">jsou veřejně dostupné v době jejich sdělení nebo v době trvání tohoto závazku mlčenlivosti jakýmkoli jiným způsobem, než je porušení této smlouvy hlavním zkoušejícím nebo zdravotnickým zařízením; </w:t>
            </w:r>
          </w:p>
        </w:tc>
      </w:tr>
      <w:tr w:rsidR="00474215" w:rsidRPr="00DD2185" w14:paraId="0744543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BD2F66C" w14:textId="77777777" w:rsidR="00474215" w:rsidRPr="00DD2185" w:rsidRDefault="00474215" w:rsidP="000D5FC6">
            <w:pPr>
              <w:widowControl w:val="0"/>
              <w:tabs>
                <w:tab w:val="left" w:pos="2160"/>
              </w:tabs>
              <w:autoSpaceDE w:val="0"/>
              <w:autoSpaceDN w:val="0"/>
              <w:adjustRightInd w:val="0"/>
              <w:ind w:left="2160" w:hanging="720"/>
              <w:jc w:val="both"/>
            </w:pPr>
            <w:r w:rsidRPr="00DD2185">
              <w:t>b.</w:t>
            </w:r>
            <w:r w:rsidRPr="00DD2185">
              <w:tab/>
              <w:t xml:space="preserve">jsou již hlavnímu zkoušejícímu nebo zdravotnickému zařízení známy v době jejich sdělení a nepodléhají žádnému závazku mlčenlivosti; </w:t>
            </w:r>
          </w:p>
        </w:tc>
      </w:tr>
      <w:tr w:rsidR="00474215" w:rsidRPr="00DD2185" w14:paraId="437F455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35EB62A" w14:textId="77777777" w:rsidR="00474215" w:rsidRPr="00DD2185" w:rsidRDefault="00474215" w:rsidP="000D5FC6">
            <w:pPr>
              <w:widowControl w:val="0"/>
              <w:tabs>
                <w:tab w:val="left" w:pos="2160"/>
              </w:tabs>
              <w:autoSpaceDE w:val="0"/>
              <w:autoSpaceDN w:val="0"/>
              <w:adjustRightInd w:val="0"/>
              <w:ind w:left="2160" w:hanging="720"/>
              <w:jc w:val="both"/>
              <w:rPr>
                <w:u w:val="single"/>
              </w:rPr>
            </w:pPr>
            <w:r w:rsidRPr="00DD2185">
              <w:t>c.</w:t>
            </w:r>
            <w:r w:rsidRPr="00DD2185">
              <w:tab/>
              <w:t>hlavní zkoušející nebo zdravotnické zařízení získají bez jakéhokoli závazku mlčenlivosti od třetí strany, která má zákonné právo je sdílet, nebo</w:t>
            </w:r>
          </w:p>
        </w:tc>
      </w:tr>
      <w:tr w:rsidR="00474215" w:rsidRPr="00DD2185" w14:paraId="4231193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49423E1" w14:textId="77777777" w:rsidR="00474215" w:rsidRPr="00DD2185" w:rsidRDefault="00474215" w:rsidP="000D5FC6">
            <w:pPr>
              <w:widowControl w:val="0"/>
              <w:tabs>
                <w:tab w:val="left" w:pos="2160"/>
              </w:tabs>
              <w:autoSpaceDE w:val="0"/>
              <w:autoSpaceDN w:val="0"/>
              <w:adjustRightInd w:val="0"/>
              <w:ind w:left="2160" w:hanging="720"/>
              <w:jc w:val="both"/>
            </w:pPr>
            <w:r w:rsidRPr="00DD2185">
              <w:t>d.</w:t>
            </w:r>
            <w:r w:rsidRPr="00DD2185">
              <w:tab/>
              <w:t>jsou vytvořeny nezávisle, jak je doloženo písemnými záznamy, personálem hlavního zkoušejícího nebo osobami v rámci zdravotnického zařízení, které k důvěrným informacím neměly přístup.</w:t>
            </w:r>
          </w:p>
        </w:tc>
      </w:tr>
      <w:tr w:rsidR="00474215" w:rsidRPr="00DD2185" w14:paraId="7DB2622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0A1792B" w14:textId="77777777" w:rsidR="00474215" w:rsidRPr="00DD2185" w:rsidRDefault="00474215" w:rsidP="00474215">
            <w:pPr>
              <w:widowControl w:val="0"/>
              <w:tabs>
                <w:tab w:val="left" w:pos="2160"/>
              </w:tabs>
              <w:rPr>
                <w:u w:val="single"/>
              </w:rPr>
            </w:pPr>
          </w:p>
        </w:tc>
      </w:tr>
      <w:tr w:rsidR="00474215" w:rsidRPr="00DD2185" w14:paraId="192A70F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69B0DCB" w14:textId="74C6275E" w:rsidR="00474215" w:rsidRPr="00DD2185" w:rsidRDefault="00474215" w:rsidP="000D5FC6">
            <w:pPr>
              <w:widowControl w:val="0"/>
              <w:tabs>
                <w:tab w:val="left" w:pos="1440"/>
              </w:tabs>
              <w:ind w:left="1440" w:hanging="720"/>
              <w:jc w:val="both"/>
            </w:pPr>
            <w:r w:rsidRPr="00DD2185">
              <w:t>10.3</w:t>
            </w:r>
            <w:r w:rsidRPr="00DD2185">
              <w:tab/>
            </w:r>
            <w:r w:rsidRPr="00DD2185">
              <w:rPr>
                <w:u w:val="single"/>
              </w:rPr>
              <w:t>Závazek zachování mlčenlivosti</w:t>
            </w:r>
            <w:r w:rsidRPr="00DD2185">
              <w:t>.  Hlavní zkoušející a zdravotnické zařízení nesmí bez předchozího písemného souhlasu společnosti Pfizer používat důvěrné informace k žádnému jinému účelu než tomu, k němuž je opravňuje tato smlouva, a dále nesmí sdělit důvěrné informace žádné třetí straně s výjimkou situací, v nichž je k tomu opravňuje tato smlouva, nebo v nichž to vyžadují příslušné právní předpisy.</w:t>
            </w:r>
          </w:p>
          <w:p w14:paraId="314B8D04" w14:textId="77777777" w:rsidR="00474215" w:rsidRPr="00DD2185" w:rsidRDefault="00474215" w:rsidP="00224A11">
            <w:pPr>
              <w:widowControl w:val="0"/>
              <w:tabs>
                <w:tab w:val="left" w:pos="1440"/>
              </w:tabs>
            </w:pPr>
          </w:p>
          <w:p w14:paraId="3A6D9644" w14:textId="6195C9C6" w:rsidR="00474215" w:rsidRPr="00DD2185" w:rsidRDefault="00474215" w:rsidP="00224A11">
            <w:pPr>
              <w:pStyle w:val="ListParagraph"/>
              <w:widowControl w:val="0"/>
              <w:numPr>
                <w:ilvl w:val="0"/>
                <w:numId w:val="5"/>
              </w:numPr>
              <w:tabs>
                <w:tab w:val="left" w:pos="1440"/>
              </w:tabs>
              <w:ind w:hanging="636"/>
              <w:jc w:val="both"/>
            </w:pPr>
            <w:r w:rsidRPr="00DD2185">
              <w:t>Společnost Pfizer dává konkrétně svolení ke zveřejnění upravené verze této smlouvy přesně v soul</w:t>
            </w:r>
            <w:r w:rsidR="00224A11" w:rsidRPr="00DD2185">
              <w:t>adu s ustanoveními článku 15.2</w:t>
            </w:r>
          </w:p>
        </w:tc>
      </w:tr>
      <w:tr w:rsidR="00474215" w:rsidRPr="00DD2185" w14:paraId="6519157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C3B96E9" w14:textId="77777777" w:rsidR="00474215" w:rsidRPr="00DD2185" w:rsidRDefault="00474215" w:rsidP="00474215">
            <w:pPr>
              <w:widowControl w:val="0"/>
            </w:pPr>
          </w:p>
        </w:tc>
      </w:tr>
      <w:tr w:rsidR="00474215" w:rsidRPr="00DD2185" w14:paraId="7FF4B3F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E58CE72" w14:textId="0466785C" w:rsidR="00474215" w:rsidRPr="00DD2185" w:rsidRDefault="00224A11" w:rsidP="000D5FC6">
            <w:pPr>
              <w:widowControl w:val="0"/>
              <w:tabs>
                <w:tab w:val="left" w:pos="2160"/>
              </w:tabs>
              <w:autoSpaceDE w:val="0"/>
              <w:autoSpaceDN w:val="0"/>
              <w:adjustRightInd w:val="0"/>
              <w:ind w:left="2160" w:hanging="720"/>
              <w:jc w:val="both"/>
            </w:pPr>
            <w:r w:rsidRPr="00DD2185">
              <w:t>b</w:t>
            </w:r>
            <w:r w:rsidR="00474215" w:rsidRPr="00DD2185">
              <w:t>.</w:t>
            </w:r>
            <w:r w:rsidR="00474215" w:rsidRPr="00DD2185">
              <w:tab/>
              <w:t xml:space="preserve">Společnost Pfizer výslovně povoluje jakékoli požadované poskytnutí důvěrných informací SÚKL, příslušné IRB/NEK nebo zástupcům kontrolního úřadu. </w:t>
            </w:r>
          </w:p>
        </w:tc>
      </w:tr>
      <w:tr w:rsidR="00474215" w:rsidRPr="00DD2185" w14:paraId="7199DD3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9A81E28" w14:textId="77777777" w:rsidR="00474215" w:rsidRPr="00DD2185" w:rsidRDefault="00474215" w:rsidP="000D5FC6">
            <w:pPr>
              <w:widowControl w:val="0"/>
              <w:tabs>
                <w:tab w:val="left" w:pos="2160"/>
              </w:tabs>
              <w:autoSpaceDE w:val="0"/>
              <w:autoSpaceDN w:val="0"/>
              <w:adjustRightInd w:val="0"/>
              <w:ind w:left="2160" w:hanging="720"/>
              <w:jc w:val="both"/>
            </w:pPr>
          </w:p>
        </w:tc>
      </w:tr>
      <w:tr w:rsidR="00474215" w:rsidRPr="00DD2185" w14:paraId="664A936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6C95EE7" w14:textId="0300C73A" w:rsidR="00474215" w:rsidRPr="00DD2185" w:rsidRDefault="00224A11" w:rsidP="000D5FC6">
            <w:pPr>
              <w:widowControl w:val="0"/>
              <w:tabs>
                <w:tab w:val="left" w:pos="2160"/>
              </w:tabs>
              <w:autoSpaceDE w:val="0"/>
              <w:autoSpaceDN w:val="0"/>
              <w:adjustRightInd w:val="0"/>
              <w:ind w:left="2160" w:hanging="720"/>
              <w:jc w:val="both"/>
            </w:pPr>
            <w:r w:rsidRPr="00DD2185">
              <w:t>c</w:t>
            </w:r>
            <w:r w:rsidR="00474215" w:rsidRPr="00DD2185">
              <w:t>.</w:t>
            </w:r>
            <w:r w:rsidR="00474215" w:rsidRPr="00DD2185">
              <w:tab/>
              <w:t xml:space="preserve">Povolená použití údajů ze studie a údajů z analýz biologických vzorků jsou popsána ve článku 15 (Publikace) této smlouvy a použití osobních údajů je popsáno ve článku 6 (Ochrana osobních údajů a sdělování finančních informací FDA) a 12.2. (Osobní údaje zástupce společnosti Pfizer).  </w:t>
            </w:r>
          </w:p>
        </w:tc>
      </w:tr>
      <w:tr w:rsidR="00474215" w:rsidRPr="00DD2185" w14:paraId="48AB8F4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6063EFF" w14:textId="77777777" w:rsidR="00474215" w:rsidRPr="00DD2185" w:rsidRDefault="00474215" w:rsidP="00474215">
            <w:pPr>
              <w:widowControl w:val="0"/>
              <w:tabs>
                <w:tab w:val="left" w:pos="2160"/>
              </w:tabs>
            </w:pPr>
          </w:p>
        </w:tc>
      </w:tr>
      <w:tr w:rsidR="00474215" w:rsidRPr="00DD2185" w14:paraId="5F440F2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8A4A468" w14:textId="49CEF05C" w:rsidR="00474215" w:rsidRPr="00DD2185" w:rsidRDefault="00474215" w:rsidP="000D5FC6">
            <w:pPr>
              <w:widowControl w:val="0"/>
              <w:tabs>
                <w:tab w:val="left" w:pos="1440"/>
              </w:tabs>
              <w:ind w:left="1440" w:hanging="720"/>
              <w:jc w:val="both"/>
            </w:pPr>
            <w:r w:rsidRPr="00DD2185">
              <w:t>10.4</w:t>
            </w:r>
            <w:r w:rsidRPr="00DD2185">
              <w:tab/>
            </w:r>
            <w:r w:rsidRPr="00DD2185">
              <w:rPr>
                <w:u w:val="single"/>
              </w:rPr>
              <w:t>Poskytnutí informací vyžadované právními předpisy</w:t>
            </w:r>
            <w:r w:rsidRPr="00DD2185">
              <w:t>.  Pokud je sdělení důvěrných informací nad rámec výslovně povolený touto smlouvou požadováno právními předpisy, nepředstavuje takové sdělení informací porušení této smlouvy, pokud strana, která tyto informace sděluje:</w:t>
            </w:r>
          </w:p>
        </w:tc>
      </w:tr>
      <w:tr w:rsidR="00474215" w:rsidRPr="00DD2185" w14:paraId="7DE75AB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1066897" w14:textId="77777777" w:rsidR="00474215" w:rsidRPr="00DD2185" w:rsidRDefault="00474215" w:rsidP="000D5FC6">
            <w:pPr>
              <w:widowControl w:val="0"/>
              <w:jc w:val="both"/>
            </w:pPr>
          </w:p>
        </w:tc>
      </w:tr>
      <w:tr w:rsidR="00474215" w:rsidRPr="00DD2185" w14:paraId="6FBE1B9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F912ED3" w14:textId="45086A43" w:rsidR="00474215" w:rsidRPr="00DD2185" w:rsidRDefault="00474215" w:rsidP="007E4E0E">
            <w:pPr>
              <w:widowControl w:val="0"/>
              <w:tabs>
                <w:tab w:val="left" w:pos="2160"/>
              </w:tabs>
              <w:autoSpaceDE w:val="0"/>
              <w:autoSpaceDN w:val="0"/>
              <w:adjustRightInd w:val="0"/>
              <w:ind w:left="2160" w:hanging="720"/>
              <w:jc w:val="both"/>
            </w:pPr>
            <w:r w:rsidRPr="00DD2185">
              <w:t>a.</w:t>
            </w:r>
            <w:r w:rsidRPr="00DD2185">
              <w:tab/>
              <w:t xml:space="preserve">předem písemně informuje </w:t>
            </w:r>
            <w:r w:rsidR="007E4E0E" w:rsidRPr="00DD2185">
              <w:t>společnost Pfizer</w:t>
            </w:r>
            <w:r w:rsidRPr="00DD2185">
              <w:t xml:space="preserve"> s co největším možným časovým předstihem před sdělením informací, aby společnost Pfizer mohl</w:t>
            </w:r>
            <w:r w:rsidR="007E4E0E" w:rsidRPr="00DD2185">
              <w:t>a</w:t>
            </w:r>
            <w:r w:rsidRPr="00DD2185">
              <w:t xml:space="preserve"> podniknout veškeré právní kroky k ochraně svých důvěrných informací;</w:t>
            </w:r>
          </w:p>
        </w:tc>
      </w:tr>
      <w:tr w:rsidR="00474215" w:rsidRPr="00DD2185" w14:paraId="132BD75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B360A08" w14:textId="77777777" w:rsidR="00474215" w:rsidRPr="00DD2185" w:rsidRDefault="00474215" w:rsidP="000D5FC6">
            <w:pPr>
              <w:widowControl w:val="0"/>
              <w:tabs>
                <w:tab w:val="left" w:pos="2160"/>
              </w:tabs>
              <w:autoSpaceDE w:val="0"/>
              <w:autoSpaceDN w:val="0"/>
              <w:adjustRightInd w:val="0"/>
              <w:ind w:left="2160" w:hanging="720"/>
              <w:jc w:val="both"/>
            </w:pPr>
            <w:r w:rsidRPr="00DD2185">
              <w:t>b.</w:t>
            </w:r>
            <w:r w:rsidRPr="00DD2185">
              <w:tab/>
              <w:t>sdělí pouze ty důvěrné informace, které jsou vyžadovány, aby bylo vyhověno požadavkům právních předpisů, a</w:t>
            </w:r>
          </w:p>
        </w:tc>
      </w:tr>
      <w:tr w:rsidR="00474215" w:rsidRPr="00DD2185" w14:paraId="37BBD47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3F1A10B" w14:textId="77777777" w:rsidR="00474215" w:rsidRPr="00DD2185" w:rsidRDefault="00474215" w:rsidP="000D5FC6">
            <w:pPr>
              <w:widowControl w:val="0"/>
              <w:tabs>
                <w:tab w:val="left" w:pos="2160"/>
              </w:tabs>
              <w:autoSpaceDE w:val="0"/>
              <w:autoSpaceDN w:val="0"/>
              <w:adjustRightInd w:val="0"/>
              <w:ind w:left="2160" w:hanging="720"/>
              <w:jc w:val="both"/>
            </w:pPr>
            <w:r w:rsidRPr="00DD2185">
              <w:t>c.</w:t>
            </w:r>
            <w:r w:rsidRPr="00DD2185">
              <w:tab/>
              <w:t>dále zachovává důvěrnost těchto důvěrných informací ve vztahu ke všem ostatním třetím stranám.</w:t>
            </w:r>
          </w:p>
        </w:tc>
      </w:tr>
      <w:tr w:rsidR="00474215" w:rsidRPr="00DD2185" w14:paraId="05811BD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BD2151F" w14:textId="77777777" w:rsidR="00474215" w:rsidRPr="00DD2185" w:rsidRDefault="00474215" w:rsidP="000D5FC6">
            <w:pPr>
              <w:widowControl w:val="0"/>
              <w:jc w:val="both"/>
            </w:pPr>
          </w:p>
        </w:tc>
      </w:tr>
      <w:tr w:rsidR="00474215" w:rsidRPr="00DD2185" w14:paraId="64A25F8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5157E7D" w14:textId="6F83F654" w:rsidR="00474215" w:rsidRPr="00DD2185" w:rsidRDefault="00474215" w:rsidP="000D5FC6">
            <w:pPr>
              <w:widowControl w:val="0"/>
              <w:tabs>
                <w:tab w:val="left" w:pos="1440"/>
              </w:tabs>
              <w:ind w:left="1440" w:hanging="720"/>
              <w:jc w:val="both"/>
            </w:pPr>
            <w:r w:rsidRPr="00DD2185">
              <w:t>10.5</w:t>
            </w:r>
            <w:r w:rsidRPr="00DD2185">
              <w:tab/>
            </w:r>
            <w:r w:rsidRPr="00DD2185">
              <w:rPr>
                <w:u w:val="single"/>
              </w:rPr>
              <w:t>Platnost závazku zachování mlčenlivosti</w:t>
            </w:r>
            <w:r w:rsidRPr="00DD2185">
              <w:t>.  Zdravotnické zařízení a hlavní zkoušející budou během studie zachovávat mlčenlivost s ohledem na všechny důvěrné informace.  Pokud jde o důvěrné informace jiné než ty, jež se týkají údajů ze studie, údajů z analýz biologických vzorků (definovaných ve článku 11 Údaje ze studie, biologické vzorky a záznamy studie), tyto závazky nepoužívat a nesdělovat příslušné informace přetrvají po ukončení této smlouvy a zůstanou v platnosti po dobu pěti let po dokončení či ukončení studie.  Závazek zachování mlčenlivosti, pokud jde o osobní údaje, údaje ze studie a údaje z analýz biologických vzorků přetrvá, dokud hlavní zkoušející nebo zdravotnické zařízení budou tyto informace archivovat, a to kromě povoleného použití a poskytnutí informací popsaného ve článku 15 (Publikace) této smlouvy.</w:t>
            </w:r>
          </w:p>
        </w:tc>
      </w:tr>
      <w:tr w:rsidR="00474215" w:rsidRPr="00DD2185" w14:paraId="39B0BA4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6F254EC" w14:textId="77777777" w:rsidR="00474215" w:rsidRPr="00DD2185" w:rsidRDefault="00474215" w:rsidP="00474215">
            <w:pPr>
              <w:widowControl w:val="0"/>
            </w:pPr>
          </w:p>
        </w:tc>
      </w:tr>
      <w:tr w:rsidR="00474215" w:rsidRPr="00DD2185" w14:paraId="1B13522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BE7EA46" w14:textId="40B3797A" w:rsidR="00474215" w:rsidRPr="00DD2185" w:rsidRDefault="00474215" w:rsidP="000D5FC6">
            <w:pPr>
              <w:widowControl w:val="0"/>
              <w:tabs>
                <w:tab w:val="left" w:pos="1440"/>
              </w:tabs>
              <w:ind w:left="1440" w:hanging="720"/>
              <w:jc w:val="both"/>
            </w:pPr>
            <w:r w:rsidRPr="00DD2185">
              <w:t>10.6</w:t>
            </w:r>
            <w:r w:rsidRPr="00DD2185">
              <w:tab/>
            </w:r>
            <w:r w:rsidRPr="00DD2185">
              <w:rPr>
                <w:u w:val="single"/>
              </w:rPr>
              <w:t>Vrácení důvěrných informací</w:t>
            </w:r>
            <w:r w:rsidRPr="00DD2185">
              <w:t>.  Pokud o to společnost Pfizer písemně požádá, hlavní zkoušející a zdravotnické zařízení vrátí všechny důvěrné informace kromě těch, jež musí být podle platných právních předpisů uchovány na pracovišti studie nebo hlavním zkoušejícím.  Hlavní zkoušející a zdravotnické zařízení si však mohou ponechat jednu archivní kopii důvěrných informací za účelem stanovení rozsahu povinností vzniklých na základě této smlouvy.</w:t>
            </w:r>
          </w:p>
        </w:tc>
      </w:tr>
      <w:tr w:rsidR="00474215" w:rsidRPr="00DD2185" w14:paraId="6847496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F436A06" w14:textId="77777777" w:rsidR="00474215" w:rsidRPr="00DD2185" w:rsidRDefault="00474215" w:rsidP="000D5FC6">
            <w:pPr>
              <w:widowControl w:val="0"/>
              <w:tabs>
                <w:tab w:val="left" w:pos="1440"/>
              </w:tabs>
              <w:jc w:val="both"/>
            </w:pPr>
          </w:p>
        </w:tc>
      </w:tr>
      <w:tr w:rsidR="00474215" w:rsidRPr="00DD2185" w14:paraId="517B06F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1D91EB0" w14:textId="77777777" w:rsidR="00474215" w:rsidRPr="00DD2185" w:rsidRDefault="00474215" w:rsidP="000D5FC6">
            <w:pPr>
              <w:widowControl w:val="0"/>
              <w:tabs>
                <w:tab w:val="left" w:pos="720"/>
              </w:tabs>
              <w:ind w:left="720" w:hanging="720"/>
              <w:jc w:val="both"/>
            </w:pPr>
            <w:r w:rsidRPr="00DD2185">
              <w:t>11.</w:t>
            </w:r>
            <w:r w:rsidRPr="00DD2185">
              <w:tab/>
            </w:r>
            <w:r w:rsidRPr="00DD2185">
              <w:rPr>
                <w:u w:val="single"/>
              </w:rPr>
              <w:t>Údaje ze studie, biologické vzorky a záznamy studie</w:t>
            </w:r>
          </w:p>
        </w:tc>
      </w:tr>
      <w:tr w:rsidR="00474215" w:rsidRPr="00DD2185" w14:paraId="3964815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7C771C5" w14:textId="77777777" w:rsidR="00474215" w:rsidRPr="00DD2185" w:rsidRDefault="00474215" w:rsidP="000D5FC6">
            <w:pPr>
              <w:widowControl w:val="0"/>
              <w:jc w:val="both"/>
            </w:pPr>
          </w:p>
        </w:tc>
      </w:tr>
      <w:tr w:rsidR="00474215" w:rsidRPr="00DD2185" w14:paraId="220BDA0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FC19F5F" w14:textId="2762C071" w:rsidR="00474215" w:rsidRPr="00DD2185" w:rsidRDefault="00474215" w:rsidP="000D5FC6">
            <w:pPr>
              <w:widowControl w:val="0"/>
              <w:tabs>
                <w:tab w:val="left" w:pos="1440"/>
              </w:tabs>
              <w:ind w:left="1440" w:hanging="720"/>
              <w:jc w:val="both"/>
            </w:pPr>
            <w:r w:rsidRPr="00DD2185">
              <w:t>11.1</w:t>
            </w:r>
            <w:r w:rsidRPr="00DD2185">
              <w:tab/>
            </w:r>
            <w:r w:rsidRPr="00DD2185">
              <w:rPr>
                <w:u w:val="single"/>
              </w:rPr>
              <w:t>Údaje ze studie</w:t>
            </w:r>
            <w:r w:rsidRPr="00DD2185">
              <w:t>.  Hlavní zkoušející bude během této studie shromažďovat určité údaje stanovené protokolem a předloží je společnosti Pfizer nebo jejímu zástupci („</w:t>
            </w:r>
            <w:r w:rsidRPr="00DD2185">
              <w:rPr>
                <w:b/>
                <w:bCs/>
              </w:rPr>
              <w:t>údaje ze studie</w:t>
            </w:r>
            <w:r w:rsidRPr="00DD2185">
              <w:t xml:space="preserve">“).  Údaje ze studie mohou zahrnovat osobní údaje subjektů hodnocení.  Hlavní zkoušející zajistí včasné a přesné shromáždění, zaznamenání a předložení údajů ze studie, včetně dodržování časových harmonogramů zadávání údajů stanovených v dokumentu </w:t>
            </w:r>
            <w:r w:rsidRPr="00DD2185">
              <w:rPr>
                <w:i/>
                <w:iCs/>
              </w:rPr>
              <w:lastRenderedPageBreak/>
              <w:t>Požadavky na vyplnění záznamů subjektů hodnocení</w:t>
            </w:r>
            <w:r w:rsidRPr="00DD2185">
              <w:t xml:space="preserve">, který hlavnímu zkoušejícímu poskytne společnost Pfizer.  </w:t>
            </w:r>
          </w:p>
        </w:tc>
      </w:tr>
      <w:tr w:rsidR="00474215" w:rsidRPr="00DD2185" w14:paraId="1D395F8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BB80234" w14:textId="77777777" w:rsidR="00474215" w:rsidRPr="00DD2185" w:rsidRDefault="00474215" w:rsidP="000D5FC6">
            <w:pPr>
              <w:widowControl w:val="0"/>
              <w:tabs>
                <w:tab w:val="left" w:pos="1440"/>
              </w:tabs>
              <w:jc w:val="both"/>
            </w:pPr>
          </w:p>
        </w:tc>
      </w:tr>
      <w:tr w:rsidR="00474215" w:rsidRPr="00DD2185" w14:paraId="345B897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D139C2F" w14:textId="77777777" w:rsidR="00474215" w:rsidRPr="00DD2185" w:rsidRDefault="00474215" w:rsidP="000D5FC6">
            <w:pPr>
              <w:widowControl w:val="0"/>
              <w:tabs>
                <w:tab w:val="left" w:pos="2160"/>
              </w:tabs>
              <w:autoSpaceDE w:val="0"/>
              <w:autoSpaceDN w:val="0"/>
              <w:adjustRightInd w:val="0"/>
              <w:ind w:left="2160" w:hanging="720"/>
              <w:jc w:val="both"/>
              <w:rPr>
                <w:sz w:val="22"/>
                <w:szCs w:val="22"/>
              </w:rPr>
            </w:pPr>
            <w:r w:rsidRPr="00DD2185">
              <w:t>a.</w:t>
            </w:r>
            <w:r w:rsidRPr="00DD2185">
              <w:tab/>
            </w:r>
            <w:r w:rsidRPr="00DD2185">
              <w:rPr>
                <w:u w:val="single"/>
              </w:rPr>
              <w:t>Vlastnictví údajů ze studie</w:t>
            </w:r>
            <w:r w:rsidRPr="00DD2185">
              <w:t>.  S výhradou práva hlavního zkoušejícího použít údaje ze studie k publikování výsledků studie (viz článek 15, Publikace) je výhradním vlastníkem všech údajů ze studie společnost Pfizer</w:t>
            </w:r>
            <w:r w:rsidRPr="00DD2185">
              <w:rPr>
                <w:sz w:val="22"/>
                <w:szCs w:val="22"/>
              </w:rPr>
              <w:t>.</w:t>
            </w:r>
            <w:r w:rsidRPr="00DD2185">
              <w:rPr>
                <w:i/>
                <w:iCs/>
                <w:sz w:val="22"/>
                <w:szCs w:val="22"/>
              </w:rPr>
              <w:t xml:space="preserve"> </w:t>
            </w:r>
          </w:p>
        </w:tc>
      </w:tr>
      <w:tr w:rsidR="00474215" w:rsidRPr="00DD2185" w14:paraId="1711236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6B69F7C" w14:textId="77777777" w:rsidR="00474215" w:rsidRPr="00DD2185" w:rsidRDefault="00474215" w:rsidP="000D5FC6">
            <w:pPr>
              <w:widowControl w:val="0"/>
              <w:tabs>
                <w:tab w:val="left" w:pos="2160"/>
              </w:tabs>
              <w:autoSpaceDE w:val="0"/>
              <w:autoSpaceDN w:val="0"/>
              <w:adjustRightInd w:val="0"/>
              <w:ind w:left="2160" w:hanging="720"/>
              <w:jc w:val="both"/>
            </w:pPr>
          </w:p>
        </w:tc>
      </w:tr>
      <w:tr w:rsidR="00474215" w:rsidRPr="00DD2185" w14:paraId="28707A3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788DC1A" w14:textId="73DFF6BC" w:rsidR="00474215" w:rsidRPr="00DD2185" w:rsidRDefault="00474215" w:rsidP="000D5FC6">
            <w:pPr>
              <w:widowControl w:val="0"/>
              <w:tabs>
                <w:tab w:val="left" w:pos="2160"/>
              </w:tabs>
              <w:autoSpaceDE w:val="0"/>
              <w:autoSpaceDN w:val="0"/>
              <w:adjustRightInd w:val="0"/>
              <w:ind w:left="2160" w:hanging="720"/>
              <w:jc w:val="both"/>
            </w:pPr>
            <w:r w:rsidRPr="00DD2185">
              <w:t>b.</w:t>
            </w:r>
            <w:r w:rsidRPr="00DD2185">
              <w:tab/>
            </w:r>
            <w:r w:rsidRPr="00DD2185">
              <w:rPr>
                <w:u w:val="single"/>
              </w:rPr>
              <w:t>Zdravotní dokumentace</w:t>
            </w:r>
            <w:r w:rsidRPr="00DD2185">
              <w:rPr>
                <w:b/>
                <w:bCs/>
              </w:rPr>
              <w:t>.</w:t>
            </w:r>
            <w:r w:rsidRPr="00DD2185">
              <w:t xml:space="preserve">  Zdravotní dokumentace subjektů hodnocení, která nebude předána společnosti Pfizer, může obsahovat některé informace zahrnuté v údajích ze studie; společnost Pfizer si však na tyto dokumenty ani informace v nich obsažené nečiní vlastnický nárok. </w:t>
            </w:r>
          </w:p>
        </w:tc>
      </w:tr>
      <w:tr w:rsidR="00474215" w:rsidRPr="00DD2185" w14:paraId="570DFFC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E0D15E5" w14:textId="77777777" w:rsidR="00474215" w:rsidRPr="00DD2185" w:rsidRDefault="00474215" w:rsidP="000D5FC6">
            <w:pPr>
              <w:widowControl w:val="0"/>
              <w:tabs>
                <w:tab w:val="left" w:pos="2160"/>
              </w:tabs>
              <w:autoSpaceDE w:val="0"/>
              <w:autoSpaceDN w:val="0"/>
              <w:adjustRightInd w:val="0"/>
              <w:ind w:left="2160" w:hanging="720"/>
              <w:jc w:val="both"/>
            </w:pPr>
          </w:p>
        </w:tc>
      </w:tr>
      <w:tr w:rsidR="00474215" w:rsidRPr="00DD2185" w14:paraId="6953799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F1B6737" w14:textId="336DBAFD" w:rsidR="00474215" w:rsidRPr="00DD2185" w:rsidRDefault="00474215" w:rsidP="000D5FC6">
            <w:pPr>
              <w:widowControl w:val="0"/>
              <w:tabs>
                <w:tab w:val="left" w:pos="2160"/>
              </w:tabs>
              <w:autoSpaceDE w:val="0"/>
              <w:autoSpaceDN w:val="0"/>
              <w:adjustRightInd w:val="0"/>
              <w:ind w:left="2160" w:hanging="720"/>
              <w:jc w:val="both"/>
            </w:pPr>
            <w:r w:rsidRPr="00DD2185">
              <w:t>c.</w:t>
            </w:r>
            <w:r w:rsidRPr="00DD2185">
              <w:tab/>
            </w:r>
            <w:r w:rsidRPr="00DD2185">
              <w:rPr>
                <w:u w:val="single"/>
              </w:rPr>
              <w:t>Kontrola údajů prováděná společností Pfizer</w:t>
            </w:r>
            <w:r w:rsidRPr="00DD2185">
              <w:t xml:space="preserve">.  Společnost Pfizer bude obdržené údaje ze studie průběžně kontrolovat.  Společnost Pfizer bude dodržovat platné předpisy stanovující povinnost informovat zúčastněné zkoušející o nových údajích o bezpečnosti léčiva společnosti Pfizer (podle definice ve článku 8 této smlouvy).  Společnost Pfizer se dále zavazuje neprodleně sdělit hlavnímu zkoušejícímu veškeré další nové informace, o nichž se dozví a které by mohly ovlivnit bezpečnost subjektů hodnocení nebo provádění studie.   </w:t>
            </w:r>
          </w:p>
        </w:tc>
      </w:tr>
      <w:tr w:rsidR="00474215" w:rsidRPr="00DD2185" w14:paraId="68D46D3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26CF3DE" w14:textId="77777777" w:rsidR="00474215" w:rsidRPr="00DD2185" w:rsidRDefault="00474215" w:rsidP="000D5FC6">
            <w:pPr>
              <w:widowControl w:val="0"/>
              <w:jc w:val="both"/>
            </w:pPr>
          </w:p>
        </w:tc>
      </w:tr>
      <w:tr w:rsidR="00474215" w:rsidRPr="00DD2185" w14:paraId="7B1D1FC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86E50C3" w14:textId="0DF48BB7" w:rsidR="00474215" w:rsidRPr="00DD2185" w:rsidRDefault="00474215" w:rsidP="000D5FC6">
            <w:pPr>
              <w:widowControl w:val="0"/>
              <w:tabs>
                <w:tab w:val="left" w:pos="2160"/>
              </w:tabs>
              <w:autoSpaceDE w:val="0"/>
              <w:autoSpaceDN w:val="0"/>
              <w:adjustRightInd w:val="0"/>
              <w:ind w:left="2160" w:hanging="720"/>
              <w:jc w:val="both"/>
            </w:pPr>
            <w:r w:rsidRPr="00DD2185">
              <w:t>d.</w:t>
            </w:r>
            <w:r w:rsidRPr="00DD2185">
              <w:tab/>
            </w:r>
            <w:r w:rsidRPr="00DD2185">
              <w:rPr>
                <w:u w:val="single"/>
              </w:rPr>
              <w:t>Výsledky studie</w:t>
            </w:r>
            <w:r w:rsidRPr="00DD2185">
              <w:t>.  Po dokončení analýzy údajů ze studie ze všech pracovišť poskytne společnost Pfizer hlavnímu zkoušejícímu shrnutí celkových výsledků studie.  Společnost Pfizer doporučuje hlavnímu zkoušejícímu, aby v příslušných případech sdělil výsledky subjektům hodnocení.  Pokud do dvou let po dokončení studie společnost Pfizer identifikuje výsledky, které by mohly ovlivnit bezpečnost subjektů hodnocení, po poradě se SÚKL a/nebo případně IRB/NEK ve spolupráci s hlavním zkoušejícím nebo zdravotnickým zařízením zajistí, že hlavní zkoušející nebo zdravotnické zařízení tyto výsledky odpovídajícím způsobem sdělí subjektům hodnocení.</w:t>
            </w:r>
          </w:p>
        </w:tc>
      </w:tr>
      <w:tr w:rsidR="00474215" w:rsidRPr="00DD2185" w14:paraId="7B671BD4"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75823EE" w14:textId="77777777" w:rsidR="00474215" w:rsidRPr="00DD2185" w:rsidRDefault="00474215" w:rsidP="00474215">
            <w:pPr>
              <w:widowControl w:val="0"/>
              <w:tabs>
                <w:tab w:val="left" w:pos="2160"/>
              </w:tabs>
            </w:pPr>
          </w:p>
        </w:tc>
      </w:tr>
      <w:tr w:rsidR="00474215" w:rsidRPr="00DD2185" w14:paraId="44973B41"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DA380F6" w14:textId="24017787" w:rsidR="00474215" w:rsidRPr="00DD2185" w:rsidRDefault="00474215" w:rsidP="000D5FC6">
            <w:pPr>
              <w:widowControl w:val="0"/>
              <w:tabs>
                <w:tab w:val="left" w:pos="1440"/>
              </w:tabs>
              <w:ind w:left="1440" w:hanging="720"/>
              <w:jc w:val="both"/>
            </w:pPr>
            <w:r w:rsidRPr="00DD2185">
              <w:t>11.2</w:t>
            </w:r>
            <w:r w:rsidRPr="00DD2185">
              <w:tab/>
            </w:r>
            <w:r w:rsidRPr="00DD2185">
              <w:rPr>
                <w:u w:val="single"/>
              </w:rPr>
              <w:t>Biologické vzorky</w:t>
            </w:r>
            <w:r w:rsidRPr="00DD2185">
              <w:t xml:space="preserve">.  Je-li to stanoveno v protokolu a ve formuláři informovaného souhlasu, může hlavní zkoušející odebírat subjektům hodnocení biologické vzorky (např. krev, moč, tkáň, sliny atd.) k testům, které přímo nesouvisejí s péčí o subjekty hodnocení nebo s monitorováním bezpečnosti, jako jsou farmakokinetické nebo </w:t>
            </w:r>
            <w:proofErr w:type="spellStart"/>
            <w:r w:rsidRPr="00DD2185">
              <w:t>farmakogenomické</w:t>
            </w:r>
            <w:proofErr w:type="spellEnd"/>
            <w:r w:rsidRPr="00DD2185">
              <w:t xml:space="preserve"> testy nebo testy ke stanovení biomarkerů („</w:t>
            </w:r>
            <w:r w:rsidRPr="00DD2185">
              <w:rPr>
                <w:b/>
                <w:bCs/>
              </w:rPr>
              <w:t>biologické vzorky</w:t>
            </w:r>
            <w:r w:rsidRPr="00DD2185">
              <w:t>“), a může tyto biologické vzorky poskytnout společnosti Pfizer nebo její pověřené osobě. Biologické vzorky mohou zahrnovat osobní údaje subjektů hodnocení.</w:t>
            </w:r>
            <w:r w:rsidRPr="00DD2185">
              <w:rPr>
                <w:b/>
                <w:bCs/>
                <w:color w:val="FF0000"/>
              </w:rPr>
              <w:t xml:space="preserve"> </w:t>
            </w:r>
          </w:p>
        </w:tc>
      </w:tr>
      <w:tr w:rsidR="00474215" w:rsidRPr="00DD2185" w14:paraId="50B65C95"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8C8F6F0" w14:textId="77777777" w:rsidR="00474215" w:rsidRPr="00DD2185" w:rsidRDefault="00474215" w:rsidP="000D5FC6">
            <w:pPr>
              <w:widowControl w:val="0"/>
              <w:jc w:val="both"/>
            </w:pPr>
          </w:p>
        </w:tc>
      </w:tr>
      <w:tr w:rsidR="00474215" w:rsidRPr="00DD2185" w14:paraId="560F01C3"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F0AA2A8" w14:textId="675346BD" w:rsidR="00474215" w:rsidRPr="00DD2185" w:rsidRDefault="00474215" w:rsidP="000D5FC6">
            <w:pPr>
              <w:widowControl w:val="0"/>
              <w:tabs>
                <w:tab w:val="left" w:pos="2160"/>
              </w:tabs>
              <w:autoSpaceDE w:val="0"/>
              <w:autoSpaceDN w:val="0"/>
              <w:adjustRightInd w:val="0"/>
              <w:ind w:left="2160" w:hanging="720"/>
              <w:jc w:val="both"/>
              <w:rPr>
                <w:u w:val="single"/>
              </w:rPr>
            </w:pPr>
            <w:r w:rsidRPr="00DD2185">
              <w:t>a.</w:t>
            </w:r>
            <w:r w:rsidRPr="00DD2185">
              <w:tab/>
            </w:r>
            <w:r w:rsidRPr="00DD2185">
              <w:rPr>
                <w:u w:val="single"/>
              </w:rPr>
              <w:t>Použití</w:t>
            </w:r>
            <w:r w:rsidRPr="00DD2185">
              <w:t xml:space="preserve">.  Hlavní zkoušející ani zdravotnické zařízení nebudou biologické vzorky odebrané podle protokolu používat žádným jiným způsobem ani k žádnému jinému účelu, než je výslovně uvedeno v protokolu.   Společnost Pfizer bude biologické vzorky používat pouze způsoby povolenými formulářem informovaného souhlasu, v </w:t>
            </w:r>
            <w:proofErr w:type="gramStart"/>
            <w:r w:rsidRPr="00DD2185">
              <w:lastRenderedPageBreak/>
              <w:t>souladu</w:t>
            </w:r>
            <w:proofErr w:type="gramEnd"/>
            <w:r w:rsidRPr="00DD2185">
              <w:t xml:space="preserve"> s nímž byly získány.</w:t>
            </w:r>
          </w:p>
        </w:tc>
      </w:tr>
      <w:tr w:rsidR="00474215" w:rsidRPr="00DD2185" w14:paraId="1FA854F8"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8C383EA" w14:textId="77777777" w:rsidR="00474215" w:rsidRPr="00DD2185" w:rsidRDefault="00474215" w:rsidP="000D5FC6">
            <w:pPr>
              <w:widowControl w:val="0"/>
              <w:autoSpaceDE w:val="0"/>
              <w:autoSpaceDN w:val="0"/>
              <w:adjustRightInd w:val="0"/>
              <w:ind w:left="2160" w:hanging="720"/>
              <w:jc w:val="both"/>
              <w:rPr>
                <w:u w:val="single"/>
              </w:rPr>
            </w:pPr>
          </w:p>
        </w:tc>
      </w:tr>
      <w:tr w:rsidR="00474215" w:rsidRPr="00DD2185" w14:paraId="3024F0BF"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7D060F9" w14:textId="62C1AABA" w:rsidR="00474215" w:rsidRPr="00DD2185" w:rsidRDefault="00474215" w:rsidP="000D5FC6">
            <w:pPr>
              <w:widowControl w:val="0"/>
              <w:tabs>
                <w:tab w:val="left" w:pos="2160"/>
              </w:tabs>
              <w:autoSpaceDE w:val="0"/>
              <w:autoSpaceDN w:val="0"/>
              <w:adjustRightInd w:val="0"/>
              <w:ind w:left="2160" w:hanging="720"/>
              <w:jc w:val="both"/>
              <w:rPr>
                <w:highlight w:val="yellow"/>
                <w:u w:val="single"/>
              </w:rPr>
            </w:pPr>
            <w:r w:rsidRPr="00DD2185">
              <w:t>b.</w:t>
            </w:r>
            <w:r w:rsidRPr="00DD2185">
              <w:tab/>
            </w:r>
            <w:r w:rsidRPr="00DD2185">
              <w:rPr>
                <w:u w:val="single"/>
              </w:rPr>
              <w:t>Údaje z analýz</w:t>
            </w:r>
            <w:r w:rsidRPr="00DD2185">
              <w:t>.  Společnost Pfizer nebo její pověřené osoby provedou testy biologických vzorků, jak je popsáno v protokolu.  Pokud není v protokolu uvedeno jinak, společnost Pfizer neplánuje poskytnout výsledky takových testů („</w:t>
            </w:r>
            <w:r w:rsidRPr="00DD2185">
              <w:rPr>
                <w:b/>
                <w:bCs/>
              </w:rPr>
              <w:t>údaje z analýz biologických vzorků</w:t>
            </w:r>
            <w:r w:rsidRPr="00DD2185">
              <w:t xml:space="preserve">“) hlavnímu zkoušejícímu, zdravotnickému zařízení ani subjektu hodnocení.  Jestliže společnost Pfizer poskytne údaje z analýz biologických vzorků hlavnímu zkoušejícímu nebo zdravotnickému zařízení, budou se na tyto údaje vztahovat ustanovení článku 11.1 (Údaje ze studie) této smlouvy a tyto údaje budou pro účely této smlouvy považovány za součást údajů ze studie a mohou být hlavním zkoušejícím použity k přípravě publikací výsledků studie (viz článek 15, Publikace). </w:t>
            </w:r>
          </w:p>
        </w:tc>
      </w:tr>
      <w:tr w:rsidR="00474215" w:rsidRPr="00DD2185" w14:paraId="426CB1D4"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434A362" w14:textId="77777777" w:rsidR="00474215" w:rsidRPr="00DD2185" w:rsidRDefault="00474215" w:rsidP="000D5FC6">
            <w:pPr>
              <w:widowControl w:val="0"/>
              <w:autoSpaceDE w:val="0"/>
              <w:autoSpaceDN w:val="0"/>
              <w:adjustRightInd w:val="0"/>
              <w:ind w:left="2160" w:hanging="720"/>
              <w:jc w:val="both"/>
              <w:rPr>
                <w:u w:val="single"/>
              </w:rPr>
            </w:pPr>
          </w:p>
        </w:tc>
      </w:tr>
      <w:tr w:rsidR="00474215" w:rsidRPr="00DD2185" w14:paraId="10F769EC"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661F960" w14:textId="27A8C9FE" w:rsidR="00474215" w:rsidRPr="00DD2185" w:rsidRDefault="00474215" w:rsidP="007E4E0E">
            <w:pPr>
              <w:pStyle w:val="ListParagraph"/>
              <w:widowControl w:val="0"/>
              <w:numPr>
                <w:ilvl w:val="0"/>
                <w:numId w:val="5"/>
              </w:numPr>
              <w:tabs>
                <w:tab w:val="left" w:pos="2160"/>
              </w:tabs>
              <w:autoSpaceDE w:val="0"/>
              <w:autoSpaceDN w:val="0"/>
              <w:adjustRightInd w:val="0"/>
              <w:jc w:val="both"/>
            </w:pPr>
            <w:r w:rsidRPr="00DD2185">
              <w:rPr>
                <w:u w:val="single"/>
              </w:rPr>
              <w:t>Vlastnictví</w:t>
            </w:r>
            <w:r w:rsidRPr="00DD2185">
              <w:t>.  Společnost Pfizer je výlučným vlastníkem všech biologických vzorků a údajů z analýz biologických vzorků.</w:t>
            </w:r>
          </w:p>
          <w:p w14:paraId="5EEEF9F1" w14:textId="77777777" w:rsidR="007E4E0E" w:rsidRPr="00DD2185" w:rsidRDefault="007E4E0E" w:rsidP="007E4E0E">
            <w:pPr>
              <w:pStyle w:val="ListParagraph"/>
              <w:widowControl w:val="0"/>
              <w:tabs>
                <w:tab w:val="left" w:pos="2160"/>
              </w:tabs>
              <w:autoSpaceDE w:val="0"/>
              <w:autoSpaceDN w:val="0"/>
              <w:adjustRightInd w:val="0"/>
              <w:ind w:left="2146"/>
              <w:jc w:val="both"/>
              <w:rPr>
                <w:u w:val="single"/>
              </w:rPr>
            </w:pPr>
          </w:p>
        </w:tc>
      </w:tr>
      <w:tr w:rsidR="00AE4270" w:rsidRPr="00DD2185" w14:paraId="536E6E79"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A72DBFD" w14:textId="77777777" w:rsidR="00AE4270" w:rsidRPr="00DD2185" w:rsidRDefault="00AE4270" w:rsidP="00AE4270">
            <w:pPr>
              <w:pStyle w:val="ListParagraph"/>
              <w:widowControl w:val="0"/>
              <w:tabs>
                <w:tab w:val="left" w:pos="2160"/>
              </w:tabs>
              <w:autoSpaceDE w:val="0"/>
              <w:autoSpaceDN w:val="0"/>
              <w:adjustRightInd w:val="0"/>
              <w:ind w:left="2146"/>
              <w:jc w:val="both"/>
              <w:rPr>
                <w:u w:val="single"/>
              </w:rPr>
            </w:pPr>
          </w:p>
        </w:tc>
      </w:tr>
      <w:tr w:rsidR="00AE4270" w:rsidRPr="00DD2185" w14:paraId="48F03A53"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6B2EB0D" w14:textId="7E2AF426" w:rsidR="00AE4270" w:rsidRPr="00E468EB" w:rsidRDefault="00AE4270" w:rsidP="00E468EB">
            <w:pPr>
              <w:widowControl w:val="0"/>
              <w:ind w:left="1440" w:hanging="720"/>
              <w:jc w:val="both"/>
              <w:rPr>
                <w:i/>
                <w:lang w:val="cs"/>
              </w:rPr>
            </w:pPr>
            <w:r w:rsidRPr="00DD2185">
              <w:rPr>
                <w:lang w:val="cs"/>
              </w:rPr>
              <w:t>11.3</w:t>
            </w:r>
            <w:r w:rsidRPr="00DD2185">
              <w:rPr>
                <w:lang w:val="cs"/>
              </w:rPr>
              <w:tab/>
            </w:r>
            <w:r w:rsidRPr="00DD2185">
              <w:rPr>
                <w:u w:val="single"/>
                <w:lang w:val="cs"/>
              </w:rPr>
              <w:t>Záznamy studie</w:t>
            </w:r>
            <w:r w:rsidRPr="00DD2185">
              <w:rPr>
                <w:lang w:val="cs"/>
              </w:rPr>
              <w:t>.  Zdravotnické zařízení bude svým jménem a jménem hlavního zkoušejícího uchovávat záznamy subjektů hodnocení ze studie, které zahrnují kopie všech údajů ze studie hlavního zkoušejícího i příslušné zdrojové dokumenty (souhrnně jen „</w:t>
            </w:r>
            <w:r w:rsidRPr="00DD2185">
              <w:rPr>
                <w:b/>
                <w:bCs/>
                <w:lang w:val="cs"/>
              </w:rPr>
              <w:t>záznamy studie</w:t>
            </w:r>
            <w:r w:rsidRPr="00DD2185">
              <w:rPr>
                <w:lang w:val="cs"/>
              </w:rPr>
              <w:t>“) ve skladovacích podmínkách zajišťujících jejich stabilitu a ochranu, a to po dobu 25 let</w:t>
            </w:r>
            <w:r w:rsidRPr="00DD2185">
              <w:rPr>
                <w:i/>
                <w:iCs/>
                <w:color w:val="0000FF"/>
                <w:lang w:val="cs"/>
              </w:rPr>
              <w:t xml:space="preserve"> </w:t>
            </w:r>
            <w:r w:rsidRPr="00DD2185">
              <w:rPr>
                <w:lang w:val="cs"/>
              </w:rPr>
              <w:t xml:space="preserve">po dokončení či ukončení studie.  Zdravotnické zařízení souhlasí s tím, že bude před zničením záznamů studie kontaktovat společnost Pfizer na e-mailové adrese </w:t>
            </w:r>
            <w:proofErr w:type="spellStart"/>
            <w:r w:rsidR="00212BD2" w:rsidRPr="00212BD2">
              <w:rPr>
                <w:b/>
                <w:bCs/>
                <w:highlight w:val="black"/>
              </w:rPr>
              <w:t>xxxxxxxxxxxxxxxxxxxxxxxxxxxxxx</w:t>
            </w:r>
            <w:proofErr w:type="spellEnd"/>
            <w:r w:rsidRPr="00DD2185">
              <w:rPr>
                <w:lang w:val="cs"/>
              </w:rPr>
              <w:t>, a hlavní zkoušející a zdravotnické zařízení dále souhlasí s tím, že povolí společnosti Pfizer, aby v případě nutnosti na své náklady zajistila, že záznamy studie budou uchovávány delší dobu za předpokladu, že bude chráněna důvěrnost těchto záznamů (např. bezpečným uložením mimo pracoviště).</w:t>
            </w:r>
          </w:p>
        </w:tc>
      </w:tr>
      <w:tr w:rsidR="00AE4270" w:rsidRPr="00DD2185" w14:paraId="4CF5915F"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EF876E1" w14:textId="77777777" w:rsidR="00AE4270" w:rsidRPr="00DD2185" w:rsidRDefault="00AE4270" w:rsidP="000728C1">
            <w:pPr>
              <w:widowControl w:val="0"/>
              <w:tabs>
                <w:tab w:val="left" w:pos="720"/>
              </w:tabs>
              <w:ind w:left="720" w:hanging="720"/>
              <w:jc w:val="both"/>
            </w:pPr>
          </w:p>
        </w:tc>
      </w:tr>
      <w:tr w:rsidR="00AE4270" w:rsidRPr="00DD2185" w14:paraId="1828A11F"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F2154F1" w14:textId="2D8B1AD8" w:rsidR="00AE4270" w:rsidRPr="00DD2185" w:rsidRDefault="00AE4270" w:rsidP="00B838F7">
            <w:pPr>
              <w:pStyle w:val="ListParagraph"/>
              <w:numPr>
                <w:ilvl w:val="1"/>
                <w:numId w:val="50"/>
              </w:numPr>
              <w:ind w:left="1456" w:hanging="709"/>
              <w:jc w:val="both"/>
              <w:rPr>
                <w:i/>
              </w:rPr>
            </w:pPr>
            <w:r w:rsidRPr="00DD2185">
              <w:rPr>
                <w:u w:val="single"/>
                <w:lang w:val="cs"/>
              </w:rPr>
              <w:t>Elektronická dokumentace pracoviště zkoušejícího.</w:t>
            </w:r>
            <w:r w:rsidRPr="00DD2185">
              <w:rPr>
                <w:lang w:val="cs"/>
              </w:rPr>
              <w:t xml:space="preserve">  Společnost Pfizer může zdravotnické zařízení požádat, aby používalo řešení pro elektronickou dokumentaci pracoviště zkoušejícího specifikované společností Pfizer nebo může schválit použití řešení pro elektronickou dokumentaci pracoviště zkoušejícího poskytnuté zdravotnickým zařízením (souhrnně jen „</w:t>
            </w:r>
            <w:r w:rsidRPr="00DD2185">
              <w:rPr>
                <w:b/>
                <w:bCs/>
                <w:lang w:val="cs"/>
              </w:rPr>
              <w:t>řešení e-ISF</w:t>
            </w:r>
            <w:r w:rsidRPr="00DD2185">
              <w:rPr>
                <w:lang w:val="cs"/>
              </w:rPr>
              <w:t>“) pro vedení dokumentace pracoviště zkoušejícího ve zdravotnickém zařízení, která zahrnuje záznamy studie.</w:t>
            </w:r>
            <w:r w:rsidRPr="00DD2185">
              <w:rPr>
                <w:i/>
                <w:iCs/>
                <w:lang w:val="cs"/>
              </w:rPr>
              <w:t xml:space="preserve"> </w:t>
            </w:r>
          </w:p>
          <w:p w14:paraId="3CC4A341" w14:textId="77777777" w:rsidR="00AE4270" w:rsidRPr="00DD2185" w:rsidRDefault="00AE4270" w:rsidP="009122D6">
            <w:pPr>
              <w:pStyle w:val="ListParagraph"/>
              <w:ind w:left="1440"/>
              <w:jc w:val="both"/>
              <w:rPr>
                <w:i/>
              </w:rPr>
            </w:pPr>
          </w:p>
          <w:p w14:paraId="5EB7B846" w14:textId="77777777" w:rsidR="00AE4270" w:rsidRPr="00DD2185" w:rsidRDefault="00AE4270" w:rsidP="009122D6">
            <w:pPr>
              <w:pStyle w:val="ListParagraph"/>
              <w:numPr>
                <w:ilvl w:val="2"/>
                <w:numId w:val="11"/>
              </w:numPr>
              <w:jc w:val="both"/>
            </w:pPr>
            <w:r w:rsidRPr="00DD2185">
              <w:rPr>
                <w:u w:val="single"/>
                <w:lang w:val="cs"/>
              </w:rPr>
              <w:t>Použití</w:t>
            </w:r>
            <w:r w:rsidRPr="00DD2185">
              <w:rPr>
                <w:lang w:val="cs"/>
              </w:rPr>
              <w:t>.  Pokud je použití řešení e-ISF požadováno nebo schváleno společností Pfizer, zdravotnické zařízení bude souhlasit s tím, že bude používat a zajistí, aby hlavní zkoušející a pracovníci studie používali řešení e-ISF pro vedení dokumentace pracoviště zkoušejícího ve zdravotnickém zařízení.</w:t>
            </w:r>
          </w:p>
          <w:p w14:paraId="49253018" w14:textId="77777777" w:rsidR="00AE4270" w:rsidRPr="00DD2185" w:rsidRDefault="00AE4270" w:rsidP="009122D6">
            <w:pPr>
              <w:pStyle w:val="ListParagraph"/>
              <w:ind w:left="1440"/>
              <w:jc w:val="both"/>
              <w:rPr>
                <w:i/>
              </w:rPr>
            </w:pPr>
          </w:p>
          <w:p w14:paraId="5AF58628" w14:textId="17D8E10A" w:rsidR="00AE4270" w:rsidRPr="00DD2185" w:rsidRDefault="00AE4270" w:rsidP="00E468EB">
            <w:pPr>
              <w:pStyle w:val="ListParagraph"/>
              <w:numPr>
                <w:ilvl w:val="2"/>
                <w:numId w:val="11"/>
              </w:numPr>
              <w:jc w:val="both"/>
            </w:pPr>
            <w:r w:rsidRPr="00DD2185">
              <w:rPr>
                <w:u w:val="single"/>
                <w:lang w:val="cs"/>
              </w:rPr>
              <w:t>Oficiální dokumentace pracoviště zkoušejícího</w:t>
            </w:r>
            <w:r w:rsidRPr="00DD2185">
              <w:rPr>
                <w:lang w:val="cs"/>
              </w:rPr>
              <w:t xml:space="preserve">.  Smluvní strany souhlasí s tím, že oficiální dokumentací pracoviště zkoušejícího a oficiálně uznaným zdrojem nezbytných dokumentů pro studii ve </w:t>
            </w:r>
            <w:r w:rsidRPr="00DD2185">
              <w:rPr>
                <w:lang w:val="cs"/>
              </w:rPr>
              <w:lastRenderedPageBreak/>
              <w:t>zdravotnickém zařízení bude elektronická dokumentace pracoviště zkoušejícího, kterou zdravotnické zařízení a hlavní zkoušející vedou prostřednictvím řešení e-ISF.</w:t>
            </w:r>
          </w:p>
        </w:tc>
      </w:tr>
      <w:tr w:rsidR="00AE4270" w:rsidRPr="00DD2185" w14:paraId="6C4817E0"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6977AA0" w14:textId="77777777" w:rsidR="00AE4270" w:rsidRPr="00DD2185" w:rsidRDefault="00AE4270" w:rsidP="00AE4270">
            <w:pPr>
              <w:widowControl w:val="0"/>
              <w:tabs>
                <w:tab w:val="left" w:pos="720"/>
              </w:tabs>
              <w:ind w:left="720" w:hanging="720"/>
              <w:jc w:val="both"/>
            </w:pPr>
          </w:p>
        </w:tc>
      </w:tr>
      <w:tr w:rsidR="00AE4270" w:rsidRPr="00DD2185" w14:paraId="0A8592E6"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4F5F35A" w14:textId="77777777" w:rsidR="00AE4270" w:rsidRPr="00DD2185" w:rsidRDefault="00AE4270" w:rsidP="00AE4270">
            <w:pPr>
              <w:widowControl w:val="0"/>
              <w:tabs>
                <w:tab w:val="left" w:pos="720"/>
              </w:tabs>
              <w:ind w:left="720" w:hanging="720"/>
              <w:jc w:val="both"/>
            </w:pPr>
            <w:r w:rsidRPr="00DD2185">
              <w:t>12.</w:t>
            </w:r>
            <w:r w:rsidRPr="00DD2185">
              <w:tab/>
            </w:r>
            <w:r w:rsidRPr="00DD2185">
              <w:rPr>
                <w:u w:val="single"/>
              </w:rPr>
              <w:t>Monitorování, inspekce a audity</w:t>
            </w:r>
          </w:p>
        </w:tc>
      </w:tr>
      <w:tr w:rsidR="00AE4270" w:rsidRPr="00DD2185" w14:paraId="4933A5F7"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16134CE" w14:textId="77777777" w:rsidR="00AE4270" w:rsidRPr="00DD2185" w:rsidRDefault="00AE4270" w:rsidP="00AE4270">
            <w:pPr>
              <w:widowControl w:val="0"/>
              <w:jc w:val="both"/>
            </w:pPr>
          </w:p>
        </w:tc>
      </w:tr>
      <w:tr w:rsidR="00AE4270" w:rsidRPr="00DD2185" w14:paraId="1A349427"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D72DA7B" w14:textId="476152CA" w:rsidR="00AE4270" w:rsidRPr="00DD2185" w:rsidRDefault="00AE4270" w:rsidP="00AE4270">
            <w:pPr>
              <w:widowControl w:val="0"/>
              <w:tabs>
                <w:tab w:val="left" w:pos="1440"/>
              </w:tabs>
              <w:ind w:left="1440" w:hanging="720"/>
              <w:jc w:val="both"/>
            </w:pPr>
            <w:r w:rsidRPr="00DD2185">
              <w:t xml:space="preserve">12.1Společnost Pfizer nebo externí poskytovatel služeb jednající jejím jménem má v úmyslu monitorovat provádění studie.  Zdravotnické zařízení povolí zástupcům společnosti Pfizer po odpovídajícím oznámení a během běžné pracovní doby přístup do prostor, k zařízení, k záznamům studie, </w:t>
            </w:r>
            <w:proofErr w:type="spellStart"/>
            <w:r w:rsidRPr="00DD2185">
              <w:t>spoluzkoušejícím</w:t>
            </w:r>
            <w:proofErr w:type="spellEnd"/>
            <w:r w:rsidRPr="00DD2185">
              <w:t xml:space="preserve"> a výzkumným pracovníkům zdravotnického zařízení tak, jak to bude potřebné pro monitorování provádění studie. Zdravotnické zařízení povolí na žádost společnosti Pfizer vzdálený elektronický přístup k záznamům studie, pokud bude k dispozici a povolen platnými právními předpisy, a společnost Pfizer bude neprodleně informovat hlavního zkoušejícího o všech poznatcích z monitorování, které by mohly ovlivnit bezpečnost subjektů hodnocení nebo provádění studie.  Hlavní zkoušející souhlasí s tím, že bude tyto informace sdílet se zdravotnickým zařízením a může o těchto zjištěních v příslušných případech informovat subjekty hodnocení.</w:t>
            </w:r>
          </w:p>
        </w:tc>
      </w:tr>
      <w:tr w:rsidR="00AE4270" w:rsidRPr="00DD2185" w14:paraId="10C9DDF5" w14:textId="77777777" w:rsidTr="00AE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D93F925" w14:textId="77777777" w:rsidR="00AE4270" w:rsidRPr="00DD2185" w:rsidRDefault="00AE4270" w:rsidP="00AE4270">
            <w:pPr>
              <w:widowControl w:val="0"/>
              <w:tabs>
                <w:tab w:val="left" w:pos="1440"/>
              </w:tabs>
              <w:jc w:val="both"/>
            </w:pPr>
          </w:p>
        </w:tc>
      </w:tr>
      <w:tr w:rsidR="00AE4270" w:rsidRPr="00DD2185" w14:paraId="69AA5C0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B54A77E" w14:textId="1F5E3FB7" w:rsidR="00AE4270" w:rsidRPr="00DD2185" w:rsidRDefault="00AE4270" w:rsidP="00AE4270">
            <w:pPr>
              <w:widowControl w:val="0"/>
              <w:tabs>
                <w:tab w:val="left" w:pos="1440"/>
              </w:tabs>
              <w:ind w:left="1440" w:hanging="720"/>
              <w:jc w:val="both"/>
            </w:pPr>
            <w:r w:rsidRPr="00DD2185">
              <w:t>12.3</w:t>
            </w:r>
            <w:r w:rsidRPr="00DD2185">
              <w:tab/>
            </w:r>
            <w:r w:rsidRPr="00DD2185">
              <w:rPr>
                <w:u w:val="single"/>
              </w:rPr>
              <w:t>Inspekce a audity</w:t>
            </w:r>
            <w:r w:rsidRPr="00DD2185">
              <w:t>.  Hlavní zkoušející a zdravotnické zařízení potvrzují, že studie podléhá inspekci ze strany kontrolních úřadů na celém světě, včetně FDA v USA, a že se takovéto inspekce mohou uskutečnit po dokončení studie a mohou zahrnovat provedení auditu záznamů studie.   Společnost Pfizer může také provádět audit záznamů studie, a to během studie nebo po jejím dokončení jako součást monitorování jejího provádění.</w:t>
            </w:r>
          </w:p>
        </w:tc>
      </w:tr>
      <w:tr w:rsidR="00AE4270" w:rsidRPr="00DD2185" w14:paraId="7DBBB48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79A18F1" w14:textId="77777777" w:rsidR="00AE4270" w:rsidRPr="00DD2185" w:rsidRDefault="00AE4270" w:rsidP="00AE4270">
            <w:pPr>
              <w:widowControl w:val="0"/>
              <w:jc w:val="both"/>
            </w:pPr>
          </w:p>
        </w:tc>
      </w:tr>
      <w:tr w:rsidR="00AE4270" w:rsidRPr="00DD2185" w14:paraId="2744A0E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50AB814" w14:textId="7DBF038D" w:rsidR="00AE4270" w:rsidRPr="00DD2185" w:rsidRDefault="00AE4270" w:rsidP="00AE4270">
            <w:pPr>
              <w:widowControl w:val="0"/>
              <w:tabs>
                <w:tab w:val="left" w:pos="2160"/>
              </w:tabs>
              <w:autoSpaceDE w:val="0"/>
              <w:autoSpaceDN w:val="0"/>
              <w:adjustRightInd w:val="0"/>
              <w:ind w:left="2160" w:hanging="720"/>
              <w:jc w:val="both"/>
            </w:pPr>
            <w:r w:rsidRPr="00DD2185">
              <w:t>a.</w:t>
            </w:r>
            <w:r w:rsidRPr="00DD2185">
              <w:tab/>
            </w:r>
            <w:r w:rsidRPr="00DD2185">
              <w:rPr>
                <w:u w:val="single"/>
              </w:rPr>
              <w:t>Oznámení</w:t>
            </w:r>
            <w:r w:rsidRPr="00DD2185">
              <w:t>.  Pokud je prováděna inspekce studie nebo pracoviště studie kontrolním úřadem nebo pokud je taková inspekce naplánována, bude hlavní zkoušející informovat společnost Pfizer.</w:t>
            </w:r>
          </w:p>
        </w:tc>
      </w:tr>
      <w:tr w:rsidR="00AE4270" w:rsidRPr="00DD2185" w14:paraId="004031B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EDE466B" w14:textId="77777777" w:rsidR="00AE4270" w:rsidRPr="00DD2185" w:rsidRDefault="00AE4270" w:rsidP="00AE4270">
            <w:pPr>
              <w:widowControl w:val="0"/>
              <w:autoSpaceDE w:val="0"/>
              <w:autoSpaceDN w:val="0"/>
              <w:adjustRightInd w:val="0"/>
              <w:ind w:left="2160" w:hanging="720"/>
              <w:jc w:val="both"/>
            </w:pPr>
          </w:p>
        </w:tc>
      </w:tr>
      <w:tr w:rsidR="00AE4270" w:rsidRPr="00DD2185" w14:paraId="73D50B0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9BF1D55" w14:textId="23F841A5" w:rsidR="00AE4270" w:rsidRPr="00DD2185" w:rsidRDefault="00AE4270" w:rsidP="00AE4270">
            <w:pPr>
              <w:widowControl w:val="0"/>
              <w:tabs>
                <w:tab w:val="left" w:pos="2160"/>
              </w:tabs>
              <w:autoSpaceDE w:val="0"/>
              <w:autoSpaceDN w:val="0"/>
              <w:adjustRightInd w:val="0"/>
              <w:ind w:left="2160" w:hanging="720"/>
              <w:jc w:val="both"/>
            </w:pPr>
            <w:r w:rsidRPr="00DD2185">
              <w:t>b.</w:t>
            </w:r>
            <w:r w:rsidRPr="00DD2185">
              <w:tab/>
            </w:r>
            <w:r w:rsidRPr="00DD2185">
              <w:rPr>
                <w:u w:val="single"/>
              </w:rPr>
              <w:t>Právo na přítomnost</w:t>
            </w:r>
            <w:r w:rsidRPr="00DD2185">
              <w:t>.  Pokud to není zakázáno platnými právními předpisy, společnost Pfizer bude mít právo být přítomna během jakékoli takové inspekce, auditu, šetření nebo kontrolní činnosti a účastnit se jich.</w:t>
            </w:r>
          </w:p>
        </w:tc>
      </w:tr>
      <w:tr w:rsidR="00AE4270" w:rsidRPr="00DD2185" w14:paraId="011B09B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F155998" w14:textId="77777777" w:rsidR="00AE4270" w:rsidRPr="00DD2185" w:rsidRDefault="00AE4270" w:rsidP="00AE4270">
            <w:pPr>
              <w:pStyle w:val="ListParagraph"/>
              <w:widowControl w:val="0"/>
              <w:autoSpaceDE w:val="0"/>
              <w:autoSpaceDN w:val="0"/>
              <w:adjustRightInd w:val="0"/>
              <w:ind w:left="2160" w:hanging="720"/>
              <w:jc w:val="both"/>
              <w:rPr>
                <w:u w:val="single"/>
              </w:rPr>
            </w:pPr>
          </w:p>
        </w:tc>
      </w:tr>
      <w:tr w:rsidR="00AE4270" w:rsidRPr="00DD2185" w14:paraId="57EA310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54F8D3E" w14:textId="05FB0F84" w:rsidR="00AE4270" w:rsidRPr="00DD2185" w:rsidRDefault="00AE4270" w:rsidP="00AE4270">
            <w:pPr>
              <w:widowControl w:val="0"/>
              <w:tabs>
                <w:tab w:val="left" w:pos="2160"/>
              </w:tabs>
              <w:autoSpaceDE w:val="0"/>
              <w:autoSpaceDN w:val="0"/>
              <w:adjustRightInd w:val="0"/>
              <w:ind w:left="2160" w:hanging="720"/>
              <w:jc w:val="both"/>
            </w:pPr>
            <w:r w:rsidRPr="00DD2185">
              <w:t>c.</w:t>
            </w:r>
            <w:r w:rsidRPr="00DD2185">
              <w:tab/>
            </w:r>
            <w:r w:rsidRPr="00DD2185">
              <w:rPr>
                <w:u w:val="single"/>
              </w:rPr>
              <w:t>Spolupráce</w:t>
            </w:r>
            <w:r w:rsidRPr="00DD2185">
              <w:t>.  Hlavní zkoušející a zdravotnické zařízení budou spolupracovat s kontrolním úřadem a zástupcem společnosti Pfizer při provádění inspekcí a auditů a zajistí, aby záznamy studie byly vedeny způsobem, který takovéto činnosti usnadňuje.</w:t>
            </w:r>
          </w:p>
        </w:tc>
      </w:tr>
      <w:tr w:rsidR="00AE4270" w:rsidRPr="00DD2185" w14:paraId="5C0CE0C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E66E285" w14:textId="77777777" w:rsidR="00AE4270" w:rsidRPr="00DD2185" w:rsidRDefault="00AE4270" w:rsidP="00AE4270">
            <w:pPr>
              <w:widowControl w:val="0"/>
              <w:autoSpaceDE w:val="0"/>
              <w:autoSpaceDN w:val="0"/>
              <w:adjustRightInd w:val="0"/>
              <w:ind w:left="2160" w:hanging="720"/>
              <w:jc w:val="both"/>
            </w:pPr>
          </w:p>
        </w:tc>
      </w:tr>
      <w:tr w:rsidR="00AE4270" w:rsidRPr="00DD2185" w14:paraId="61CE343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5192C87" w14:textId="77777777" w:rsidR="00AE4270" w:rsidRPr="00DD2185" w:rsidRDefault="00AE4270" w:rsidP="00AE4270">
            <w:pPr>
              <w:widowControl w:val="0"/>
              <w:tabs>
                <w:tab w:val="left" w:pos="2160"/>
              </w:tabs>
              <w:autoSpaceDE w:val="0"/>
              <w:autoSpaceDN w:val="0"/>
              <w:adjustRightInd w:val="0"/>
              <w:ind w:left="2160" w:hanging="720"/>
              <w:jc w:val="both"/>
            </w:pPr>
            <w:r w:rsidRPr="00DD2185">
              <w:t>d.</w:t>
            </w:r>
            <w:r w:rsidRPr="00DD2185">
              <w:tab/>
            </w:r>
            <w:r w:rsidRPr="00DD2185">
              <w:rPr>
                <w:u w:val="single"/>
              </w:rPr>
              <w:t>Řešení nesrovnalostí</w:t>
            </w:r>
            <w:r w:rsidRPr="00DD2185">
              <w:t>.  Zdravotnické zařízení bude prostřednictvím hlavního zkoušejícího bezodkladně řešit veškeré zjištěné nesrovnalosti mezi údaji ze studie a zdravotnickou dokumentací subjektu hodnocení.</w:t>
            </w:r>
          </w:p>
        </w:tc>
      </w:tr>
      <w:tr w:rsidR="00AE4270" w:rsidRPr="00DD2185" w14:paraId="178AC49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EB742CF" w14:textId="77777777" w:rsidR="00AE4270" w:rsidRPr="00DD2185" w:rsidRDefault="00AE4270" w:rsidP="00AE4270">
            <w:pPr>
              <w:widowControl w:val="0"/>
              <w:autoSpaceDE w:val="0"/>
              <w:autoSpaceDN w:val="0"/>
              <w:adjustRightInd w:val="0"/>
              <w:ind w:left="2160" w:hanging="720"/>
              <w:jc w:val="both"/>
            </w:pPr>
          </w:p>
        </w:tc>
      </w:tr>
      <w:tr w:rsidR="00AE4270" w:rsidRPr="00DD2185" w14:paraId="5B746B9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1A4699C" w14:textId="0629DA74" w:rsidR="00AE4270" w:rsidRPr="00DD2185" w:rsidRDefault="00AE4270" w:rsidP="00AE4270">
            <w:pPr>
              <w:widowControl w:val="0"/>
              <w:tabs>
                <w:tab w:val="left" w:pos="2160"/>
              </w:tabs>
              <w:autoSpaceDE w:val="0"/>
              <w:autoSpaceDN w:val="0"/>
              <w:adjustRightInd w:val="0"/>
              <w:ind w:left="2160" w:hanging="720"/>
              <w:jc w:val="both"/>
            </w:pPr>
            <w:r w:rsidRPr="00DD2185">
              <w:t>e.</w:t>
            </w:r>
            <w:r w:rsidRPr="00DD2185">
              <w:tab/>
            </w:r>
            <w:r w:rsidRPr="00DD2185">
              <w:rPr>
                <w:u w:val="single"/>
              </w:rPr>
              <w:t>Zjištění z inspekcí a odpovědi</w:t>
            </w:r>
            <w:r w:rsidRPr="00DD2185">
              <w:t xml:space="preserve">.  Hlavní zkoušející a zdravotnické zařízení bezodkladně předají společnosti Pfizer kopie veškerých </w:t>
            </w:r>
            <w:r w:rsidRPr="00DD2185">
              <w:lastRenderedPageBreak/>
              <w:t>zjištění z inspekce, které v souvislosti se studií obdrží od kontrolního úřadu.  Hlavní zkoušející a zdravotnické zařízení též společnosti Pfizer poskytnou příležitost k budoucímu přezkoumání a připomínkování veškerých odpovědí na inspekce kontrolními úřady související se studií, a to vždy, když to bude proveditelné a povolené právními předpisy.</w:t>
            </w:r>
          </w:p>
        </w:tc>
      </w:tr>
      <w:tr w:rsidR="00AE4270" w:rsidRPr="00DD2185" w14:paraId="12E6A4E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496A938" w14:textId="77777777" w:rsidR="00AE4270" w:rsidRPr="00DD2185" w:rsidRDefault="00AE4270" w:rsidP="00AE4270">
            <w:pPr>
              <w:widowControl w:val="0"/>
              <w:jc w:val="both"/>
            </w:pPr>
          </w:p>
        </w:tc>
      </w:tr>
      <w:tr w:rsidR="00AE4270" w:rsidRPr="00DD2185" w14:paraId="06C8E34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55130C6" w14:textId="59232F63" w:rsidR="00AE4270" w:rsidRPr="00DD2185" w:rsidRDefault="00AE4270" w:rsidP="00AE4270">
            <w:pPr>
              <w:widowControl w:val="0"/>
              <w:tabs>
                <w:tab w:val="left" w:pos="720"/>
              </w:tabs>
              <w:ind w:left="720" w:hanging="720"/>
              <w:jc w:val="both"/>
            </w:pPr>
            <w:r w:rsidRPr="00DD2185">
              <w:t>13.</w:t>
            </w:r>
            <w:r w:rsidRPr="00DD2185">
              <w:tab/>
            </w:r>
            <w:r w:rsidRPr="00DD2185">
              <w:rPr>
                <w:u w:val="single"/>
              </w:rPr>
              <w:t>Opravné prostředky v případě porušení určitých povinností v rámci studie</w:t>
            </w:r>
            <w:r w:rsidRPr="00DD2185">
              <w:t>.  V případě, že hlavní zkoušející nebo zdravotnické zařízení nesplní některý ze svých závazků stanovených ve článku 3 (Protokol), článku 7 (Informovaný souhlas a nábor subjektů), článku 11 (Údaje ze studie, biologické vzorky a záznamy studie) a článku 12 (Monitorování, inspekce a audity) této smlouvy nebo požadavky protokolu týkající se hlášení nežádoucích příhod, etického provádění studie a kontroly ze strany SÚKL/příslušné IRB/NEK, bude mít společnost Pfizer kromě svého práva okamžitě studii ukončit podle článku 18.1, písmeno c, bod 2) možnost uchýlit se k jednomu nebo oběma z následujících opravných prostředků:</w:t>
            </w:r>
          </w:p>
        </w:tc>
      </w:tr>
      <w:tr w:rsidR="00AE4270" w:rsidRPr="00DD2185" w14:paraId="581ACA8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3C3582E" w14:textId="77777777" w:rsidR="00AE4270" w:rsidRPr="00DD2185" w:rsidRDefault="00AE4270" w:rsidP="00AE4270">
            <w:pPr>
              <w:widowControl w:val="0"/>
              <w:tabs>
                <w:tab w:val="left" w:pos="2940"/>
              </w:tabs>
              <w:jc w:val="both"/>
            </w:pPr>
            <w:r w:rsidRPr="00DD2185">
              <w:tab/>
            </w:r>
            <w:r w:rsidRPr="00DD2185">
              <w:tab/>
            </w:r>
          </w:p>
        </w:tc>
      </w:tr>
      <w:tr w:rsidR="00AE4270" w:rsidRPr="00DD2185" w14:paraId="33376B6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6D98E5E" w14:textId="77777777" w:rsidR="00AE4270" w:rsidRPr="00DD2185" w:rsidRDefault="00AE4270" w:rsidP="00AE4270">
            <w:pPr>
              <w:widowControl w:val="0"/>
              <w:autoSpaceDE w:val="0"/>
              <w:autoSpaceDN w:val="0"/>
              <w:adjustRightInd w:val="0"/>
              <w:ind w:left="2160" w:hanging="720"/>
              <w:jc w:val="both"/>
            </w:pPr>
            <w:r w:rsidRPr="00DD2185">
              <w:t>a.</w:t>
            </w:r>
            <w:r w:rsidRPr="00DD2185">
              <w:tab/>
              <w:t>pozastavení zařazování subjektů hodnocení, jestliže není zařazování do studie provedeno v plném rozsahu, a</w:t>
            </w:r>
          </w:p>
        </w:tc>
      </w:tr>
      <w:tr w:rsidR="00AE4270" w:rsidRPr="00DD2185" w14:paraId="0776B25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01F9A7D" w14:textId="35DDE0C7" w:rsidR="00AE4270" w:rsidRPr="00DD2185" w:rsidRDefault="00AE4270" w:rsidP="00AE4270">
            <w:pPr>
              <w:widowControl w:val="0"/>
              <w:autoSpaceDE w:val="0"/>
              <w:autoSpaceDN w:val="0"/>
              <w:adjustRightInd w:val="0"/>
              <w:ind w:left="2160" w:hanging="720"/>
              <w:jc w:val="both"/>
            </w:pPr>
            <w:r w:rsidRPr="00DD2185">
              <w:t>b.</w:t>
            </w:r>
            <w:r w:rsidRPr="00DD2185">
              <w:tab/>
              <w:t>pozastavení všech plateb společností Pfizer.</w:t>
            </w:r>
          </w:p>
        </w:tc>
      </w:tr>
      <w:tr w:rsidR="00AE4270" w:rsidRPr="00DD2185" w14:paraId="0CA6D54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FA4498F" w14:textId="77777777" w:rsidR="00AE4270" w:rsidRPr="00DD2185" w:rsidRDefault="00AE4270" w:rsidP="00AE4270">
            <w:pPr>
              <w:widowControl w:val="0"/>
              <w:jc w:val="both"/>
            </w:pPr>
          </w:p>
        </w:tc>
      </w:tr>
      <w:tr w:rsidR="00AE4270" w:rsidRPr="00DD2185" w14:paraId="53C7371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7500470" w14:textId="057C0AE3" w:rsidR="00AE4270" w:rsidRPr="00DD2185" w:rsidRDefault="00AE4270" w:rsidP="00AE4270">
            <w:pPr>
              <w:widowControl w:val="0"/>
              <w:ind w:left="720"/>
              <w:jc w:val="both"/>
            </w:pPr>
            <w:r w:rsidRPr="00DD2185">
              <w:t>Jakékoli pozastavení zařazování nebo plateb bude pokračovat do doby, než hlavní zkoušející a zdravotnické zařízení, dle zjištění společnosti Pfizer, neobnoví dodržování svých závazků v rámci studie.  Použití jednoho nebo obou výše uvedených opravných prostředků nebrání společnosti Pfizer v uplatnění jejího práva okamžitě ukončit studii, jestliže hlavní zkoušející a zdravotnické zařízení nezačnou dodržovat své závazky.</w:t>
            </w:r>
          </w:p>
        </w:tc>
      </w:tr>
      <w:tr w:rsidR="00AE4270" w:rsidRPr="00DD2185" w14:paraId="6C25D64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C9A7276" w14:textId="77777777" w:rsidR="00AE4270" w:rsidRPr="00DD2185" w:rsidRDefault="00AE4270" w:rsidP="00AE4270">
            <w:pPr>
              <w:widowControl w:val="0"/>
              <w:jc w:val="both"/>
              <w:rPr>
                <w:b/>
                <w:color w:val="FF0000"/>
              </w:rPr>
            </w:pPr>
          </w:p>
        </w:tc>
      </w:tr>
      <w:tr w:rsidR="00AE4270" w:rsidRPr="00DD2185" w14:paraId="1F9BF98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29B6C72" w14:textId="77777777" w:rsidR="00AE4270" w:rsidRPr="00DD2185" w:rsidRDefault="00AE4270" w:rsidP="00AE4270">
            <w:pPr>
              <w:widowControl w:val="0"/>
              <w:tabs>
                <w:tab w:val="left" w:pos="720"/>
              </w:tabs>
              <w:ind w:left="720" w:hanging="720"/>
              <w:jc w:val="both"/>
            </w:pPr>
            <w:r w:rsidRPr="00DD2185">
              <w:t>14.</w:t>
            </w:r>
            <w:r w:rsidRPr="00DD2185">
              <w:tab/>
            </w:r>
            <w:r w:rsidRPr="00DD2185">
              <w:rPr>
                <w:u w:val="single"/>
              </w:rPr>
              <w:t>Vynálezy.</w:t>
            </w:r>
          </w:p>
        </w:tc>
      </w:tr>
      <w:tr w:rsidR="00AE4270" w:rsidRPr="00DD2185" w14:paraId="773DEF8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DBF8429" w14:textId="77777777" w:rsidR="00AE4270" w:rsidRPr="00DD2185" w:rsidRDefault="00AE4270" w:rsidP="00AE4270">
            <w:pPr>
              <w:widowControl w:val="0"/>
              <w:jc w:val="both"/>
            </w:pPr>
          </w:p>
        </w:tc>
      </w:tr>
      <w:tr w:rsidR="00AE4270" w:rsidRPr="00DD2185" w14:paraId="721D254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E1A4D88" w14:textId="02BA4ABC" w:rsidR="00AE4270" w:rsidRPr="00DD2185" w:rsidRDefault="00AE4270" w:rsidP="00AE4270">
            <w:pPr>
              <w:widowControl w:val="0"/>
              <w:tabs>
                <w:tab w:val="left" w:pos="1440"/>
              </w:tabs>
              <w:ind w:left="1440" w:hanging="720"/>
              <w:jc w:val="both"/>
            </w:pPr>
            <w:r w:rsidRPr="00DD2185">
              <w:t>14.1</w:t>
            </w:r>
            <w:r w:rsidRPr="00DD2185">
              <w:tab/>
            </w:r>
            <w:r w:rsidRPr="00DD2185">
              <w:rPr>
                <w:u w:val="single"/>
              </w:rPr>
              <w:t>Oznámení</w:t>
            </w:r>
            <w:r w:rsidRPr="00DD2185">
              <w:t>.  Pokud na základě provádění studie vznikne nějaké právo, jež může být uděleno nebo uznáno na základě jakýchkoli právních předpisů týkajících se patentů, autorských práv, ochranných známek, průmyslových vzorů, objevů nebo jiného duševního či průmyslového vlastnictví bez ohledu na to, zda jej lze patentovat či nikoli („</w:t>
            </w:r>
            <w:r w:rsidRPr="00DD2185">
              <w:rPr>
                <w:b/>
                <w:bCs/>
              </w:rPr>
              <w:t>vynález</w:t>
            </w:r>
            <w:r w:rsidRPr="00DD2185">
              <w:t>“), bude hlavní zkoušející bezodkladně informovat společnost Pfizer.</w:t>
            </w:r>
          </w:p>
        </w:tc>
      </w:tr>
      <w:tr w:rsidR="00AE4270" w:rsidRPr="00DD2185" w14:paraId="0D535B3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32B406C" w14:textId="77777777" w:rsidR="00AE4270" w:rsidRPr="00DD2185" w:rsidRDefault="00AE4270" w:rsidP="00AE4270">
            <w:pPr>
              <w:widowControl w:val="0"/>
              <w:jc w:val="both"/>
            </w:pPr>
          </w:p>
        </w:tc>
      </w:tr>
      <w:tr w:rsidR="00AE4270" w:rsidRPr="00DD2185" w14:paraId="6BE90D5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1DED047" w14:textId="77777777" w:rsidR="00AE4270" w:rsidRPr="00DD2185" w:rsidRDefault="00AE4270" w:rsidP="00AE4270">
            <w:pPr>
              <w:widowControl w:val="0"/>
              <w:tabs>
                <w:tab w:val="left" w:pos="1440"/>
              </w:tabs>
              <w:ind w:left="1440" w:hanging="720"/>
              <w:jc w:val="both"/>
            </w:pPr>
            <w:r w:rsidRPr="00DD2185">
              <w:t>14.2</w:t>
            </w:r>
            <w:r w:rsidRPr="00DD2185">
              <w:tab/>
            </w:r>
            <w:r w:rsidRPr="00DD2185">
              <w:rPr>
                <w:u w:val="single"/>
              </w:rPr>
              <w:t>Postoupení</w:t>
            </w:r>
            <w:r w:rsidRPr="00DD2185">
              <w:t xml:space="preserve">.  Hlavní zkoušející nebo případně zdravotnické zařízení postoupí nebo zajistí, že všichni původci vynálezu postoupí veškerá práva k takovému vynálezu společnosti Pfizer bez jakýchkoli dalších závazků nebo odměn nad rámec uvedený v této smlouvě.  Hlavní zkoušející jako autor (vynálezce, původce) a/nebo zdravotnické zařízení, jako zaměstnavatel hlavního zkoušejícího vykonávající hospodářská práva hlavního zkoušejícího jako autora (cokoli z toho platí), tímto postupuje společnosti Pfizer veškerá převoditelná práva k duševnímu vlastnictví týkající se veškerých vynálezů (zejména právo zdravotnického zařízení vykonávat hospodářská práva v souvislosti s vynálezy).  V případě, že povaha práv k duševnímu vlastnictví znemožňuje postoupení všech či některých těchto práv výše popsaným způsobem, hlavní zkoušející a/nebo zdravotnické zařízení tímto udělují </w:t>
            </w:r>
            <w:r w:rsidRPr="00DD2185">
              <w:lastRenderedPageBreak/>
              <w:t xml:space="preserve">společnosti Pfizer výslovnou, výlučnou, nezrušitelnou a bezplatnou licenci bez časového omezení k užívání a výkonu veškerých práv k duševnímu vlastnictví a k vynálezům v rozsahu povoleném příslušnými právními předpisy </w:t>
            </w:r>
            <w:r w:rsidRPr="00DD2185">
              <w:rPr>
                <w:b/>
                <w:bCs/>
              </w:rPr>
              <w:t>[pro veškeré obchodní účely, jaké si Pfizer bude přát]</w:t>
            </w:r>
            <w:r w:rsidRPr="00DD2185">
              <w:t>.  Bez ohledu na výše uvedené, hlavní zkoušející a zdravotnické zařízení tímto souhlasí s tím, že společnost Pfizer má právo udělit dílčí licence nebo převést licenci, která jí byla udělena podle tohoto článku, na třetí strany nebo licenci nevyužít.</w:t>
            </w:r>
          </w:p>
        </w:tc>
      </w:tr>
      <w:tr w:rsidR="00AE4270" w:rsidRPr="00DD2185" w14:paraId="3BA5338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6B1520A" w14:textId="77777777" w:rsidR="00AE4270" w:rsidRPr="00DD2185" w:rsidRDefault="00AE4270" w:rsidP="00AE4270">
            <w:pPr>
              <w:widowControl w:val="0"/>
            </w:pPr>
          </w:p>
        </w:tc>
      </w:tr>
      <w:tr w:rsidR="00AE4270" w:rsidRPr="00DD2185" w14:paraId="18D1407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BB5CEF4" w14:textId="77777777" w:rsidR="00AE4270" w:rsidRPr="00DD2185" w:rsidRDefault="00AE4270" w:rsidP="00AE4270">
            <w:pPr>
              <w:widowControl w:val="0"/>
              <w:tabs>
                <w:tab w:val="left" w:pos="1440"/>
              </w:tabs>
              <w:ind w:left="1440" w:hanging="720"/>
              <w:jc w:val="both"/>
            </w:pPr>
            <w:r w:rsidRPr="00DD2185">
              <w:t>14.3</w:t>
            </w:r>
            <w:r w:rsidRPr="00DD2185">
              <w:tab/>
            </w:r>
            <w:r w:rsidRPr="00DD2185">
              <w:rPr>
                <w:u w:val="single"/>
              </w:rPr>
              <w:t>Součinnost</w:t>
            </w:r>
            <w:r w:rsidRPr="00DD2185">
              <w:t>.  Hlavní zkoušející a zdravotnické zařízení poskytnou společnosti Pfizer přiměřenou součinnost při podávání a vyřizování jakýchkoli patentových přihlášek, které se týkají vynálezu, a to na náklady společnosti Pfizer.</w:t>
            </w:r>
          </w:p>
        </w:tc>
      </w:tr>
      <w:tr w:rsidR="00AE4270" w:rsidRPr="00DD2185" w14:paraId="517FFC7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EA3805B" w14:textId="77777777" w:rsidR="00AE4270" w:rsidRPr="00DD2185" w:rsidRDefault="00AE4270" w:rsidP="00AE4270">
            <w:pPr>
              <w:widowControl w:val="0"/>
              <w:tabs>
                <w:tab w:val="left" w:pos="1440"/>
              </w:tabs>
              <w:jc w:val="both"/>
            </w:pPr>
          </w:p>
        </w:tc>
      </w:tr>
      <w:tr w:rsidR="00AE4270" w:rsidRPr="00DD2185" w14:paraId="208D444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6049601" w14:textId="77777777" w:rsidR="00AE4270" w:rsidRPr="00DD2185" w:rsidRDefault="00AE4270" w:rsidP="00AE4270">
            <w:pPr>
              <w:widowControl w:val="0"/>
              <w:tabs>
                <w:tab w:val="left" w:pos="720"/>
              </w:tabs>
              <w:ind w:left="720" w:hanging="720"/>
              <w:jc w:val="both"/>
            </w:pPr>
            <w:r w:rsidRPr="00DD2185">
              <w:t>15.</w:t>
            </w:r>
            <w:r w:rsidRPr="00DD2185">
              <w:tab/>
            </w:r>
            <w:r w:rsidRPr="00DD2185">
              <w:rPr>
                <w:u w:val="single"/>
              </w:rPr>
              <w:t>Publikace</w:t>
            </w:r>
            <w:r w:rsidRPr="00DD2185">
              <w:t xml:space="preserve">.  </w:t>
            </w:r>
          </w:p>
          <w:p w14:paraId="68FB701D" w14:textId="77777777" w:rsidR="00AE4270" w:rsidRPr="00DD2185" w:rsidRDefault="00AE4270" w:rsidP="00AE4270">
            <w:pPr>
              <w:widowControl w:val="0"/>
              <w:tabs>
                <w:tab w:val="left" w:pos="720"/>
              </w:tabs>
              <w:ind w:left="720" w:hanging="720"/>
              <w:jc w:val="both"/>
            </w:pPr>
          </w:p>
          <w:p w14:paraId="1108FAE1" w14:textId="07B1F2C4" w:rsidR="00AE4270" w:rsidRPr="00DD2185" w:rsidRDefault="00AE4270" w:rsidP="00AE4270">
            <w:pPr>
              <w:widowControl w:val="0"/>
              <w:tabs>
                <w:tab w:val="left" w:pos="720"/>
              </w:tabs>
              <w:ind w:left="1440" w:hanging="720"/>
              <w:jc w:val="both"/>
            </w:pPr>
            <w:r w:rsidRPr="00DD2185">
              <w:t xml:space="preserve">15.1  </w:t>
            </w:r>
            <w:r w:rsidRPr="00DD2185">
              <w:rPr>
                <w:u w:val="single"/>
              </w:rPr>
              <w:t>Publikování výsledků studie.</w:t>
            </w:r>
            <w:r w:rsidRPr="00DD2185">
              <w:t xml:space="preserve"> Společnost Pfizer podporuje uplatňování akademické svobody a nemá žádné výhrady vůči tomu, aby hlavní zkoušející publikoval výsledky studie založené na informacích, které shromáždil nebo vytvořil bez ohledu na to, zda budou výsledky pro léčivo společnosti Pfizer příznivé, či nikoli. </w:t>
            </w:r>
          </w:p>
        </w:tc>
      </w:tr>
      <w:tr w:rsidR="00AE4270" w:rsidRPr="00DD2185" w14:paraId="67CF19C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6806C7E" w14:textId="77777777" w:rsidR="00AE4270" w:rsidRPr="00DD2185" w:rsidRDefault="00AE4270" w:rsidP="00AE4270">
            <w:pPr>
              <w:widowControl w:val="0"/>
              <w:tabs>
                <w:tab w:val="left" w:pos="720"/>
              </w:tabs>
              <w:jc w:val="both"/>
            </w:pPr>
          </w:p>
        </w:tc>
      </w:tr>
      <w:tr w:rsidR="00AE4270" w:rsidRPr="00DD2185" w14:paraId="60B37E4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F1CD8BD" w14:textId="77777777" w:rsidR="00AE4270" w:rsidRPr="00DD2185" w:rsidRDefault="00AE4270" w:rsidP="00AE4270">
            <w:pPr>
              <w:widowControl w:val="0"/>
              <w:tabs>
                <w:tab w:val="left" w:pos="1440"/>
              </w:tabs>
              <w:ind w:left="2160" w:hanging="720"/>
              <w:jc w:val="both"/>
            </w:pPr>
            <w:r w:rsidRPr="00DD2185">
              <w:t>15.1.1</w:t>
            </w:r>
            <w:r w:rsidRPr="00DD2185">
              <w:tab/>
            </w:r>
            <w:r w:rsidRPr="00DD2185">
              <w:rPr>
                <w:u w:val="single"/>
              </w:rPr>
              <w:t>Přezkoumání před zveřejněním</w:t>
            </w:r>
            <w:r w:rsidRPr="00DD2185">
              <w:t>.  Hlavní zkoušející poskytne společnosti Pfizer příležitost přezkoumat každou navrhovanou publikaci nebo jiný typ šíření výsledků studie (souhrnně „</w:t>
            </w:r>
            <w:r w:rsidRPr="00DD2185">
              <w:rPr>
                <w:b/>
                <w:bCs/>
              </w:rPr>
              <w:t>publikace</w:t>
            </w:r>
            <w:r w:rsidRPr="00DD2185">
              <w:t xml:space="preserve">“) před předložením ke zveřejnění nebo jiným šířením.  Společnost Pfizer je přezkoumá s ohledem na nechráněné vynálezy (viz článek 14, Vynálezy) a může rovněž poskytnout připomínky k obsahu.  Hlavní zkoušející vezme veškeré takové připomínky v dobré víře v úvahu, není však jeho povinností návrhy společnosti Pfizer začlenit. </w:t>
            </w:r>
          </w:p>
        </w:tc>
      </w:tr>
      <w:tr w:rsidR="00AE4270" w:rsidRPr="00DD2185" w14:paraId="6E8C412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1009620" w14:textId="77777777" w:rsidR="00AE4270" w:rsidRPr="00DD2185" w:rsidRDefault="00AE4270" w:rsidP="00AE4270">
            <w:pPr>
              <w:widowControl w:val="0"/>
              <w:tabs>
                <w:tab w:val="left" w:pos="1440"/>
              </w:tabs>
              <w:jc w:val="both"/>
            </w:pPr>
          </w:p>
        </w:tc>
      </w:tr>
      <w:tr w:rsidR="00AE4270" w:rsidRPr="00DD2185" w14:paraId="75C00D0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5ABAAB1" w14:textId="77777777" w:rsidR="00AE4270" w:rsidRPr="00DD2185" w:rsidRDefault="00AE4270" w:rsidP="00AE4270">
            <w:pPr>
              <w:widowControl w:val="0"/>
              <w:tabs>
                <w:tab w:val="left" w:pos="2160"/>
              </w:tabs>
              <w:autoSpaceDE w:val="0"/>
              <w:autoSpaceDN w:val="0"/>
              <w:adjustRightInd w:val="0"/>
              <w:ind w:left="2880" w:hanging="720"/>
              <w:jc w:val="both"/>
            </w:pPr>
            <w:r w:rsidRPr="00DD2185">
              <w:t>a.</w:t>
            </w:r>
            <w:r w:rsidRPr="00DD2185">
              <w:tab/>
            </w:r>
            <w:r w:rsidRPr="00DD2185">
              <w:rPr>
                <w:u w:val="single"/>
              </w:rPr>
              <w:t>Předložení společnosti Pfizer</w:t>
            </w:r>
            <w:r w:rsidRPr="00DD2185">
              <w:t>.  Hlavní zkoušející poskytne jakoukoli publikaci společnosti Pfizer nejméně 30 dní před jejím předložením ke zveřejnění nebo jinému šíření.  Pokud jsou v souvislosti s patenty požadována jakákoli opatření k ochraně práv k duševnímu vlastnictví, hlavní zkoušející souhlasí s tím, že odloží zveřejnění o dobu, která nepřesáhne dalších 60 dnů.</w:t>
            </w:r>
          </w:p>
        </w:tc>
      </w:tr>
      <w:tr w:rsidR="00AE4270" w:rsidRPr="00DD2185" w14:paraId="562F49F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3BFF538" w14:textId="77777777" w:rsidR="00AE4270" w:rsidRPr="00DD2185" w:rsidRDefault="00AE4270" w:rsidP="00AE4270">
            <w:pPr>
              <w:widowControl w:val="0"/>
              <w:autoSpaceDE w:val="0"/>
              <w:autoSpaceDN w:val="0"/>
              <w:adjustRightInd w:val="0"/>
              <w:ind w:left="2160" w:hanging="720"/>
              <w:jc w:val="both"/>
            </w:pPr>
          </w:p>
        </w:tc>
      </w:tr>
      <w:tr w:rsidR="00AE4270" w:rsidRPr="00DD2185" w14:paraId="793F6C0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F35AD1F" w14:textId="77777777" w:rsidR="00AE4270" w:rsidRPr="00DD2185" w:rsidRDefault="00AE4270" w:rsidP="00AE4270">
            <w:pPr>
              <w:widowControl w:val="0"/>
              <w:tabs>
                <w:tab w:val="left" w:pos="2160"/>
              </w:tabs>
              <w:autoSpaceDE w:val="0"/>
              <w:autoSpaceDN w:val="0"/>
              <w:adjustRightInd w:val="0"/>
              <w:ind w:left="2880" w:hanging="720"/>
              <w:jc w:val="both"/>
            </w:pPr>
            <w:r w:rsidRPr="00DD2185">
              <w:t>b.</w:t>
            </w:r>
            <w:r w:rsidRPr="00DD2185">
              <w:tab/>
            </w:r>
            <w:r w:rsidRPr="00DD2185">
              <w:rPr>
                <w:u w:val="single"/>
              </w:rPr>
              <w:t>Úprava důvěrných informací</w:t>
            </w:r>
            <w:r w:rsidRPr="00DD2185">
              <w:t xml:space="preserve">.  Hlavní zkoušející před zveřejněním na požádání odstraní jakékoli dříve nezveřejněné důvěrné informace, s výjimkou informací souvisejících se studií nebo léčivem společnosti Pfizer, které jsou nezbytné pro odpovídající vědecké prezentování výsledků studie nebo porozumění těmto výsledkům. </w:t>
            </w:r>
          </w:p>
        </w:tc>
      </w:tr>
      <w:tr w:rsidR="00AE4270" w:rsidRPr="00DD2185" w14:paraId="1F2ED22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1204CCB" w14:textId="77777777" w:rsidR="00AE4270" w:rsidRPr="00DD2185" w:rsidRDefault="00AE4270" w:rsidP="00AE4270">
            <w:pPr>
              <w:widowControl w:val="0"/>
              <w:tabs>
                <w:tab w:val="left" w:pos="2160"/>
              </w:tabs>
              <w:jc w:val="both"/>
            </w:pPr>
          </w:p>
        </w:tc>
      </w:tr>
      <w:tr w:rsidR="00AE4270" w:rsidRPr="00DD2185" w14:paraId="6E70342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240E3CE" w14:textId="77777777" w:rsidR="00AE4270" w:rsidRPr="00DD2185" w:rsidRDefault="00AE4270" w:rsidP="00AE4270">
            <w:pPr>
              <w:widowControl w:val="0"/>
              <w:tabs>
                <w:tab w:val="left" w:pos="1440"/>
              </w:tabs>
              <w:ind w:left="2160" w:hanging="720"/>
              <w:jc w:val="both"/>
            </w:pPr>
            <w:r w:rsidRPr="00DD2185">
              <w:t>15.1.2</w:t>
            </w:r>
            <w:r w:rsidRPr="00DD2185">
              <w:tab/>
            </w:r>
            <w:r w:rsidRPr="00DD2185">
              <w:rPr>
                <w:u w:val="single"/>
              </w:rPr>
              <w:t>Multicentrické studie</w:t>
            </w:r>
            <w:r w:rsidRPr="00DD2185">
              <w:t xml:space="preserve">.  Pokud je studie součástí multicentrického klinického hodnocení, hlavní zkoušející a zdravotnické zařízení souhlasí s tím, že první publikací bude společná publikace zahrnující </w:t>
            </w:r>
            <w:r w:rsidRPr="00DD2185">
              <w:lastRenderedPageBreak/>
              <w:t xml:space="preserve">všechna pracoviště studie a že následné publikace hlavního zkoušejícího budou na tuto primární publikaci odkazovat.  Pokud však nebyl společný rukopis předložen ke zveřejnění do 12 měsíců od dokončení nebo ukončení studie na všech pracovištích, jež se na něm podílela, hlavní zkoušející může publikovat samostatně za dodržení všech dalších požadavků tohoto článku 15.  </w:t>
            </w:r>
          </w:p>
        </w:tc>
      </w:tr>
      <w:tr w:rsidR="00AE4270" w:rsidRPr="00DD2185" w14:paraId="2AB0862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18E49C2" w14:textId="77777777" w:rsidR="00AE4270" w:rsidRPr="00DD2185" w:rsidRDefault="00AE4270" w:rsidP="00AE4270">
            <w:pPr>
              <w:widowControl w:val="0"/>
              <w:tabs>
                <w:tab w:val="left" w:pos="1440"/>
              </w:tabs>
              <w:jc w:val="both"/>
            </w:pPr>
          </w:p>
        </w:tc>
      </w:tr>
      <w:tr w:rsidR="00AE4270" w:rsidRPr="00DD2185" w14:paraId="7EEC501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1171E25" w14:textId="77777777" w:rsidR="00AE4270" w:rsidRPr="00DD2185" w:rsidRDefault="00AE4270" w:rsidP="00AE4270">
            <w:pPr>
              <w:widowControl w:val="0"/>
              <w:tabs>
                <w:tab w:val="left" w:pos="1440"/>
              </w:tabs>
              <w:ind w:left="2160" w:hanging="720"/>
              <w:jc w:val="both"/>
            </w:pPr>
            <w:r w:rsidRPr="00DD2185">
              <w:t>15.1.3</w:t>
            </w:r>
            <w:r w:rsidRPr="00DD2185">
              <w:tab/>
            </w:r>
            <w:r w:rsidRPr="00DD2185">
              <w:rPr>
                <w:u w:val="single"/>
              </w:rPr>
              <w:t>Standardy</w:t>
            </w:r>
            <w:r w:rsidRPr="00DD2185">
              <w:t xml:space="preserve">.  Hlavní zkoušející u všech publikací souvisejících se studií dodrží zásady pro autorství uvedené v </w:t>
            </w:r>
            <w:r w:rsidRPr="00DD2185">
              <w:rPr>
                <w:i/>
                <w:iCs/>
              </w:rPr>
              <w:t>Doporučeních pro provádění, hlášení, úpravy a zveřejňování vědeckých prací v lékařských časopisech</w:t>
            </w:r>
            <w:r w:rsidRPr="00DD2185">
              <w:t xml:space="preserve"> (</w:t>
            </w:r>
            <w:proofErr w:type="spellStart"/>
            <w:r w:rsidRPr="00DD2185">
              <w:t>Recommendations</w:t>
            </w:r>
            <w:proofErr w:type="spellEnd"/>
            <w:r w:rsidRPr="00DD2185">
              <w:t xml:space="preserve"> </w:t>
            </w:r>
            <w:proofErr w:type="spellStart"/>
            <w:r w:rsidRPr="00DD2185">
              <w:t>for</w:t>
            </w:r>
            <w:proofErr w:type="spellEnd"/>
            <w:r w:rsidRPr="00DD2185">
              <w:t xml:space="preserve"> </w:t>
            </w:r>
            <w:proofErr w:type="spellStart"/>
            <w:r w:rsidRPr="00DD2185">
              <w:t>the</w:t>
            </w:r>
            <w:proofErr w:type="spellEnd"/>
            <w:r w:rsidRPr="00DD2185">
              <w:t xml:space="preserve"> </w:t>
            </w:r>
            <w:proofErr w:type="spellStart"/>
            <w:r w:rsidRPr="00DD2185">
              <w:t>Conduct</w:t>
            </w:r>
            <w:proofErr w:type="spellEnd"/>
            <w:r w:rsidRPr="00DD2185">
              <w:t xml:space="preserve">, Reporting, </w:t>
            </w:r>
            <w:proofErr w:type="spellStart"/>
            <w:r w:rsidRPr="00DD2185">
              <w:t>Editing</w:t>
            </w:r>
            <w:proofErr w:type="spellEnd"/>
            <w:r w:rsidRPr="00DD2185">
              <w:t xml:space="preserve">, and </w:t>
            </w:r>
            <w:proofErr w:type="spellStart"/>
            <w:r w:rsidRPr="00DD2185">
              <w:t>Publication</w:t>
            </w:r>
            <w:proofErr w:type="spellEnd"/>
            <w:r w:rsidRPr="00DD2185">
              <w:t xml:space="preserve"> </w:t>
            </w:r>
            <w:proofErr w:type="spellStart"/>
            <w:r w:rsidRPr="00DD2185">
              <w:t>of</w:t>
            </w:r>
            <w:proofErr w:type="spellEnd"/>
            <w:r w:rsidRPr="00DD2185">
              <w:t xml:space="preserve"> </w:t>
            </w:r>
            <w:proofErr w:type="spellStart"/>
            <w:r w:rsidRPr="00DD2185">
              <w:t>Scholarly</w:t>
            </w:r>
            <w:proofErr w:type="spellEnd"/>
            <w:r w:rsidRPr="00DD2185">
              <w:t xml:space="preserve"> </w:t>
            </w:r>
            <w:proofErr w:type="spellStart"/>
            <w:r w:rsidRPr="00DD2185">
              <w:t>Work</w:t>
            </w:r>
            <w:proofErr w:type="spellEnd"/>
            <w:r w:rsidRPr="00DD2185">
              <w:t xml:space="preserve"> in </w:t>
            </w:r>
            <w:proofErr w:type="spellStart"/>
            <w:r w:rsidRPr="00DD2185">
              <w:t>Medical</w:t>
            </w:r>
            <w:proofErr w:type="spellEnd"/>
            <w:r w:rsidRPr="00DD2185">
              <w:t xml:space="preserve"> </w:t>
            </w:r>
            <w:proofErr w:type="spellStart"/>
            <w:r w:rsidRPr="00DD2185">
              <w:t>Journals</w:t>
            </w:r>
            <w:proofErr w:type="spellEnd"/>
            <w:r w:rsidRPr="00DD2185">
              <w:t xml:space="preserve">; </w:t>
            </w:r>
            <w:hyperlink r:id="rId17" w:history="1">
              <w:r w:rsidRPr="00DD2185">
                <w:rPr>
                  <w:rStyle w:val="Hyperlink"/>
                </w:rPr>
                <w:t>http://www.icmje.org/icmje-recommendations.pdf</w:t>
              </w:r>
            </w:hyperlink>
            <w:r w:rsidRPr="00DD2185">
              <w:t xml:space="preserve"> Mezinárodní komise editorů lékařských časopisů (International </w:t>
            </w:r>
            <w:proofErr w:type="spellStart"/>
            <w:r w:rsidRPr="00DD2185">
              <w:t>Committee</w:t>
            </w:r>
            <w:proofErr w:type="spellEnd"/>
            <w:r w:rsidRPr="00DD2185">
              <w:t xml:space="preserve"> </w:t>
            </w:r>
            <w:proofErr w:type="spellStart"/>
            <w:r w:rsidRPr="00DD2185">
              <w:t>of</w:t>
            </w:r>
            <w:proofErr w:type="spellEnd"/>
            <w:r w:rsidRPr="00DD2185">
              <w:t xml:space="preserve"> </w:t>
            </w:r>
            <w:proofErr w:type="spellStart"/>
            <w:r w:rsidRPr="00DD2185">
              <w:t>Medical</w:t>
            </w:r>
            <w:proofErr w:type="spellEnd"/>
            <w:r w:rsidRPr="00DD2185">
              <w:t xml:space="preserve"> </w:t>
            </w:r>
            <w:proofErr w:type="spellStart"/>
            <w:r w:rsidRPr="00DD2185">
              <w:t>Journal</w:t>
            </w:r>
            <w:proofErr w:type="spellEnd"/>
            <w:r w:rsidRPr="00DD2185">
              <w:t xml:space="preserve"> </w:t>
            </w:r>
            <w:proofErr w:type="spellStart"/>
            <w:r w:rsidRPr="00DD2185">
              <w:t>Editors</w:t>
            </w:r>
            <w:proofErr w:type="spellEnd"/>
            <w:r w:rsidRPr="00DD2185">
              <w:t>).</w:t>
            </w:r>
          </w:p>
        </w:tc>
      </w:tr>
      <w:tr w:rsidR="00AE4270" w:rsidRPr="00DD2185" w14:paraId="1542496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AC8D28D" w14:textId="77777777" w:rsidR="00AE4270" w:rsidRPr="00DD2185" w:rsidRDefault="00AE4270" w:rsidP="00AE4270">
            <w:pPr>
              <w:widowControl w:val="0"/>
              <w:tabs>
                <w:tab w:val="left" w:pos="1440"/>
              </w:tabs>
              <w:ind w:left="1440" w:hanging="720"/>
            </w:pPr>
          </w:p>
        </w:tc>
      </w:tr>
      <w:tr w:rsidR="00AE4270" w:rsidRPr="00DD2185" w14:paraId="1B6F2FA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EB02ABD" w14:textId="77777777" w:rsidR="00AE4270" w:rsidRPr="00DD2185" w:rsidRDefault="00AE4270" w:rsidP="00AE4270">
            <w:pPr>
              <w:widowControl w:val="0"/>
              <w:tabs>
                <w:tab w:val="left" w:pos="1440"/>
              </w:tabs>
              <w:ind w:left="2160" w:hanging="720"/>
              <w:jc w:val="both"/>
            </w:pPr>
            <w:r w:rsidRPr="00DD2185">
              <w:t>15.1.4</w:t>
            </w:r>
            <w:r w:rsidRPr="00DD2185">
              <w:tab/>
            </w:r>
            <w:r w:rsidRPr="00DD2185">
              <w:rPr>
                <w:u w:val="single"/>
              </w:rPr>
              <w:t>Zveřejnění podpory</w:t>
            </w:r>
            <w:r w:rsidRPr="00DD2185">
              <w:t xml:space="preserve">.  Hlavní zkoušející lékař v jakékoli publikaci výsledků studie zveřejní, že zadavatelem a </w:t>
            </w:r>
            <w:proofErr w:type="spellStart"/>
            <w:r w:rsidRPr="00DD2185">
              <w:t>financovatelem</w:t>
            </w:r>
            <w:proofErr w:type="spellEnd"/>
            <w:r w:rsidRPr="00DD2185">
              <w:t xml:space="preserve"> studie je společnost Pfizer.  </w:t>
            </w:r>
          </w:p>
          <w:p w14:paraId="2B0700FC" w14:textId="47648FEB" w:rsidR="00AE4270" w:rsidRPr="00DD2185" w:rsidRDefault="00AE4270" w:rsidP="00AE4270">
            <w:pPr>
              <w:widowControl w:val="0"/>
              <w:tabs>
                <w:tab w:val="left" w:pos="1440"/>
              </w:tabs>
              <w:ind w:left="2160" w:hanging="720"/>
              <w:jc w:val="both"/>
              <w:rPr>
                <w:b/>
              </w:rPr>
            </w:pPr>
            <w:r w:rsidRPr="00DD2185">
              <w:rPr>
                <w:b/>
                <w:bCs/>
              </w:rPr>
              <w:t xml:space="preserve"> </w:t>
            </w:r>
          </w:p>
          <w:p w14:paraId="1E78CD78" w14:textId="4C44E5C8" w:rsidR="00AE4270" w:rsidRPr="00DD2185" w:rsidRDefault="00AE4270" w:rsidP="00EE365C">
            <w:pPr>
              <w:widowControl w:val="0"/>
              <w:tabs>
                <w:tab w:val="left" w:pos="1440"/>
              </w:tabs>
              <w:ind w:left="1440" w:hanging="720"/>
              <w:jc w:val="both"/>
            </w:pPr>
            <w:r w:rsidRPr="00DD2185">
              <w:t xml:space="preserve">15.2   </w:t>
            </w:r>
            <w:r w:rsidRPr="00DD2185">
              <w:rPr>
                <w:u w:val="single"/>
              </w:rPr>
              <w:t>Zveřejnění upravené smlouvy</w:t>
            </w:r>
            <w:r w:rsidRPr="00DD2185">
              <w:t>. Při podepsání této smlouvy nebo před tím</w:t>
            </w:r>
            <w:r w:rsidR="005159C0" w:rsidRPr="00DD2185">
              <w:t>, nejpozději však do třiceti (30) dnů od jejího podpisu,</w:t>
            </w:r>
            <w:r w:rsidRPr="00DD2185">
              <w:t xml:space="preserve"> společnost Pfizer poskytne zdravotnickému zařízení upravenou verzi smlouvy v českém jazyce pouze ve formátu PDF („</w:t>
            </w:r>
            <w:r w:rsidRPr="00DD2185">
              <w:rPr>
                <w:b/>
                <w:bCs/>
              </w:rPr>
              <w:t>upravená smlouva</w:t>
            </w:r>
            <w:r w:rsidRPr="00DD2185">
              <w:t>“), z níž budou odstraněny informace, které podle odůvodněného názoru společnosti Pfizer představují její obchodní tajemství.  Zdravotnické zařízení zveřejní upravenou smlouvu v registru smluv vedeném Ministerstvem vnitra („</w:t>
            </w:r>
            <w:r w:rsidRPr="00DD2185">
              <w:rPr>
                <w:b/>
                <w:bCs/>
              </w:rPr>
              <w:t>registr smluv</w:t>
            </w:r>
            <w:r w:rsidRPr="00DD2185">
              <w:t xml:space="preserve">“) podle zákona č. 340/2015 Sb. o registru smluv, a to do 5 dnů od obdržení této upravené smlouvy.  Zdravotnické zařízení poskytne společnosti Pfizer důkaz o zveřejnění upravené smlouvy, jakmile to bude možné. Pokud společnost Pfizer neobdrží důkaz o zveřejnění upravené smlouvy do 7 dnů od obdržení upravené smlouvy zdravotnickým zařízením, bude společnost Pfizer oprávněna zveřejnit upravenou smlouvu v registru smluv. </w:t>
            </w:r>
            <w:r w:rsidR="005159C0" w:rsidRPr="00DD2185">
              <w:t xml:space="preserve">Rovněž tak v případě, že společnost Pfizer </w:t>
            </w:r>
            <w:r w:rsidR="00EE365C" w:rsidRPr="00DD2185">
              <w:t xml:space="preserve">nedodá </w:t>
            </w:r>
            <w:r w:rsidR="005159C0" w:rsidRPr="00DD2185">
              <w:t>zdravotnickému zařízení upravenou smlouvu ve formátu k uveřejnění ve shora uvedené lhůtě 30 dnů od podpisu smlouvy, vyhrazuje si zdravotnické zařízení právo smlouvu</w:t>
            </w:r>
            <w:r w:rsidR="00EE365C" w:rsidRPr="00DD2185">
              <w:t>, ve formátu standardní zaslepené verze,</w:t>
            </w:r>
            <w:r w:rsidR="005159C0" w:rsidRPr="00DD2185">
              <w:t xml:space="preserve"> uveřejnit samo</w:t>
            </w:r>
            <w:r w:rsidR="00EE365C" w:rsidRPr="00DD2185">
              <w:t>.</w:t>
            </w:r>
            <w:r w:rsidR="005159C0" w:rsidRPr="00DD2185">
              <w:t xml:space="preserve"> </w:t>
            </w:r>
            <w:r w:rsidRPr="00DD2185">
              <w:t>Smluvní strany berou na vědomí, že tato smlouva není účinná, dokud nebude zveřejněna v registru smluv, a souhlasí s tím, že žádné aktivity související se smlouvou nebudou zahájeny, dokud obě smluvní strany neobdrží potvrzení o takovém zveřejnění.  Jakékoli písemné dodatky k této smlouvě podle článku 19.5 (Úpravy) budou upraveny a zveřejněny postupem stanoveným v tomto článku 15.2.</w:t>
            </w:r>
          </w:p>
        </w:tc>
      </w:tr>
      <w:tr w:rsidR="00AE4270" w:rsidRPr="00DD2185" w14:paraId="31E613F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3835F27" w14:textId="77777777" w:rsidR="00AE4270" w:rsidRPr="00DD2185" w:rsidRDefault="00AE4270" w:rsidP="00AE4270">
            <w:pPr>
              <w:widowControl w:val="0"/>
              <w:tabs>
                <w:tab w:val="left" w:pos="1440"/>
              </w:tabs>
              <w:rPr>
                <w:color w:val="000000"/>
              </w:rPr>
            </w:pPr>
          </w:p>
        </w:tc>
      </w:tr>
      <w:tr w:rsidR="00AE4270" w:rsidRPr="00DD2185" w14:paraId="4345AB3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298B86E" w14:textId="7A44823F" w:rsidR="00AE4270" w:rsidRPr="00DD2185" w:rsidRDefault="00AE4270" w:rsidP="00AE4270">
            <w:pPr>
              <w:widowControl w:val="0"/>
              <w:tabs>
                <w:tab w:val="left" w:pos="1440"/>
              </w:tabs>
              <w:ind w:left="1440" w:hanging="720"/>
              <w:jc w:val="both"/>
            </w:pPr>
            <w:r w:rsidRPr="00DD2185">
              <w:t>15.3</w:t>
            </w:r>
            <w:r w:rsidRPr="00DD2185">
              <w:tab/>
            </w:r>
            <w:r w:rsidRPr="00DD2185">
              <w:rPr>
                <w:u w:val="single"/>
              </w:rPr>
              <w:t>Registrace studie společností Pfizer</w:t>
            </w:r>
            <w:r w:rsidRPr="00DD2185">
              <w:t>.  Společnost Pfizer se zavazuje, že zaregistruje všechny intervenční a neintervenční studie fáze 1 až 4, jejichž součástí je použití přípravku společnosti Pfizer a které vyhodnocují bezpečnost a účinnost tohoto přípravku, do databáze klinických hodnocení (</w:t>
            </w:r>
            <w:hyperlink r:id="rId18" w:history="1">
              <w:r w:rsidRPr="00DD2185">
                <w:rPr>
                  <w:color w:val="0000FF"/>
                  <w:u w:val="single"/>
                </w:rPr>
                <w:t>www.clinicaltrials.gov</w:t>
              </w:r>
            </w:hyperlink>
            <w:r w:rsidRPr="00DD2185">
              <w:t xml:space="preserve">).  Společnost Pfizer také zaregistruje studie, jejichž je zadavatelem, do dalších seznamů probíhajících studií vedených </w:t>
            </w:r>
            <w:r w:rsidRPr="00DD2185">
              <w:lastRenderedPageBreak/>
              <w:t>příslušnými kontrolními úřady, pokud to tyto úřady vyžadují.</w:t>
            </w:r>
          </w:p>
          <w:p w14:paraId="17E83BAA" w14:textId="77777777" w:rsidR="00AE4270" w:rsidRPr="00DD2185" w:rsidRDefault="00AE4270" w:rsidP="00AE4270">
            <w:pPr>
              <w:widowControl w:val="0"/>
              <w:tabs>
                <w:tab w:val="left" w:pos="1440"/>
              </w:tabs>
              <w:ind w:left="1440" w:hanging="720"/>
              <w:jc w:val="both"/>
            </w:pPr>
          </w:p>
        </w:tc>
      </w:tr>
      <w:tr w:rsidR="00AE4270" w:rsidRPr="00DD2185" w14:paraId="6F9B3E1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2C6619A" w14:textId="77777777" w:rsidR="00AE4270" w:rsidRPr="00DD2185" w:rsidRDefault="00AE4270" w:rsidP="00AE4270">
            <w:pPr>
              <w:widowControl w:val="0"/>
              <w:tabs>
                <w:tab w:val="left" w:pos="720"/>
              </w:tabs>
              <w:ind w:left="720" w:hanging="720"/>
              <w:jc w:val="both"/>
              <w:rPr>
                <w:highlight w:val="yellow"/>
              </w:rPr>
            </w:pPr>
            <w:r w:rsidRPr="00DD2185">
              <w:lastRenderedPageBreak/>
              <w:t>16.</w:t>
            </w:r>
            <w:r w:rsidRPr="00DD2185">
              <w:tab/>
            </w:r>
            <w:r w:rsidRPr="00DD2185">
              <w:rPr>
                <w:u w:val="single"/>
              </w:rPr>
              <w:t>Pojištění zadavatele.</w:t>
            </w:r>
            <w:r w:rsidRPr="00DD2185">
              <w:t xml:space="preserve">   Smluvní strany berou na vědomí, že v souladu s § 52 odst. 3 písm. f) zákona o léčivech společnost Pfizer sjednala pojistnou smlouvu, a to ve svůj prospěch a ve prospěch hlavního zkoušejícího, a že tato pojistná smlouva pokrývá odpovědnost za újmu na zdraví (včetně úmrtí), onemocnění vzniklá v důsledku nebo v souvislosti s podáváním hodnocených přípravků nebo v souvislosti s jakýmkoli klinickým zákrokem nebo postupem stanoveným nebo požadovaným protokolem, který by subjekt hodnocení nepodstoupil, pokud by se studie nezúčastnil („</w:t>
            </w:r>
            <w:r w:rsidRPr="00DD2185">
              <w:rPr>
                <w:b/>
                <w:bCs/>
              </w:rPr>
              <w:t>újma na zdraví v důsledku výzkumu</w:t>
            </w:r>
            <w:r w:rsidRPr="00DD2185">
              <w:t>“).  Kopie pojistky bude poskytnuta zdravotnickému zařízení.  Smluvní strany tímto souhlasí s tím, že pokud budou dodrženy požadavky právních předpisů, společnost Pfizer může příslušnou pojistnou smlouvu v průběhu studie změnit či upravit.</w:t>
            </w:r>
          </w:p>
        </w:tc>
      </w:tr>
      <w:tr w:rsidR="00AE4270" w:rsidRPr="00DD2185" w14:paraId="012D417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1AAD154" w14:textId="77777777" w:rsidR="00AE4270" w:rsidRPr="00DD2185" w:rsidRDefault="00AE4270" w:rsidP="00AE4270">
            <w:pPr>
              <w:widowControl w:val="0"/>
              <w:rPr>
                <w:color w:val="0000FF"/>
              </w:rPr>
            </w:pPr>
          </w:p>
        </w:tc>
      </w:tr>
      <w:tr w:rsidR="00AE4270" w:rsidRPr="00DD2185" w14:paraId="6FF228F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035EDD7" w14:textId="77777777" w:rsidR="00AE4270" w:rsidRPr="00DD2185" w:rsidRDefault="00AE4270" w:rsidP="00AE4270">
            <w:pPr>
              <w:widowControl w:val="0"/>
              <w:tabs>
                <w:tab w:val="left" w:pos="720"/>
              </w:tabs>
              <w:ind w:left="720" w:hanging="720"/>
              <w:jc w:val="both"/>
            </w:pPr>
            <w:r w:rsidRPr="00DD2185">
              <w:t>17.</w:t>
            </w:r>
            <w:r w:rsidRPr="00DD2185">
              <w:tab/>
            </w:r>
            <w:r w:rsidRPr="00DD2185">
              <w:rPr>
                <w:u w:val="single"/>
              </w:rPr>
              <w:t>Postoupení práv a delegování povinností</w:t>
            </w:r>
          </w:p>
        </w:tc>
      </w:tr>
      <w:tr w:rsidR="00AE4270" w:rsidRPr="00DD2185" w14:paraId="17CBFA0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81BA66A" w14:textId="77777777" w:rsidR="00AE4270" w:rsidRPr="00DD2185" w:rsidRDefault="00AE4270" w:rsidP="00AE4270">
            <w:pPr>
              <w:widowControl w:val="0"/>
              <w:tabs>
                <w:tab w:val="left" w:pos="720"/>
              </w:tabs>
              <w:jc w:val="both"/>
            </w:pPr>
          </w:p>
        </w:tc>
      </w:tr>
      <w:tr w:rsidR="00AE4270" w:rsidRPr="00DD2185" w14:paraId="361D359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7432633" w14:textId="4E35A243" w:rsidR="00AE4270" w:rsidRPr="00DD2185" w:rsidRDefault="00AE4270" w:rsidP="00AE4270">
            <w:pPr>
              <w:widowControl w:val="0"/>
              <w:tabs>
                <w:tab w:val="left" w:pos="1440"/>
              </w:tabs>
              <w:ind w:left="1440" w:hanging="720"/>
              <w:jc w:val="both"/>
            </w:pPr>
            <w:r w:rsidRPr="00DD2185">
              <w:t>17.1</w:t>
            </w:r>
            <w:r w:rsidRPr="00DD2185">
              <w:tab/>
            </w:r>
            <w:r w:rsidRPr="00DD2185">
              <w:rPr>
                <w:u w:val="single"/>
              </w:rPr>
              <w:t>Ze strany hlavního zkoušejícího nebo zdravotnického zařízení</w:t>
            </w:r>
            <w:r w:rsidRPr="00DD2185">
              <w:t xml:space="preserve">.  Hlavní zkoušející ani zdravotnické zařízení nesmí postoupit svá práva nebo delegovat své povinnosti vyplývající z této smlouvy bez písemného svolení společnosti Pfizer.  Pokud společnost Pfizer schválí delegování povinností nebo uzavření subdodavatelské smlouvy, smluvní strana, která delegovala své povinnosti nebo uzavřela subdodavatelské smlouvy, i nadále odpovídá společnosti Pfizer za plnění těchto povinností.  </w:t>
            </w:r>
          </w:p>
        </w:tc>
      </w:tr>
      <w:tr w:rsidR="00AE4270" w:rsidRPr="00DD2185" w14:paraId="50BB29E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99DAB23" w14:textId="77777777" w:rsidR="00AE4270" w:rsidRPr="00DD2185" w:rsidRDefault="00AE4270" w:rsidP="00AE4270">
            <w:pPr>
              <w:widowControl w:val="0"/>
              <w:jc w:val="both"/>
            </w:pPr>
          </w:p>
        </w:tc>
      </w:tr>
      <w:tr w:rsidR="00AE4270" w:rsidRPr="00DD2185" w14:paraId="43B9B94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743EBCC" w14:textId="6E4C57D3" w:rsidR="00AE4270" w:rsidRPr="00DD2185" w:rsidRDefault="00AE4270" w:rsidP="00AE4270">
            <w:pPr>
              <w:widowControl w:val="0"/>
              <w:tabs>
                <w:tab w:val="left" w:pos="1440"/>
              </w:tabs>
              <w:ind w:left="1440" w:hanging="720"/>
              <w:jc w:val="both"/>
            </w:pPr>
            <w:r w:rsidRPr="00DD2185">
              <w:t>17.2</w:t>
            </w:r>
            <w:r w:rsidRPr="00DD2185">
              <w:tab/>
            </w:r>
            <w:r w:rsidRPr="00DD2185">
              <w:rPr>
                <w:u w:val="single"/>
              </w:rPr>
              <w:t>Ze strany společnosti Pfizer</w:t>
            </w:r>
            <w:r w:rsidRPr="00DD2185">
              <w:t>.  Společnost Pfizer může po předchozím oznámení zdravotnickému zařízení svobodně postoupit svá práva související se studií externímu poskytovateli a delegovat na něj své povinnosti a může svobodně postoupit svá práva související se studií jakékoli přidružené společnosti Pfizer a může na ni delegovat své povinnosti.  Pokud společnost Pfizer deleguje jakékoli povinnosti nebo na ně uzavře subdodavatelské smlouvy, i nadále odpovídá zdravotnickému zařízení za plnění těchto povinností.  Aby se předešlo pochybám, práva a povinnosti uvedené v tomto odstavci jsou pouze práva a povinnosti vyplývající z této smlouvy.</w:t>
            </w:r>
          </w:p>
        </w:tc>
      </w:tr>
      <w:tr w:rsidR="00AE4270" w:rsidRPr="00DD2185" w14:paraId="2EEDAE7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7053C78" w14:textId="77777777" w:rsidR="00AE4270" w:rsidRPr="00DD2185" w:rsidRDefault="00AE4270" w:rsidP="00AE4270">
            <w:pPr>
              <w:widowControl w:val="0"/>
              <w:tabs>
                <w:tab w:val="left" w:pos="1440"/>
              </w:tabs>
              <w:jc w:val="both"/>
            </w:pPr>
          </w:p>
        </w:tc>
      </w:tr>
      <w:tr w:rsidR="00AE4270" w:rsidRPr="00DD2185" w14:paraId="2F44390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F4B1A7E" w14:textId="77777777" w:rsidR="00AE4270" w:rsidRPr="00DD2185" w:rsidRDefault="00AE4270" w:rsidP="00AE4270">
            <w:pPr>
              <w:widowControl w:val="0"/>
              <w:tabs>
                <w:tab w:val="left" w:pos="720"/>
              </w:tabs>
              <w:ind w:left="720" w:hanging="720"/>
              <w:jc w:val="both"/>
            </w:pPr>
            <w:r w:rsidRPr="00DD2185">
              <w:t>18.</w:t>
            </w:r>
            <w:r w:rsidRPr="00DD2185">
              <w:tab/>
            </w:r>
            <w:r w:rsidRPr="00DD2185">
              <w:rPr>
                <w:u w:val="single"/>
              </w:rPr>
              <w:t xml:space="preserve">Ukončení </w:t>
            </w:r>
          </w:p>
        </w:tc>
      </w:tr>
      <w:tr w:rsidR="00AE4270" w:rsidRPr="00DD2185" w14:paraId="5AFE056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74B9E1F" w14:textId="77777777" w:rsidR="00AE4270" w:rsidRPr="00DD2185" w:rsidRDefault="00AE4270" w:rsidP="00AE4270">
            <w:pPr>
              <w:widowControl w:val="0"/>
              <w:jc w:val="both"/>
            </w:pPr>
          </w:p>
        </w:tc>
      </w:tr>
      <w:tr w:rsidR="00AE4270" w:rsidRPr="00DD2185" w14:paraId="5243E72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E21D060" w14:textId="77777777" w:rsidR="00AE4270" w:rsidRPr="00DD2185" w:rsidRDefault="00AE4270" w:rsidP="00AE4270">
            <w:pPr>
              <w:widowControl w:val="0"/>
              <w:tabs>
                <w:tab w:val="left" w:pos="1440"/>
              </w:tabs>
              <w:ind w:left="1440" w:hanging="720"/>
              <w:jc w:val="both"/>
            </w:pPr>
            <w:r w:rsidRPr="00DD2185">
              <w:t>18.1</w:t>
            </w:r>
            <w:r w:rsidRPr="00DD2185">
              <w:tab/>
            </w:r>
            <w:r w:rsidRPr="00DD2185">
              <w:rPr>
                <w:u w:val="single"/>
              </w:rPr>
              <w:t>Důvody ukončení</w:t>
            </w:r>
            <w:r w:rsidRPr="00DD2185">
              <w:t>.  Tato smlouva bude ukončena v důsledku té z následujících událostí, která nastane dříve.</w:t>
            </w:r>
          </w:p>
        </w:tc>
      </w:tr>
      <w:tr w:rsidR="00AE4270" w:rsidRPr="00DD2185" w14:paraId="59D466F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2080C81" w14:textId="77777777" w:rsidR="00AE4270" w:rsidRPr="00DD2185" w:rsidRDefault="00AE4270" w:rsidP="00AE4270">
            <w:pPr>
              <w:widowControl w:val="0"/>
              <w:tabs>
                <w:tab w:val="left" w:pos="1440"/>
              </w:tabs>
              <w:jc w:val="both"/>
            </w:pPr>
          </w:p>
        </w:tc>
      </w:tr>
      <w:tr w:rsidR="00AE4270" w:rsidRPr="00DD2185" w14:paraId="4F350A5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47ECAC0" w14:textId="77777777" w:rsidR="00AE4270" w:rsidRPr="00DD2185" w:rsidRDefault="00AE4270" w:rsidP="00AE4270">
            <w:pPr>
              <w:widowControl w:val="0"/>
              <w:tabs>
                <w:tab w:val="left" w:pos="2160"/>
              </w:tabs>
              <w:autoSpaceDE w:val="0"/>
              <w:autoSpaceDN w:val="0"/>
              <w:adjustRightInd w:val="0"/>
              <w:ind w:left="2160" w:hanging="720"/>
              <w:jc w:val="both"/>
            </w:pPr>
            <w:r w:rsidRPr="00DD2185">
              <w:t>a.</w:t>
            </w:r>
            <w:r w:rsidRPr="00DD2185">
              <w:tab/>
            </w:r>
            <w:r w:rsidRPr="00DD2185">
              <w:rPr>
                <w:u w:val="single"/>
              </w:rPr>
              <w:t>Zamítnutí ze strany SÚKL/NEK</w:t>
            </w:r>
            <w:r w:rsidRPr="00DD2185">
              <w:t>.  V případě, že studie nemůže být zahájena kvůli zamítnutí ze strany SÚKL/NEK, bude tato smlouva ukončena.</w:t>
            </w:r>
          </w:p>
        </w:tc>
      </w:tr>
      <w:tr w:rsidR="00AE4270" w:rsidRPr="00DD2185" w14:paraId="3176ACA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0DB2065" w14:textId="77777777" w:rsidR="00AE4270" w:rsidRPr="00DD2185" w:rsidRDefault="00AE4270" w:rsidP="00AE4270">
            <w:pPr>
              <w:widowControl w:val="0"/>
              <w:autoSpaceDE w:val="0"/>
              <w:autoSpaceDN w:val="0"/>
              <w:adjustRightInd w:val="0"/>
              <w:ind w:left="2160" w:hanging="720"/>
              <w:jc w:val="both"/>
            </w:pPr>
          </w:p>
        </w:tc>
      </w:tr>
      <w:tr w:rsidR="00AE4270" w:rsidRPr="00DD2185" w14:paraId="4C20CA2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0C9E346" w14:textId="77777777" w:rsidR="00AE4270" w:rsidRPr="00DD2185" w:rsidRDefault="00AE4270" w:rsidP="00AE4270">
            <w:pPr>
              <w:widowControl w:val="0"/>
              <w:tabs>
                <w:tab w:val="left" w:pos="2160"/>
              </w:tabs>
              <w:autoSpaceDE w:val="0"/>
              <w:autoSpaceDN w:val="0"/>
              <w:adjustRightInd w:val="0"/>
              <w:ind w:left="2160" w:hanging="720"/>
              <w:jc w:val="both"/>
            </w:pPr>
            <w:r w:rsidRPr="00DD2185">
              <w:t>b.</w:t>
            </w:r>
            <w:r w:rsidRPr="00DD2185">
              <w:tab/>
            </w:r>
            <w:r w:rsidRPr="00DD2185">
              <w:rPr>
                <w:u w:val="single"/>
              </w:rPr>
              <w:t>Dokončení studie</w:t>
            </w:r>
            <w:r w:rsidRPr="00DD2185">
              <w:t>.  Tato smlouva bude ukončena, jakmile bude studie dokončena, což znamená ukončení všech aktivit vyžadovaných protokolem u všech subjektů hodnocení zařazených do studie.</w:t>
            </w:r>
          </w:p>
        </w:tc>
      </w:tr>
      <w:tr w:rsidR="00AE4270" w:rsidRPr="00DD2185" w14:paraId="6139B21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0F7E5DA" w14:textId="77777777" w:rsidR="00AE4270" w:rsidRPr="00DD2185" w:rsidRDefault="00AE4270" w:rsidP="00AE4270">
            <w:pPr>
              <w:widowControl w:val="0"/>
              <w:autoSpaceDE w:val="0"/>
              <w:autoSpaceDN w:val="0"/>
              <w:adjustRightInd w:val="0"/>
              <w:ind w:left="2160" w:hanging="720"/>
              <w:jc w:val="both"/>
            </w:pPr>
          </w:p>
        </w:tc>
      </w:tr>
      <w:tr w:rsidR="00AE4270" w:rsidRPr="00DD2185" w14:paraId="70AC32B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D70EFCB" w14:textId="77777777" w:rsidR="00AE4270" w:rsidRPr="00DD2185" w:rsidRDefault="00AE4270" w:rsidP="00AE4270">
            <w:pPr>
              <w:widowControl w:val="0"/>
              <w:tabs>
                <w:tab w:val="left" w:pos="2160"/>
              </w:tabs>
              <w:autoSpaceDE w:val="0"/>
              <w:autoSpaceDN w:val="0"/>
              <w:adjustRightInd w:val="0"/>
              <w:ind w:left="2160" w:hanging="720"/>
              <w:jc w:val="both"/>
            </w:pPr>
            <w:r w:rsidRPr="00DD2185">
              <w:t>c.</w:t>
            </w:r>
            <w:r w:rsidRPr="00DD2185">
              <w:tab/>
            </w:r>
            <w:r w:rsidRPr="00DD2185">
              <w:rPr>
                <w:u w:val="single"/>
              </w:rPr>
              <w:t>Předčasné ukončení studie</w:t>
            </w:r>
            <w:r w:rsidRPr="00DD2185">
              <w:t>.  Tato smlouva bude ukončena, pokud bude studie ukončena předčasně, jak je popsáno níže.</w:t>
            </w:r>
          </w:p>
        </w:tc>
      </w:tr>
      <w:tr w:rsidR="00AE4270" w:rsidRPr="00DD2185" w14:paraId="7702F49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9233708" w14:textId="77777777" w:rsidR="00AE4270" w:rsidRPr="00DD2185" w:rsidRDefault="00AE4270" w:rsidP="00AE4270">
            <w:pPr>
              <w:widowControl w:val="0"/>
              <w:tabs>
                <w:tab w:val="left" w:pos="2160"/>
              </w:tabs>
              <w:jc w:val="both"/>
            </w:pPr>
          </w:p>
        </w:tc>
      </w:tr>
      <w:tr w:rsidR="00AE4270" w:rsidRPr="00DD2185" w14:paraId="4004C0D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76D1D2A" w14:textId="01D23A75" w:rsidR="00AE4270" w:rsidRPr="00DD2185" w:rsidRDefault="00AE4270" w:rsidP="00AE4270">
            <w:pPr>
              <w:widowControl w:val="0"/>
              <w:tabs>
                <w:tab w:val="left" w:pos="2880"/>
              </w:tabs>
              <w:ind w:left="2880" w:hanging="720"/>
              <w:jc w:val="both"/>
            </w:pPr>
            <w:r w:rsidRPr="00DD2185">
              <w:t>(1)</w:t>
            </w:r>
            <w:r w:rsidRPr="00DD2185">
              <w:tab/>
            </w:r>
            <w:r w:rsidRPr="00DD2185">
              <w:rPr>
                <w:u w:val="single"/>
              </w:rPr>
              <w:t>Ukončení studie výpovědí</w:t>
            </w:r>
            <w:r w:rsidRPr="00DD2185">
              <w:t>.  Společnost Pfizer může ukončit studii z jakéhokoli důvodu písemnou výpovědí hlavnímu zkoušejícímu a zdravotnickému zařízení se lhůtou 30 dnů.</w:t>
            </w:r>
          </w:p>
        </w:tc>
      </w:tr>
      <w:tr w:rsidR="00AE4270" w:rsidRPr="00DD2185" w14:paraId="20741C2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166666D" w14:textId="77777777" w:rsidR="00AE4270" w:rsidRPr="00DD2185" w:rsidRDefault="00AE4270" w:rsidP="00AE4270">
            <w:pPr>
              <w:widowControl w:val="0"/>
              <w:ind w:left="2880" w:hanging="720"/>
              <w:jc w:val="both"/>
            </w:pPr>
          </w:p>
        </w:tc>
      </w:tr>
      <w:tr w:rsidR="00AE4270" w:rsidRPr="00DD2185" w14:paraId="66E4D25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1697CC8" w14:textId="18A57779" w:rsidR="00AE4270" w:rsidRPr="00DD2185" w:rsidRDefault="00AE4270" w:rsidP="00AE4270">
            <w:pPr>
              <w:widowControl w:val="0"/>
              <w:tabs>
                <w:tab w:val="left" w:pos="2880"/>
              </w:tabs>
              <w:ind w:left="2880" w:hanging="720"/>
              <w:jc w:val="both"/>
            </w:pPr>
            <w:r w:rsidRPr="00DD2185">
              <w:t>(2)</w:t>
            </w:r>
            <w:r w:rsidRPr="00DD2185">
              <w:tab/>
            </w:r>
            <w:r w:rsidRPr="00DD2185">
              <w:rPr>
                <w:u w:val="single"/>
              </w:rPr>
              <w:t>Okamžité ukončení studie společností Pfizer</w:t>
            </w:r>
            <w:r w:rsidRPr="00DD2185">
              <w:t xml:space="preserve">.  Společnost Pfizer může bezodkladně studii ukončit písemným oznámením hlavnímu zkoušejícímu a zdravotnickému zařízení z důvodů, jež zahrnují nezařazení dostatečného počtu subjektů hodnocení pro dosažení cílů studie; zásadní neschválené odchylky od protokolu nebo od požadavků na podávání zpráv o studii; okolnosti, které podle názoru společnosti Pfizer představují riziko pro zdraví nebo blaho subjektů hodnocení; kroky kontrolních úřadů v souvislosti se studií nebo hodnoceným léčivem; jakékoli nedodržení místních právních předpisů, pokynů SKP ICH nebo podmínek článku 20 této smlouvy (Protikorupční opatření) ze strany hlavního zkoušejícího a zdravotnického zařízení. </w:t>
            </w:r>
          </w:p>
        </w:tc>
      </w:tr>
      <w:tr w:rsidR="00AE4270" w:rsidRPr="00DD2185" w14:paraId="4AFCFF4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366D4C2" w14:textId="77777777" w:rsidR="00AE4270" w:rsidRPr="00DD2185" w:rsidRDefault="00AE4270" w:rsidP="00AE4270">
            <w:pPr>
              <w:widowControl w:val="0"/>
              <w:ind w:left="2880" w:hanging="720"/>
              <w:jc w:val="both"/>
            </w:pPr>
          </w:p>
        </w:tc>
      </w:tr>
      <w:tr w:rsidR="00AE4270" w:rsidRPr="00DD2185" w14:paraId="7C4DA37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6DB0B4E" w14:textId="1EE50AD1" w:rsidR="00AE4270" w:rsidRPr="00DD2185" w:rsidRDefault="00AE4270" w:rsidP="00AE4270">
            <w:pPr>
              <w:widowControl w:val="0"/>
              <w:tabs>
                <w:tab w:val="left" w:pos="2880"/>
              </w:tabs>
              <w:ind w:left="2880" w:hanging="720"/>
              <w:jc w:val="both"/>
            </w:pPr>
            <w:r w:rsidRPr="00DD2185">
              <w:t>(3)</w:t>
            </w:r>
            <w:r w:rsidRPr="00DD2185">
              <w:tab/>
            </w:r>
            <w:r w:rsidRPr="00DD2185">
              <w:rPr>
                <w:u w:val="single"/>
              </w:rPr>
              <w:t>Okamžité ukončení studie ze strany hlavního zkoušejícího nebo zdravotnického zařízení</w:t>
            </w:r>
            <w:r w:rsidRPr="00DD2185">
              <w:t>.  Hlavní zkoušející nebo zdravotnické zařízení mohou ukončit studii okamžitě, jakmile to oznámí společnosti Pfizer, pokud jsou o to požádáni SÚKL a/nebo příslušnou IRB/NEK nebo pokud je takové ukončení potřebné pro ochranu zdraví subjektů hodnocení.</w:t>
            </w:r>
          </w:p>
        </w:tc>
      </w:tr>
      <w:tr w:rsidR="00AE4270" w:rsidRPr="00DD2185" w14:paraId="1919A9E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98547A0" w14:textId="77777777" w:rsidR="00AE4270" w:rsidRPr="00DD2185" w:rsidRDefault="00AE4270" w:rsidP="00AE4270">
            <w:pPr>
              <w:widowControl w:val="0"/>
              <w:tabs>
                <w:tab w:val="left" w:pos="2880"/>
              </w:tabs>
              <w:jc w:val="both"/>
            </w:pPr>
          </w:p>
        </w:tc>
      </w:tr>
      <w:tr w:rsidR="00AE4270" w:rsidRPr="00DD2185" w14:paraId="46C01BD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897E886" w14:textId="5400613A" w:rsidR="00AE4270" w:rsidRPr="00DD2185" w:rsidRDefault="00AE4270" w:rsidP="00AE4270">
            <w:pPr>
              <w:widowControl w:val="0"/>
              <w:tabs>
                <w:tab w:val="left" w:pos="1440"/>
              </w:tabs>
              <w:ind w:left="1440" w:hanging="720"/>
              <w:jc w:val="both"/>
            </w:pPr>
            <w:r w:rsidRPr="00DD2185">
              <w:t>18.2</w:t>
            </w:r>
            <w:r w:rsidRPr="00DD2185">
              <w:tab/>
            </w:r>
            <w:r w:rsidRPr="00DD2185">
              <w:rPr>
                <w:u w:val="single"/>
              </w:rPr>
              <w:t>Datum účinnosti ukončení smlouvy</w:t>
            </w:r>
            <w:r w:rsidRPr="00DD2185">
              <w:t xml:space="preserve">.  V případě, že dojde k ukončení smlouvy na základě některé z okolností popsaných výše ve článku 18.1, bude ukončení účinné poté, co společnost Pfizer převezme veškeré údaje vyžadované protokolem a biologické vzorky získané do ukončení smlouvy, budou přijaty veškeré platby splatné kterékoli ze stran a všechny strany splní zbývající závazky podle této smlouvy.  </w:t>
            </w:r>
          </w:p>
        </w:tc>
      </w:tr>
      <w:tr w:rsidR="00AE4270" w:rsidRPr="00DD2185" w14:paraId="374F4B3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2F90C07" w14:textId="77777777" w:rsidR="00AE4270" w:rsidRPr="00DD2185" w:rsidRDefault="00AE4270" w:rsidP="00AE4270">
            <w:pPr>
              <w:widowControl w:val="0"/>
              <w:tabs>
                <w:tab w:val="left" w:pos="1440"/>
              </w:tabs>
              <w:ind w:left="1440" w:hanging="720"/>
              <w:jc w:val="both"/>
            </w:pPr>
          </w:p>
        </w:tc>
      </w:tr>
      <w:tr w:rsidR="00AE4270" w:rsidRPr="00DD2185" w14:paraId="0CA4D4E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805AC03" w14:textId="13B51E48" w:rsidR="00AE4270" w:rsidRPr="00DD2185" w:rsidRDefault="00AE4270" w:rsidP="00AE4270">
            <w:pPr>
              <w:widowControl w:val="0"/>
              <w:tabs>
                <w:tab w:val="left" w:pos="1440"/>
              </w:tabs>
              <w:ind w:left="1440" w:hanging="720"/>
              <w:jc w:val="both"/>
            </w:pPr>
            <w:r w:rsidRPr="00DD2185">
              <w:t>18.3</w:t>
            </w:r>
            <w:r w:rsidRPr="00DD2185">
              <w:tab/>
            </w:r>
            <w:r w:rsidRPr="00DD2185">
              <w:rPr>
                <w:u w:val="single"/>
              </w:rPr>
              <w:t>Platba při předčasném ukončení studie</w:t>
            </w:r>
            <w:r w:rsidRPr="00DD2185">
              <w:t>.  Pokud je studie ukončena předčasně, společnost Pfizer zaplatí za již vykonanou práci podle přílohy A s odečtením již uhrazených plateb za tuto práci, není-li v tomto odstavci uvedeno jinak.  Pfizer uhradí rovněž veškeré nezrušitelné náklady, kromě budoucích personálních nákladů, za předpokladu, že byly řádně vynaloženy a předběžně schváleny společností Pfizer a pouze v rozsahu, v jakém je nelze přiměřeně snížit.  Pokud studie nemůže být zahájena z důvodu neschválení SÚKL/NE a bez zavinění ze strany hlavního zkoušejícího nebo zdravotnického zařízení, společnost Pfizer uhradí hlavnímu zkoušejícímu nebo zdravotnickému zařízení poplatky IRB/NEK a jakékoli další výdaje, jež byly společností Pfizer předběžně písemně schváleny.</w:t>
            </w:r>
          </w:p>
        </w:tc>
      </w:tr>
      <w:tr w:rsidR="00AE4270" w:rsidRPr="00DD2185" w14:paraId="0C30631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BC769BD" w14:textId="77777777" w:rsidR="00AE4270" w:rsidRPr="00DD2185" w:rsidRDefault="00AE4270" w:rsidP="00AE4270">
            <w:pPr>
              <w:widowControl w:val="0"/>
              <w:jc w:val="both"/>
            </w:pPr>
          </w:p>
        </w:tc>
      </w:tr>
      <w:tr w:rsidR="00AE4270" w:rsidRPr="00DD2185" w14:paraId="1D133EA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756EEC8" w14:textId="42333B51" w:rsidR="00AE4270" w:rsidRPr="00DD2185" w:rsidRDefault="00AE4270" w:rsidP="00AE4270">
            <w:pPr>
              <w:widowControl w:val="0"/>
              <w:tabs>
                <w:tab w:val="left" w:pos="1440"/>
              </w:tabs>
              <w:ind w:left="1440" w:hanging="720"/>
              <w:jc w:val="both"/>
            </w:pPr>
            <w:r w:rsidRPr="00DD2185">
              <w:t>18.4</w:t>
            </w:r>
            <w:r w:rsidRPr="00DD2185">
              <w:tab/>
            </w:r>
            <w:r w:rsidRPr="00DD2185">
              <w:rPr>
                <w:u w:val="single"/>
              </w:rPr>
              <w:t>Vrácení materiálů</w:t>
            </w:r>
            <w:r w:rsidRPr="00DD2185">
              <w:t xml:space="preserve">.  Pokud společnost Pfizer nevydá písemně jiné pokyny, hlavní zkoušející a zdravotnické zařízení po skončení smlouvy bezodkladně vrátí všechny materiály dodané společností Pfizer pro provedení studie, včetně nepoužitého hodnoceného léčiva, nepoužitých formulářů záznamů </w:t>
            </w:r>
            <w:r w:rsidRPr="00DD2185">
              <w:lastRenderedPageBreak/>
              <w:t>subjektu hodnocení a veškerého vybavení a materiálů dodaných společností Pfizer.</w:t>
            </w:r>
          </w:p>
        </w:tc>
      </w:tr>
      <w:tr w:rsidR="00AE4270" w:rsidRPr="00DD2185" w14:paraId="0A370BE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65872C1" w14:textId="77777777" w:rsidR="00AE4270" w:rsidRPr="00DD2185" w:rsidRDefault="00AE4270" w:rsidP="00AE4270">
            <w:pPr>
              <w:widowControl w:val="0"/>
              <w:ind w:left="1440" w:hanging="720"/>
              <w:jc w:val="both"/>
            </w:pPr>
          </w:p>
        </w:tc>
      </w:tr>
      <w:tr w:rsidR="00AE4270" w:rsidRPr="00DD2185" w14:paraId="724F620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CD0D384" w14:textId="77777777" w:rsidR="00AE4270" w:rsidRPr="00DD2185" w:rsidRDefault="00AE4270" w:rsidP="00AE4270">
            <w:pPr>
              <w:widowControl w:val="0"/>
              <w:tabs>
                <w:tab w:val="left" w:pos="1440"/>
              </w:tabs>
              <w:ind w:left="1440" w:hanging="720"/>
              <w:jc w:val="both"/>
            </w:pPr>
            <w:r w:rsidRPr="00DD2185">
              <w:t>18.5</w:t>
            </w:r>
            <w:r w:rsidRPr="00DD2185">
              <w:tab/>
            </w:r>
            <w:r w:rsidRPr="00DD2185">
              <w:rPr>
                <w:u w:val="single"/>
              </w:rPr>
              <w:t>Přetrvání závazků</w:t>
            </w:r>
            <w:r w:rsidRPr="00DD2185">
              <w:t>.  Závazky týkající se financování, důvěrných informací, záznamů studie, vynálezů, publikací, pojištění zadavatele, způsobilosti a protikorupčních opatření</w:t>
            </w:r>
            <w:r w:rsidRPr="00DD2185">
              <w:rPr>
                <w:color w:val="00B050"/>
              </w:rPr>
              <w:t xml:space="preserve"> </w:t>
            </w:r>
            <w:r w:rsidRPr="00DD2185">
              <w:t xml:space="preserve">přetrvávají i po ukončení této smlouvy, stejně jako </w:t>
            </w:r>
            <w:r w:rsidRPr="00DD2185">
              <w:rPr>
                <w:snapToGrid w:val="0"/>
              </w:rPr>
              <w:t xml:space="preserve">všechna další ustanovení této smlouvy, včetně jejích příloh, </w:t>
            </w:r>
            <w:r w:rsidRPr="00DD2185">
              <w:t>z jejichž povahy a záměru vyplývá, že zůstávají v platnosti i po skončení této smlouvy.</w:t>
            </w:r>
          </w:p>
        </w:tc>
      </w:tr>
      <w:tr w:rsidR="00AE4270" w:rsidRPr="00DD2185" w14:paraId="0FF8F87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A7119D5" w14:textId="77777777" w:rsidR="00AE4270" w:rsidRPr="00DD2185" w:rsidRDefault="00AE4270" w:rsidP="00AE4270">
            <w:pPr>
              <w:widowControl w:val="0"/>
              <w:jc w:val="both"/>
            </w:pPr>
          </w:p>
        </w:tc>
      </w:tr>
      <w:tr w:rsidR="00AE4270" w:rsidRPr="00DD2185" w14:paraId="083A56A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D61B3C4" w14:textId="77777777" w:rsidR="00AE4270" w:rsidRPr="00DD2185" w:rsidRDefault="00AE4270" w:rsidP="00AE4270">
            <w:pPr>
              <w:widowControl w:val="0"/>
              <w:tabs>
                <w:tab w:val="left" w:pos="720"/>
              </w:tabs>
              <w:ind w:left="720" w:hanging="720"/>
              <w:jc w:val="both"/>
            </w:pPr>
            <w:r w:rsidRPr="00DD2185">
              <w:t>19.</w:t>
            </w:r>
            <w:r w:rsidRPr="00DD2185">
              <w:tab/>
            </w:r>
            <w:r w:rsidRPr="00DD2185">
              <w:rPr>
                <w:u w:val="single"/>
              </w:rPr>
              <w:t>Další podmínky</w:t>
            </w:r>
            <w:r w:rsidRPr="00DD2185">
              <w:t xml:space="preserve">  </w:t>
            </w:r>
          </w:p>
        </w:tc>
      </w:tr>
      <w:tr w:rsidR="00AE4270" w:rsidRPr="00DD2185" w14:paraId="631EDF7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11BD09D" w14:textId="77777777" w:rsidR="00AE4270" w:rsidRPr="00DD2185" w:rsidRDefault="00AE4270" w:rsidP="00AE4270">
            <w:pPr>
              <w:widowControl w:val="0"/>
              <w:jc w:val="both"/>
            </w:pPr>
          </w:p>
        </w:tc>
      </w:tr>
      <w:tr w:rsidR="00AE4270" w:rsidRPr="00DD2185" w14:paraId="2845161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270B10D" w14:textId="4277649F" w:rsidR="00AE4270" w:rsidRPr="00DD2185" w:rsidRDefault="00AE4270" w:rsidP="00AE4270">
            <w:pPr>
              <w:widowControl w:val="0"/>
              <w:tabs>
                <w:tab w:val="left" w:pos="1440"/>
              </w:tabs>
              <w:ind w:left="1440" w:hanging="720"/>
              <w:jc w:val="both"/>
            </w:pPr>
            <w:r w:rsidRPr="00DD2185">
              <w:t>19.1</w:t>
            </w:r>
            <w:r w:rsidRPr="00DD2185">
              <w:tab/>
            </w:r>
            <w:r w:rsidRPr="00DD2185">
              <w:rPr>
                <w:u w:val="single"/>
              </w:rPr>
              <w:t>Způsobilost</w:t>
            </w:r>
            <w:r w:rsidRPr="00DD2185">
              <w:t xml:space="preserve">.  Hlavní zkoušející a zdravotnické zařízení jednotlivě potvrzují, že jsou podle místních zákonů, předpisů, zásad a úředních požadavků držiteli příslušných licencí a registrací a že jsou kvalifikovaní a způsobilí provádět studii a požadované aktivity, jež s ní souvisejí, nebo v příslušných případech působit jako pracoviště studie.  Hlavní zkoušející a zdravotnické zařízení též jednotlivě potvrzují, že jim nebylo zakázáno provádění klinického výzkumu ani provádění studií hodnocených léčivých přípravků ani nebyli zbaveni odborné způsobilosti k jejich provádění podle právních předpisů v jakékoli jurisdikci (mimo jiné včetně odstavce 306, písmeno a) nebo (b) federálního zákona USA o potravinách, léčivech a kosmetických přípravcích [United </w:t>
            </w:r>
            <w:proofErr w:type="spellStart"/>
            <w:r w:rsidRPr="00DD2185">
              <w:t>States</w:t>
            </w:r>
            <w:proofErr w:type="spellEnd"/>
            <w:r w:rsidRPr="00DD2185">
              <w:t xml:space="preserve"> </w:t>
            </w:r>
            <w:proofErr w:type="spellStart"/>
            <w:r w:rsidRPr="00DD2185">
              <w:t>Federal</w:t>
            </w:r>
            <w:proofErr w:type="spellEnd"/>
            <w:r w:rsidRPr="00DD2185">
              <w:t xml:space="preserve"> Food, </w:t>
            </w:r>
            <w:proofErr w:type="spellStart"/>
            <w:r w:rsidRPr="00DD2185">
              <w:t>Drug</w:t>
            </w:r>
            <w:proofErr w:type="spellEnd"/>
            <w:r w:rsidRPr="00DD2185">
              <w:t xml:space="preserve">, and </w:t>
            </w:r>
            <w:proofErr w:type="spellStart"/>
            <w:r w:rsidRPr="00DD2185">
              <w:t>Cosmetic</w:t>
            </w:r>
            <w:proofErr w:type="spellEnd"/>
            <w:r w:rsidRPr="00DD2185">
              <w:t xml:space="preserve"> </w:t>
            </w:r>
            <w:proofErr w:type="spellStart"/>
            <w:r w:rsidRPr="00DD2185">
              <w:t>Act</w:t>
            </w:r>
            <w:proofErr w:type="spellEnd"/>
            <w:r w:rsidRPr="00DD2185">
              <w:t>]), a že neexistují žádné platné právní předpisy nebo jiné závazky, které by jim bránily v provádění této studie a uzavření této smlouvy a že nebudou pro poskytování služeb, jež mají být podle této smlouvy provedeny, žádným způsobem využívat služeb osoby, jíž byl podle takových právních předpisů udělen zákaz činnosti.   Během platnosti této smlouvy a po dobu tří let po jejím ukončení budou zdravotnické zařízení a hlavní zkoušející bezodkladně informovat společnost Pfizer, pokud bude nutné kterékoli z těchto osvědčení vzhledem k novým informacím aktualizovat.</w:t>
            </w:r>
          </w:p>
        </w:tc>
      </w:tr>
      <w:tr w:rsidR="00AE4270" w:rsidRPr="00DD2185" w14:paraId="09BDE7F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D6E40EE" w14:textId="77777777" w:rsidR="00AE4270" w:rsidRPr="00DD2185" w:rsidRDefault="00AE4270" w:rsidP="00AE4270">
            <w:pPr>
              <w:widowControl w:val="0"/>
              <w:jc w:val="both"/>
            </w:pPr>
          </w:p>
        </w:tc>
      </w:tr>
      <w:tr w:rsidR="00AE4270" w:rsidRPr="00DD2185" w14:paraId="17234A2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578D229" w14:textId="5B34916A" w:rsidR="00AE4270" w:rsidRPr="00DD2185" w:rsidRDefault="00AE4270" w:rsidP="00AE4270">
            <w:pPr>
              <w:widowControl w:val="0"/>
              <w:tabs>
                <w:tab w:val="left" w:pos="1440"/>
              </w:tabs>
              <w:ind w:left="1440" w:hanging="720"/>
              <w:jc w:val="both"/>
            </w:pPr>
            <w:r w:rsidRPr="00DD2185">
              <w:t>19.2</w:t>
            </w:r>
            <w:r w:rsidRPr="00DD2185">
              <w:tab/>
            </w:r>
            <w:r w:rsidRPr="00DD2185">
              <w:rPr>
                <w:u w:val="single"/>
              </w:rPr>
              <w:t>Šetření, dotazování, varování nebo vymáhací opatření související s prováděním klinického výzkumu</w:t>
            </w:r>
            <w:r w:rsidRPr="00DD2185">
              <w:t>.  Hlavní zkoušející a zdravotnické zařízení jednotlivě potvrzují, že nejsou a v minulosti nebyli předmětem vyšetřování, dotazování nebo vymáhacího opatření státními či kontrolními úřady ani jim nebylo těmito úřady uděleno varování (společně „</w:t>
            </w:r>
            <w:r w:rsidRPr="00DD2185">
              <w:rPr>
                <w:b/>
                <w:bCs/>
              </w:rPr>
              <w:t>opatření ze strany orgánu</w:t>
            </w:r>
            <w:r w:rsidRPr="00DD2185">
              <w:t xml:space="preserve">“) v souvislosti s prováděním klinického výzkumu nebo výkonem lékařské praxe, o němž by společnost Pfizer nebyla informována.  Hlavní zkoušející nebo zdravotnické zařízení budou společnost Pfizer neprodleně informovat, pokud obdrží oznámení o jakémkoli opatření ze strany orgánu nebo se stanou jeho předmětem, a to v souvislosti s dodržováním etických, vědeckých nebo zákonných standardů pro provádění klinického výzkumu či výkon lékařské praxe, pokud se opatření ze strany orgánu týká příhod nebo aktivit, k nimž došlo před obdobím provádění studie nebo během něj.   </w:t>
            </w:r>
          </w:p>
        </w:tc>
      </w:tr>
      <w:tr w:rsidR="00AE4270" w:rsidRPr="00DD2185" w14:paraId="2CB9506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FE0C383" w14:textId="77777777" w:rsidR="00AE4270" w:rsidRPr="00DD2185" w:rsidRDefault="00AE4270" w:rsidP="00AE4270">
            <w:pPr>
              <w:widowControl w:val="0"/>
              <w:tabs>
                <w:tab w:val="left" w:pos="1440"/>
              </w:tabs>
              <w:jc w:val="both"/>
            </w:pPr>
          </w:p>
        </w:tc>
      </w:tr>
      <w:tr w:rsidR="00AE4270" w:rsidRPr="00DD2185" w14:paraId="49D6503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C4E7B20" w14:textId="19CF9B56" w:rsidR="00AE4270" w:rsidRPr="00DD2185" w:rsidRDefault="00AE4270" w:rsidP="00AE4270">
            <w:pPr>
              <w:widowControl w:val="0"/>
              <w:tabs>
                <w:tab w:val="left" w:pos="1440"/>
              </w:tabs>
              <w:ind w:left="1440" w:hanging="720"/>
              <w:jc w:val="both"/>
            </w:pPr>
            <w:r w:rsidRPr="00DD2185">
              <w:t>19.3</w:t>
            </w:r>
            <w:r w:rsidRPr="00DD2185">
              <w:tab/>
            </w:r>
            <w:r w:rsidRPr="00DD2185">
              <w:rPr>
                <w:u w:val="single"/>
              </w:rPr>
              <w:t>Použití názvu/jména</w:t>
            </w:r>
            <w:r w:rsidRPr="00DD2185">
              <w:t xml:space="preserve">.  Společnost Pfizer si vyhrazuje právo uvést jméno hlavního zkoušejícího a název zdravotnického zařízení při zadání protokolu do americké databáze klinických hodnocení NIH (United </w:t>
            </w:r>
            <w:proofErr w:type="spellStart"/>
            <w:r w:rsidRPr="00DD2185">
              <w:t>States</w:t>
            </w:r>
            <w:proofErr w:type="spellEnd"/>
            <w:r w:rsidRPr="00DD2185">
              <w:t xml:space="preserve"> </w:t>
            </w:r>
            <w:proofErr w:type="spellStart"/>
            <w:r w:rsidRPr="00DD2185">
              <w:t>National</w:t>
            </w:r>
            <w:proofErr w:type="spellEnd"/>
            <w:r w:rsidRPr="00DD2185">
              <w:t xml:space="preserve"> </w:t>
            </w:r>
            <w:proofErr w:type="spellStart"/>
            <w:r w:rsidRPr="00DD2185">
              <w:t>Institutes</w:t>
            </w:r>
            <w:proofErr w:type="spellEnd"/>
            <w:r w:rsidRPr="00DD2185">
              <w:t xml:space="preserve"> </w:t>
            </w:r>
            <w:proofErr w:type="spellStart"/>
            <w:r w:rsidRPr="00DD2185">
              <w:t>of</w:t>
            </w:r>
            <w:proofErr w:type="spellEnd"/>
            <w:r w:rsidRPr="00DD2185">
              <w:t xml:space="preserve"> </w:t>
            </w:r>
            <w:proofErr w:type="spellStart"/>
            <w:r w:rsidRPr="00DD2185">
              <w:t>Health</w:t>
            </w:r>
            <w:proofErr w:type="spellEnd"/>
            <w:r w:rsidRPr="00DD2185">
              <w:t xml:space="preserve"> </w:t>
            </w:r>
            <w:proofErr w:type="spellStart"/>
            <w:r w:rsidRPr="00DD2185">
              <w:t>Clinical</w:t>
            </w:r>
            <w:proofErr w:type="spellEnd"/>
            <w:r w:rsidRPr="00DD2185">
              <w:t xml:space="preserve"> </w:t>
            </w:r>
            <w:proofErr w:type="spellStart"/>
            <w:r w:rsidRPr="00DD2185">
              <w:t>Trials</w:t>
            </w:r>
            <w:proofErr w:type="spellEnd"/>
            <w:r w:rsidRPr="00DD2185">
              <w:t xml:space="preserve"> Data Bank), do jiných veřejně dostupných </w:t>
            </w:r>
            <w:r w:rsidRPr="00DD2185">
              <w:lastRenderedPageBreak/>
              <w:t xml:space="preserve">registrů probíhajících klinických hodnocení nebo do jiných systémů či mechanismů zajišťujících nábor subjektů hodnocení.  Společnost Pfizer jinak nepoužije jméno hlavního zkoušejícího, název zdravotnického zařízení ani jméno žádného ze zaměstnanců či subdodavatelů zdravotnického zařízení a hlavní zkoušející ani zdravotnické zařízení nepoužijí název společnosti Pfizer ani jméno žádného z jejích zaměstnanců či subdodavatelů pro propagační nebo reklamní účely bez písemného souhlasu strany, která má být jmenována.  </w:t>
            </w:r>
          </w:p>
        </w:tc>
      </w:tr>
      <w:tr w:rsidR="00AE4270" w:rsidRPr="00DD2185" w14:paraId="5594258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DCF5246" w14:textId="77777777" w:rsidR="00AE4270" w:rsidRPr="00DD2185" w:rsidRDefault="00AE4270" w:rsidP="00AE4270">
            <w:pPr>
              <w:widowControl w:val="0"/>
              <w:ind w:left="1440" w:hanging="720"/>
              <w:jc w:val="both"/>
            </w:pPr>
          </w:p>
        </w:tc>
      </w:tr>
      <w:tr w:rsidR="00AE4270" w:rsidRPr="00DD2185" w14:paraId="1CDB30D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F70FE5E" w14:textId="01D92540" w:rsidR="00AE4270" w:rsidRPr="00DD2185" w:rsidRDefault="00AE4270" w:rsidP="00AE4270">
            <w:pPr>
              <w:widowControl w:val="0"/>
              <w:ind w:left="1440" w:hanging="720"/>
              <w:jc w:val="both"/>
            </w:pPr>
            <w:r w:rsidRPr="00DD2185">
              <w:t>19.4</w:t>
            </w:r>
            <w:r w:rsidRPr="00DD2185">
              <w:tab/>
            </w:r>
            <w:r w:rsidRPr="00DD2185">
              <w:rPr>
                <w:u w:val="single"/>
              </w:rPr>
              <w:t>Hlášení SUSAR</w:t>
            </w:r>
            <w:r w:rsidRPr="00DD2185">
              <w:t>.  V souladu s povinností zadavatele podávat hlášení o bezpečnosti podle 21 CFR 312.32(c)(1) bude společnost Pfizer hlásit hlavnímu zkoušejícímu všechna podezření na závažné neočekávané nežádoucí účinky (</w:t>
            </w:r>
            <w:proofErr w:type="spellStart"/>
            <w:r w:rsidRPr="00DD2185">
              <w:t>Serious</w:t>
            </w:r>
            <w:proofErr w:type="spellEnd"/>
            <w:r w:rsidRPr="00DD2185">
              <w:t xml:space="preserve"> </w:t>
            </w:r>
            <w:proofErr w:type="spellStart"/>
            <w:r w:rsidRPr="00DD2185">
              <w:t>Unexpected</w:t>
            </w:r>
            <w:proofErr w:type="spellEnd"/>
            <w:r w:rsidRPr="00DD2185">
              <w:t xml:space="preserve"> </w:t>
            </w:r>
            <w:proofErr w:type="spellStart"/>
            <w:r w:rsidRPr="00DD2185">
              <w:t>Suspected</w:t>
            </w:r>
            <w:proofErr w:type="spellEnd"/>
            <w:r w:rsidRPr="00DD2185">
              <w:t xml:space="preserve"> </w:t>
            </w:r>
            <w:proofErr w:type="spellStart"/>
            <w:r w:rsidRPr="00DD2185">
              <w:t>Adverse</w:t>
            </w:r>
            <w:proofErr w:type="spellEnd"/>
            <w:r w:rsidRPr="00DD2185">
              <w:t xml:space="preserve"> </w:t>
            </w:r>
            <w:proofErr w:type="spellStart"/>
            <w:r w:rsidRPr="00DD2185">
              <w:t>Reactions</w:t>
            </w:r>
            <w:proofErr w:type="spellEnd"/>
            <w:r w:rsidRPr="00DD2185">
              <w:t>, „</w:t>
            </w:r>
            <w:r w:rsidRPr="00DD2185">
              <w:rPr>
                <w:b/>
                <w:bCs/>
              </w:rPr>
              <w:t>SUSAR</w:t>
            </w:r>
            <w:r w:rsidRPr="00DD2185">
              <w:t>“).  Hlavní zkoušející obdrží hlášení SUSAR a v příslušných případech je ověří v souladu s místními požadavky.  Společnost Pfizer bude hlásit odpovědné IRB/NEK podezření na závažné neočekávané nežádoucí účinky hodnoceného léčiva v dané klinické studii, k nimž došlo na území České republiky.  Zdravotnické zařízení uchová hlášení SUSAR v souladu se článkem 11.3 této smlouvy.</w:t>
            </w:r>
          </w:p>
        </w:tc>
      </w:tr>
      <w:tr w:rsidR="00AE4270" w:rsidRPr="00DD2185" w14:paraId="54962F1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FECA582" w14:textId="77777777" w:rsidR="00AE4270" w:rsidRPr="00DD2185" w:rsidRDefault="00AE4270" w:rsidP="00AE4270">
            <w:pPr>
              <w:widowControl w:val="0"/>
              <w:ind w:left="1440" w:hanging="720"/>
              <w:jc w:val="both"/>
            </w:pPr>
          </w:p>
        </w:tc>
      </w:tr>
      <w:tr w:rsidR="00AE4270" w:rsidRPr="00DD2185" w14:paraId="0ECA20C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098538E" w14:textId="4C86FC32" w:rsidR="00AE4270" w:rsidRPr="00DD2185" w:rsidRDefault="00AE4270" w:rsidP="00AE4270">
            <w:pPr>
              <w:widowControl w:val="0"/>
              <w:tabs>
                <w:tab w:val="left" w:pos="1440"/>
              </w:tabs>
              <w:ind w:left="1440" w:hanging="720"/>
              <w:jc w:val="both"/>
            </w:pPr>
            <w:r w:rsidRPr="00DD2185">
              <w:t>19.5</w:t>
            </w:r>
            <w:r w:rsidRPr="00DD2185">
              <w:tab/>
            </w:r>
            <w:r w:rsidRPr="00DD2185">
              <w:rPr>
                <w:u w:val="single"/>
              </w:rPr>
              <w:t>Vztah smluvních stran</w:t>
            </w:r>
            <w:r w:rsidRPr="00DD2185">
              <w:t>.  Vztah hlavního zkoušejícího a zdravotnického zařízení vůči společnosti Pfizer je vztahem nezávislých smluvních dodavatelů a nikoli partnerství a nejedná se ani o vztah zmocnitele a zmocněnců, zaměstnanců a zaměstnavatele, společný podnik ani jiný vztah.</w:t>
            </w:r>
          </w:p>
        </w:tc>
      </w:tr>
      <w:tr w:rsidR="00AE4270" w:rsidRPr="00DD2185" w14:paraId="14F2134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B58B3AE" w14:textId="77777777" w:rsidR="00AE4270" w:rsidRPr="00DD2185" w:rsidRDefault="00AE4270" w:rsidP="00AE4270">
            <w:pPr>
              <w:widowControl w:val="0"/>
              <w:tabs>
                <w:tab w:val="left" w:pos="1440"/>
              </w:tabs>
              <w:ind w:left="1440" w:hanging="720"/>
              <w:jc w:val="both"/>
            </w:pPr>
          </w:p>
        </w:tc>
      </w:tr>
      <w:tr w:rsidR="00AE4270" w:rsidRPr="00DD2185" w14:paraId="6060407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5DB1278" w14:textId="77777777" w:rsidR="00AE4270" w:rsidRPr="00DD2185" w:rsidRDefault="00AE4270" w:rsidP="00AE4270">
            <w:pPr>
              <w:widowControl w:val="0"/>
              <w:tabs>
                <w:tab w:val="left" w:pos="1440"/>
              </w:tabs>
              <w:ind w:left="1440" w:hanging="720"/>
              <w:jc w:val="both"/>
            </w:pPr>
            <w:r w:rsidRPr="00DD2185">
              <w:t>19.6</w:t>
            </w:r>
            <w:r w:rsidRPr="00DD2185">
              <w:tab/>
            </w:r>
            <w:r w:rsidRPr="00DD2185">
              <w:rPr>
                <w:u w:val="single"/>
              </w:rPr>
              <w:t>Úpravy</w:t>
            </w:r>
            <w:r w:rsidRPr="00DD2185">
              <w:t xml:space="preserve">.  Jakákoli úprava této smlouvy musí být provedena písemně, podepsána smluvními stranami a označena jako dodatek, kromě některých vzájemně dohodnutých změn rozpočtu studie v příloze A. </w:t>
            </w:r>
          </w:p>
        </w:tc>
      </w:tr>
      <w:tr w:rsidR="00AE4270" w:rsidRPr="00DD2185" w14:paraId="1F2C992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796CC68" w14:textId="77777777" w:rsidR="00AE4270" w:rsidRPr="00DD2185" w:rsidRDefault="00AE4270" w:rsidP="00AE4270">
            <w:pPr>
              <w:widowControl w:val="0"/>
              <w:tabs>
                <w:tab w:val="left" w:pos="1440"/>
              </w:tabs>
              <w:jc w:val="both"/>
            </w:pPr>
          </w:p>
        </w:tc>
      </w:tr>
      <w:tr w:rsidR="00AE4270" w:rsidRPr="00DD2185" w14:paraId="714C6DE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CFD6D07" w14:textId="77777777" w:rsidR="00AE4270" w:rsidRPr="00DD2185" w:rsidRDefault="00AE4270" w:rsidP="00AE4270">
            <w:pPr>
              <w:widowControl w:val="0"/>
              <w:tabs>
                <w:tab w:val="left" w:pos="1440"/>
              </w:tabs>
              <w:ind w:left="1440" w:hanging="720"/>
              <w:jc w:val="both"/>
            </w:pPr>
            <w:r w:rsidRPr="00DD2185">
              <w:t>19.7</w:t>
            </w:r>
            <w:r w:rsidRPr="00DD2185">
              <w:tab/>
            </w:r>
            <w:r w:rsidRPr="00DD2185">
              <w:rPr>
                <w:u w:val="single"/>
              </w:rPr>
              <w:t>Neupuštění od práv</w:t>
            </w:r>
            <w:r w:rsidRPr="00DD2185">
              <w:t xml:space="preserve">.  Neuplatnění práva vyplývajícího z této smlouvy neznamená upuštění od tohoto práva do budoucna.  Žádné upuštění od jakéhokoli práva není účinné, pokud tak stranou, která od práva upouští, není učiněno písemně a není to touto stranou podepsáno. </w:t>
            </w:r>
          </w:p>
        </w:tc>
      </w:tr>
      <w:tr w:rsidR="00AE4270" w:rsidRPr="00DD2185" w14:paraId="5AF78A5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C21E269" w14:textId="77777777" w:rsidR="00AE4270" w:rsidRPr="00DD2185" w:rsidRDefault="00AE4270" w:rsidP="00AE4270">
            <w:pPr>
              <w:widowControl w:val="0"/>
              <w:tabs>
                <w:tab w:val="left" w:pos="1440"/>
              </w:tabs>
              <w:ind w:left="1440" w:hanging="720"/>
              <w:jc w:val="both"/>
            </w:pPr>
          </w:p>
        </w:tc>
      </w:tr>
      <w:tr w:rsidR="00AE4270" w:rsidRPr="00DD2185" w14:paraId="1A2B209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5842923" w14:textId="77777777" w:rsidR="00AE4270" w:rsidRPr="00DD2185" w:rsidRDefault="00AE4270" w:rsidP="00AE4270">
            <w:pPr>
              <w:widowControl w:val="0"/>
              <w:tabs>
                <w:tab w:val="left" w:pos="1440"/>
              </w:tabs>
              <w:ind w:left="1440" w:hanging="720"/>
              <w:jc w:val="both"/>
            </w:pPr>
            <w:r w:rsidRPr="00DD2185">
              <w:t>19.8</w:t>
            </w:r>
            <w:r w:rsidRPr="00DD2185">
              <w:tab/>
            </w:r>
            <w:r w:rsidRPr="00DD2185">
              <w:rPr>
                <w:u w:val="single"/>
              </w:rPr>
              <w:t>Rozpor s přílohami</w:t>
            </w:r>
            <w:r w:rsidRPr="00DD2185">
              <w:t>.  Pokud dojde k rozporu mezi touto smlouvou a kteroukoli z jejích příloh, jsou určující podmínky této smlouvy.  Pokud dojde k rozporu mezi touto smlouvou a protokolem, je v případě otázek týkajících se léčby subjektů hodnocení určující protokol, ve všech ostatních záležitostech je určující smlouva.</w:t>
            </w:r>
          </w:p>
        </w:tc>
      </w:tr>
      <w:tr w:rsidR="00AE4270" w:rsidRPr="00DD2185" w14:paraId="2A730C3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38F45BD" w14:textId="77777777" w:rsidR="00AE4270" w:rsidRPr="00DD2185" w:rsidRDefault="00AE4270" w:rsidP="00AE4270">
            <w:pPr>
              <w:widowControl w:val="0"/>
              <w:tabs>
                <w:tab w:val="left" w:pos="1440"/>
              </w:tabs>
              <w:jc w:val="both"/>
            </w:pPr>
          </w:p>
        </w:tc>
      </w:tr>
      <w:tr w:rsidR="00AE4270" w:rsidRPr="00DD2185" w14:paraId="303B2A5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AA7BE45" w14:textId="77777777" w:rsidR="00AE4270" w:rsidRPr="00DD2185" w:rsidRDefault="00AE4270" w:rsidP="00AE4270">
            <w:pPr>
              <w:widowControl w:val="0"/>
              <w:tabs>
                <w:tab w:val="left" w:pos="1440"/>
              </w:tabs>
              <w:ind w:left="1440" w:hanging="720"/>
              <w:jc w:val="both"/>
            </w:pPr>
            <w:r w:rsidRPr="00DD2185">
              <w:t>19.9</w:t>
            </w:r>
            <w:r w:rsidRPr="00DD2185">
              <w:tab/>
            </w:r>
            <w:r w:rsidRPr="00DD2185">
              <w:rPr>
                <w:u w:val="single"/>
              </w:rPr>
              <w:t>Přidružené společnosti</w:t>
            </w:r>
            <w:r w:rsidRPr="00DD2185">
              <w:t xml:space="preserve">.  </w:t>
            </w:r>
            <w:r w:rsidRPr="00DD2185">
              <w:rPr>
                <w:snapToGrid w:val="0"/>
              </w:rPr>
              <w:t xml:space="preserve">Termín „přidružená společnost“ tak, jak je použit v této smlouvě, znamená jakoukoli právnickou osobu, která přímo nebo nepřímo řídí, je řízena nebo je společně řízena uvedenou stranou.  </w:t>
            </w:r>
          </w:p>
        </w:tc>
      </w:tr>
      <w:tr w:rsidR="00AE4270" w:rsidRPr="00DD2185" w14:paraId="0CBE736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8D349AD" w14:textId="77777777" w:rsidR="00AE4270" w:rsidRPr="00DD2185" w:rsidRDefault="00AE4270" w:rsidP="00AE4270">
            <w:pPr>
              <w:widowControl w:val="0"/>
              <w:ind w:left="1440" w:hanging="720"/>
              <w:jc w:val="both"/>
            </w:pPr>
          </w:p>
        </w:tc>
      </w:tr>
      <w:tr w:rsidR="00AE4270" w:rsidRPr="00DD2185" w14:paraId="0B36241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15DEC12" w14:textId="77777777" w:rsidR="00AE4270" w:rsidRPr="00DD2185" w:rsidRDefault="00AE4270" w:rsidP="00AE4270">
            <w:pPr>
              <w:widowControl w:val="0"/>
              <w:tabs>
                <w:tab w:val="left" w:pos="1440"/>
              </w:tabs>
              <w:ind w:left="1440" w:hanging="720"/>
              <w:jc w:val="both"/>
            </w:pPr>
            <w:r w:rsidRPr="00DD2185">
              <w:t>19.10</w:t>
            </w:r>
            <w:r w:rsidRPr="00DD2185">
              <w:tab/>
            </w:r>
            <w:r w:rsidRPr="00DD2185">
              <w:rPr>
                <w:u w:val="single"/>
              </w:rPr>
              <w:t>Nástupci a nabyvatelé</w:t>
            </w:r>
            <w:r w:rsidRPr="00DD2185">
              <w:t>.  Tato smlouva bude závazná pro nástupce a povolené nabyvatele každé strany a nabude účinnosti v jejich prospěch.</w:t>
            </w:r>
          </w:p>
        </w:tc>
      </w:tr>
      <w:tr w:rsidR="00AE4270" w:rsidRPr="00DD2185" w14:paraId="6B01AB4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97308CE" w14:textId="77777777" w:rsidR="00AE4270" w:rsidRPr="00DD2185" w:rsidRDefault="00AE4270" w:rsidP="00AE4270">
            <w:pPr>
              <w:widowControl w:val="0"/>
              <w:tabs>
                <w:tab w:val="left" w:pos="1440"/>
              </w:tabs>
              <w:ind w:left="1440" w:hanging="720"/>
              <w:jc w:val="both"/>
            </w:pPr>
          </w:p>
          <w:p w14:paraId="6F45FCD7" w14:textId="130102E3" w:rsidR="00AE4270" w:rsidRPr="00DD2185" w:rsidRDefault="00AE4270" w:rsidP="00AE4270">
            <w:pPr>
              <w:widowControl w:val="0"/>
              <w:tabs>
                <w:tab w:val="left" w:pos="1440"/>
              </w:tabs>
              <w:ind w:left="1440" w:hanging="720"/>
              <w:jc w:val="both"/>
            </w:pPr>
            <w:r w:rsidRPr="00DD2185">
              <w:t>19.11</w:t>
            </w:r>
            <w:r w:rsidRPr="00DD2185">
              <w:tab/>
            </w:r>
            <w:r w:rsidRPr="00DD2185">
              <w:rPr>
                <w:u w:val="single"/>
              </w:rPr>
              <w:t>Celistvost smlouvy</w:t>
            </w:r>
            <w:r w:rsidRPr="00DD2185">
              <w:t xml:space="preserve">.  Tato smlouva včetně všech příloh představuje úplné ujednání mezi stranami týkající se předmětu smlouvy.  Tato smlouva nahrazuje veškeré předešlé dohody mezi stranami (ústní a písemné) týkající </w:t>
            </w:r>
            <w:r w:rsidRPr="00DD2185">
              <w:lastRenderedPageBreak/>
              <w:t>se této studie s výjimkou závazků, které na základě své podstaty přetrvávají bez ohledu na tuto smlouvu.</w:t>
            </w:r>
          </w:p>
        </w:tc>
      </w:tr>
      <w:tr w:rsidR="00AE4270" w:rsidRPr="00DD2185" w14:paraId="4A3BBA5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A14C7A4" w14:textId="77777777" w:rsidR="00AE4270" w:rsidRPr="00DD2185" w:rsidRDefault="00AE4270" w:rsidP="00AE4270">
            <w:pPr>
              <w:widowControl w:val="0"/>
              <w:tabs>
                <w:tab w:val="left" w:pos="1440"/>
              </w:tabs>
              <w:jc w:val="both"/>
            </w:pPr>
          </w:p>
        </w:tc>
      </w:tr>
      <w:tr w:rsidR="000853F9" w:rsidRPr="00DD2185" w14:paraId="17DB190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F4FAD2E" w14:textId="0040B46A" w:rsidR="00AE4270" w:rsidRPr="00DD2185" w:rsidRDefault="00AE4270" w:rsidP="00AE4270">
            <w:pPr>
              <w:widowControl w:val="0"/>
              <w:tabs>
                <w:tab w:val="left" w:pos="1440"/>
              </w:tabs>
              <w:ind w:left="1440" w:hanging="720"/>
              <w:jc w:val="both"/>
            </w:pPr>
            <w:r w:rsidRPr="00DD2185">
              <w:t>19.12</w:t>
            </w:r>
            <w:r w:rsidRPr="00DD2185">
              <w:tab/>
            </w:r>
            <w:r w:rsidRPr="00DD2185">
              <w:rPr>
                <w:u w:val="single"/>
              </w:rPr>
              <w:t>Rozhodné právo</w:t>
            </w:r>
            <w:r w:rsidR="00191118" w:rsidRPr="00DD2185">
              <w:rPr>
                <w:u w:val="single"/>
              </w:rPr>
              <w:t>, řešení sporů a řídící jazyk</w:t>
            </w:r>
            <w:r w:rsidRPr="00DD2185">
              <w:t xml:space="preserve">. Tato smlouva se řídí právními předpisy České republiky, zejména zákonem č. </w:t>
            </w:r>
            <w:r w:rsidR="00191118" w:rsidRPr="00DD2185">
              <w:t>89/2012 Sb., občanský</w:t>
            </w:r>
            <w:r w:rsidRPr="00DD2185">
              <w:t xml:space="preserve"> zákoník, a zákonem o léčivech.</w:t>
            </w:r>
          </w:p>
          <w:p w14:paraId="00C0DB93" w14:textId="77777777" w:rsidR="00191118" w:rsidRPr="00DD2185" w:rsidRDefault="00191118" w:rsidP="00AE4270">
            <w:pPr>
              <w:widowControl w:val="0"/>
              <w:tabs>
                <w:tab w:val="left" w:pos="1440"/>
              </w:tabs>
              <w:ind w:left="1440" w:hanging="720"/>
              <w:jc w:val="both"/>
            </w:pPr>
          </w:p>
          <w:p w14:paraId="79F9B853" w14:textId="77777777" w:rsidR="00191118" w:rsidRPr="00DD2185" w:rsidRDefault="00191118" w:rsidP="00191118">
            <w:pPr>
              <w:widowControl w:val="0"/>
              <w:tabs>
                <w:tab w:val="left" w:pos="1440"/>
              </w:tabs>
              <w:ind w:left="1440" w:hanging="23"/>
              <w:jc w:val="both"/>
            </w:pPr>
            <w:r w:rsidRPr="00DD2185">
              <w:t>V případě vzniku sporu, který nebude vyřešen smírem, jsou k jeho řešení příslušné soudy České republiky.</w:t>
            </w:r>
          </w:p>
          <w:p w14:paraId="7C21535E" w14:textId="77777777" w:rsidR="00191118" w:rsidRPr="00DD2185" w:rsidRDefault="00191118" w:rsidP="00191118">
            <w:pPr>
              <w:widowControl w:val="0"/>
              <w:tabs>
                <w:tab w:val="left" w:pos="1440"/>
              </w:tabs>
              <w:ind w:left="1440" w:hanging="23"/>
              <w:jc w:val="both"/>
            </w:pPr>
          </w:p>
          <w:p w14:paraId="70696F2E" w14:textId="6FA31C05" w:rsidR="00191118" w:rsidRPr="00DD2185" w:rsidRDefault="00191118" w:rsidP="00E468EB">
            <w:pPr>
              <w:widowControl w:val="0"/>
              <w:tabs>
                <w:tab w:val="left" w:pos="1440"/>
              </w:tabs>
              <w:ind w:left="1440" w:hanging="19"/>
              <w:jc w:val="both"/>
            </w:pPr>
            <w:r w:rsidRPr="00DD2185">
              <w:rPr>
                <w:lang w:val="sk"/>
              </w:rPr>
              <w:t xml:space="preserve">Tato </w:t>
            </w:r>
            <w:proofErr w:type="spellStart"/>
            <w:r w:rsidRPr="00DD2185">
              <w:rPr>
                <w:lang w:val="sk"/>
              </w:rPr>
              <w:t>smlouva</w:t>
            </w:r>
            <w:proofErr w:type="spellEnd"/>
            <w:r w:rsidRPr="00DD2185">
              <w:rPr>
                <w:lang w:val="sk"/>
              </w:rPr>
              <w:t xml:space="preserve"> je vyhotovená </w:t>
            </w:r>
            <w:proofErr w:type="spellStart"/>
            <w:r w:rsidRPr="00DD2185">
              <w:rPr>
                <w:lang w:val="sk"/>
              </w:rPr>
              <w:t>ve</w:t>
            </w:r>
            <w:proofErr w:type="spellEnd"/>
            <w:r w:rsidRPr="00DD2185">
              <w:rPr>
                <w:lang w:val="sk"/>
              </w:rPr>
              <w:t xml:space="preserve"> </w:t>
            </w:r>
            <w:proofErr w:type="spellStart"/>
            <w:r w:rsidRPr="00DD2185">
              <w:rPr>
                <w:lang w:val="sk"/>
              </w:rPr>
              <w:t>dvou</w:t>
            </w:r>
            <w:proofErr w:type="spellEnd"/>
            <w:r w:rsidRPr="00DD2185">
              <w:rPr>
                <w:lang w:val="sk"/>
              </w:rPr>
              <w:t xml:space="preserve"> samostatných jazykových </w:t>
            </w:r>
            <w:proofErr w:type="spellStart"/>
            <w:r w:rsidRPr="00DD2185">
              <w:rPr>
                <w:lang w:val="sk"/>
              </w:rPr>
              <w:t>verzích</w:t>
            </w:r>
            <w:proofErr w:type="spellEnd"/>
            <w:r w:rsidRPr="00DD2185">
              <w:rPr>
                <w:lang w:val="sk"/>
              </w:rPr>
              <w:t xml:space="preserve">, v české a v anglické, </w:t>
            </w:r>
            <w:proofErr w:type="spellStart"/>
            <w:r w:rsidRPr="00DD2185">
              <w:rPr>
                <w:lang w:val="sk"/>
              </w:rPr>
              <w:t>přičemž</w:t>
            </w:r>
            <w:proofErr w:type="spellEnd"/>
            <w:r w:rsidRPr="00DD2185">
              <w:rPr>
                <w:lang w:val="sk"/>
              </w:rPr>
              <w:t xml:space="preserve"> </w:t>
            </w:r>
            <w:proofErr w:type="spellStart"/>
            <w:r w:rsidRPr="00DD2185">
              <w:rPr>
                <w:lang w:val="sk"/>
              </w:rPr>
              <w:t>obě</w:t>
            </w:r>
            <w:proofErr w:type="spellEnd"/>
            <w:r w:rsidRPr="00DD2185">
              <w:rPr>
                <w:lang w:val="sk"/>
              </w:rPr>
              <w:t xml:space="preserve"> </w:t>
            </w:r>
            <w:proofErr w:type="spellStart"/>
            <w:r w:rsidRPr="00DD2185">
              <w:rPr>
                <w:lang w:val="sk"/>
              </w:rPr>
              <w:t>verze</w:t>
            </w:r>
            <w:proofErr w:type="spellEnd"/>
            <w:r w:rsidRPr="00DD2185">
              <w:rPr>
                <w:lang w:val="sk"/>
              </w:rPr>
              <w:t xml:space="preserve"> </w:t>
            </w:r>
            <w:proofErr w:type="spellStart"/>
            <w:r w:rsidRPr="00DD2185">
              <w:rPr>
                <w:lang w:val="sk"/>
              </w:rPr>
              <w:t>mají</w:t>
            </w:r>
            <w:proofErr w:type="spellEnd"/>
            <w:r w:rsidRPr="00DD2185">
              <w:rPr>
                <w:lang w:val="sk"/>
              </w:rPr>
              <w:t xml:space="preserve"> </w:t>
            </w:r>
            <w:proofErr w:type="spellStart"/>
            <w:r w:rsidRPr="00DD2185">
              <w:rPr>
                <w:lang w:val="sk"/>
              </w:rPr>
              <w:t>stejný</w:t>
            </w:r>
            <w:proofErr w:type="spellEnd"/>
            <w:r w:rsidRPr="00DD2185">
              <w:rPr>
                <w:lang w:val="sk"/>
              </w:rPr>
              <w:t xml:space="preserve"> </w:t>
            </w:r>
            <w:proofErr w:type="spellStart"/>
            <w:r w:rsidRPr="00DD2185">
              <w:rPr>
                <w:lang w:val="sk"/>
              </w:rPr>
              <w:t>účinek</w:t>
            </w:r>
            <w:proofErr w:type="spellEnd"/>
            <w:r w:rsidRPr="00DD2185">
              <w:rPr>
                <w:lang w:val="sk"/>
              </w:rPr>
              <w:t>. V </w:t>
            </w:r>
            <w:proofErr w:type="spellStart"/>
            <w:r w:rsidRPr="00DD2185">
              <w:rPr>
                <w:lang w:val="sk"/>
              </w:rPr>
              <w:t>případě</w:t>
            </w:r>
            <w:proofErr w:type="spellEnd"/>
            <w:r w:rsidRPr="00DD2185">
              <w:rPr>
                <w:lang w:val="sk"/>
              </w:rPr>
              <w:t xml:space="preserve"> nejednoznačnosti nebo </w:t>
            </w:r>
            <w:proofErr w:type="spellStart"/>
            <w:r w:rsidRPr="00DD2185">
              <w:rPr>
                <w:lang w:val="sk"/>
              </w:rPr>
              <w:t>rozporů</w:t>
            </w:r>
            <w:proofErr w:type="spellEnd"/>
            <w:r w:rsidRPr="00DD2185">
              <w:rPr>
                <w:lang w:val="sk"/>
              </w:rPr>
              <w:t xml:space="preserve"> v </w:t>
            </w:r>
            <w:proofErr w:type="spellStart"/>
            <w:r w:rsidRPr="00DD2185">
              <w:rPr>
                <w:lang w:val="sk"/>
              </w:rPr>
              <w:t>interpretaci</w:t>
            </w:r>
            <w:proofErr w:type="spellEnd"/>
            <w:r w:rsidRPr="00DD2185">
              <w:rPr>
                <w:lang w:val="sk"/>
              </w:rPr>
              <w:t xml:space="preserve"> </w:t>
            </w:r>
            <w:proofErr w:type="spellStart"/>
            <w:r w:rsidRPr="00DD2185">
              <w:rPr>
                <w:lang w:val="sk"/>
              </w:rPr>
              <w:t>mezi</w:t>
            </w:r>
            <w:proofErr w:type="spellEnd"/>
            <w:r w:rsidRPr="00DD2185">
              <w:rPr>
                <w:lang w:val="sk"/>
              </w:rPr>
              <w:t xml:space="preserve"> </w:t>
            </w:r>
            <w:proofErr w:type="spellStart"/>
            <w:r w:rsidRPr="00DD2185">
              <w:rPr>
                <w:lang w:val="sk"/>
              </w:rPr>
              <w:t>těmito</w:t>
            </w:r>
            <w:proofErr w:type="spellEnd"/>
            <w:r w:rsidRPr="00DD2185">
              <w:rPr>
                <w:lang w:val="sk"/>
              </w:rPr>
              <w:t xml:space="preserve"> </w:t>
            </w:r>
            <w:proofErr w:type="spellStart"/>
            <w:r w:rsidRPr="00DD2185">
              <w:rPr>
                <w:lang w:val="sk"/>
              </w:rPr>
              <w:t>dvěma</w:t>
            </w:r>
            <w:proofErr w:type="spellEnd"/>
            <w:r w:rsidRPr="00DD2185">
              <w:rPr>
                <w:lang w:val="sk"/>
              </w:rPr>
              <w:t xml:space="preserve"> </w:t>
            </w:r>
            <w:proofErr w:type="spellStart"/>
            <w:r w:rsidRPr="00DD2185">
              <w:rPr>
                <w:lang w:val="sk"/>
              </w:rPr>
              <w:t>verzemi</w:t>
            </w:r>
            <w:proofErr w:type="spellEnd"/>
            <w:r w:rsidRPr="00DD2185">
              <w:rPr>
                <w:lang w:val="sk"/>
              </w:rPr>
              <w:t xml:space="preserve"> má </w:t>
            </w:r>
            <w:proofErr w:type="spellStart"/>
            <w:r w:rsidRPr="00DD2185">
              <w:rPr>
                <w:lang w:val="sk"/>
              </w:rPr>
              <w:t>přednost</w:t>
            </w:r>
            <w:proofErr w:type="spellEnd"/>
            <w:r w:rsidRPr="00DD2185">
              <w:rPr>
                <w:lang w:val="sk"/>
              </w:rPr>
              <w:t xml:space="preserve"> česká </w:t>
            </w:r>
            <w:proofErr w:type="spellStart"/>
            <w:r w:rsidRPr="00DD2185">
              <w:rPr>
                <w:lang w:val="sk"/>
              </w:rPr>
              <w:t>verze</w:t>
            </w:r>
            <w:proofErr w:type="spellEnd"/>
            <w:r w:rsidRPr="00DD2185">
              <w:rPr>
                <w:lang w:val="sk"/>
              </w:rPr>
              <w:t>.</w:t>
            </w:r>
          </w:p>
        </w:tc>
      </w:tr>
      <w:tr w:rsidR="00AE4270" w:rsidRPr="00DD2185" w14:paraId="41FE36C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D102A6C" w14:textId="77777777" w:rsidR="00AE4270" w:rsidRPr="00DD2185" w:rsidRDefault="00AE4270" w:rsidP="00AE4270">
            <w:pPr>
              <w:widowControl w:val="0"/>
              <w:tabs>
                <w:tab w:val="left" w:pos="1440"/>
              </w:tabs>
              <w:ind w:left="1440" w:hanging="720"/>
              <w:jc w:val="both"/>
            </w:pPr>
          </w:p>
          <w:p w14:paraId="12076D71" w14:textId="5518E976" w:rsidR="00AE4270" w:rsidRPr="00DD2185" w:rsidRDefault="00AE4270" w:rsidP="00AE4270">
            <w:pPr>
              <w:widowControl w:val="0"/>
              <w:tabs>
                <w:tab w:val="left" w:pos="1440"/>
              </w:tabs>
              <w:ind w:left="1440" w:hanging="720"/>
              <w:jc w:val="both"/>
              <w:rPr>
                <w:bCs/>
                <w:iCs/>
              </w:rPr>
            </w:pPr>
            <w:r w:rsidRPr="00DD2185">
              <w:t>19.13</w:t>
            </w:r>
            <w:r w:rsidRPr="00DD2185">
              <w:tab/>
            </w:r>
            <w:r w:rsidRPr="00DD2185">
              <w:rPr>
                <w:u w:val="single"/>
              </w:rPr>
              <w:t>Oznámení</w:t>
            </w:r>
            <w:r w:rsidRPr="00DD2185">
              <w:t>.  Jakékoli oznámení, které musí být podle této smlouvy poskytnuto, bude mít písemnou podobu a bude považováno za dostatečným způsobem doručené: (i) pokud bude doručeno osobně; (</w:t>
            </w:r>
            <w:proofErr w:type="spellStart"/>
            <w:r w:rsidRPr="00DD2185">
              <w:t>ii</w:t>
            </w:r>
            <w:proofErr w:type="spellEnd"/>
            <w:r w:rsidRPr="00DD2185">
              <w:t>) pokud bude doručeno expresní kurýrní službou další pracovní den po odeslání nebo, tam, kde není expresní kurýrní služba k dispozici, jinou spěšnou formou uznávanou kurýrní službou; nebo (</w:t>
            </w:r>
            <w:proofErr w:type="spellStart"/>
            <w:r w:rsidRPr="00DD2185">
              <w:t>iii</w:t>
            </w:r>
            <w:proofErr w:type="spellEnd"/>
            <w:r w:rsidRPr="00DD2185">
              <w:t xml:space="preserve">) pokud bude doručeno e-mailem za předpokladu, že je originál doručen jednou z výše uvedených metod pátý pracovní den po odeslání e-mailu nebo před tímto dnem na níže uvedené adresy. V každém oznámení bude uveden název, datum a strany této smlouvy. </w:t>
            </w:r>
          </w:p>
        </w:tc>
      </w:tr>
      <w:tr w:rsidR="00AE4270" w:rsidRPr="00DD2185" w14:paraId="41C8E5C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08963DD" w14:textId="77777777" w:rsidR="00AE4270" w:rsidRPr="00DD2185" w:rsidRDefault="00AE4270" w:rsidP="00AE4270">
            <w:pPr>
              <w:pStyle w:val="BodyTextIndent2"/>
              <w:widowControl w:val="0"/>
              <w:spacing w:after="0" w:line="240" w:lineRule="auto"/>
              <w:ind w:left="0"/>
              <w:jc w:val="both"/>
              <w:rPr>
                <w:b/>
                <w:bCs/>
                <w:i/>
                <w:iCs/>
              </w:rPr>
            </w:pPr>
          </w:p>
        </w:tc>
      </w:tr>
      <w:tr w:rsidR="00AE4270" w:rsidRPr="00DD2185" w14:paraId="05A138A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3232076" w14:textId="7B0C48F4" w:rsidR="00AE4270" w:rsidRPr="00DD2185" w:rsidRDefault="00AE4270" w:rsidP="00AE4270">
            <w:pPr>
              <w:pStyle w:val="BodyTextIndent2"/>
              <w:widowControl w:val="0"/>
              <w:spacing w:after="0" w:line="240" w:lineRule="auto"/>
              <w:ind w:left="1440"/>
              <w:jc w:val="both"/>
              <w:rPr>
                <w:b/>
                <w:bCs/>
                <w:i/>
                <w:iCs/>
                <w:highlight w:val="yellow"/>
              </w:rPr>
            </w:pPr>
            <w:r w:rsidRPr="00DD2185">
              <w:t>Společnost Pfizer pro smluvní záležitosti:</w:t>
            </w:r>
          </w:p>
        </w:tc>
      </w:tr>
      <w:tr w:rsidR="00AE4270" w:rsidRPr="00DD2185" w14:paraId="650C3EB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507BDE2" w14:textId="2157C489" w:rsidR="00AE4270" w:rsidRPr="00DD2185" w:rsidRDefault="00AE4270" w:rsidP="00AE4270">
            <w:pPr>
              <w:pStyle w:val="BodyTextIndent2"/>
              <w:widowControl w:val="0"/>
              <w:spacing w:after="0" w:line="240" w:lineRule="auto"/>
              <w:ind w:left="1980"/>
              <w:jc w:val="both"/>
              <w:rPr>
                <w:b/>
                <w:bCs/>
                <w:i/>
                <w:iCs/>
                <w:highlight w:val="yellow"/>
              </w:rPr>
            </w:pPr>
          </w:p>
        </w:tc>
      </w:tr>
      <w:tr w:rsidR="00F84532" w:rsidRPr="00DD2185" w14:paraId="7D3A8F0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1CE2A54" w14:textId="46DDA6A3" w:rsidR="00F84532" w:rsidRPr="00E468EB" w:rsidRDefault="00F84532" w:rsidP="00F84532">
            <w:pPr>
              <w:pStyle w:val="BodyTextIndent2"/>
              <w:widowControl w:val="0"/>
              <w:spacing w:after="0" w:line="240" w:lineRule="auto"/>
              <w:ind w:left="1980"/>
              <w:jc w:val="both"/>
              <w:rPr>
                <w:b/>
                <w:bCs/>
                <w:i/>
                <w:iCs/>
              </w:rPr>
            </w:pPr>
            <w:r w:rsidRPr="00E468EB">
              <w:rPr>
                <w:b/>
                <w:bCs/>
              </w:rPr>
              <w:t>Pfizer Inc.</w:t>
            </w:r>
          </w:p>
        </w:tc>
      </w:tr>
      <w:tr w:rsidR="00F84532" w:rsidRPr="00DD2185" w14:paraId="73EFF2E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A8F3BA5" w14:textId="5EBC4483" w:rsidR="00F84532" w:rsidRPr="00DD2185" w:rsidRDefault="00F84532" w:rsidP="00F84532">
            <w:pPr>
              <w:pStyle w:val="BodyTextIndent2"/>
              <w:widowControl w:val="0"/>
              <w:spacing w:after="0" w:line="240" w:lineRule="auto"/>
              <w:ind w:left="1980"/>
              <w:jc w:val="both"/>
              <w:rPr>
                <w:b/>
                <w:bCs/>
                <w:i/>
                <w:iCs/>
              </w:rPr>
            </w:pPr>
            <w:r w:rsidRPr="00DD2185">
              <w:t xml:space="preserve">235 East 42nd Street, New York, NY 10017, United </w:t>
            </w:r>
            <w:proofErr w:type="spellStart"/>
            <w:r w:rsidRPr="00DD2185">
              <w:t>States</w:t>
            </w:r>
            <w:proofErr w:type="spellEnd"/>
          </w:p>
        </w:tc>
      </w:tr>
      <w:tr w:rsidR="00F84532" w:rsidRPr="00DD2185" w14:paraId="383CB31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7461FBE" w14:textId="06C2D7B1" w:rsidR="00F84532" w:rsidRPr="00DD2185" w:rsidRDefault="00F84532" w:rsidP="005975A3">
            <w:pPr>
              <w:pStyle w:val="BodyTextIndent2"/>
              <w:widowControl w:val="0"/>
              <w:tabs>
                <w:tab w:val="left" w:pos="3087"/>
              </w:tabs>
              <w:spacing w:after="0" w:line="240" w:lineRule="auto"/>
              <w:ind w:left="1980"/>
              <w:jc w:val="both"/>
              <w:rPr>
                <w:b/>
                <w:bCs/>
                <w:i/>
                <w:iCs/>
              </w:rPr>
            </w:pPr>
            <w:proofErr w:type="spellStart"/>
            <w:r w:rsidRPr="00DD2185">
              <w:t>Attention</w:t>
            </w:r>
            <w:proofErr w:type="spellEnd"/>
            <w:r w:rsidRPr="00DD2185">
              <w:t xml:space="preserve">: </w:t>
            </w:r>
            <w:proofErr w:type="spellStart"/>
            <w:r w:rsidR="00212BD2" w:rsidRPr="00212BD2">
              <w:rPr>
                <w:b/>
                <w:bCs/>
                <w:highlight w:val="black"/>
              </w:rPr>
              <w:t>xxxxxxxxxxxxxxxxxxxxxxxxxxxxxx</w:t>
            </w:r>
            <w:proofErr w:type="spellEnd"/>
          </w:p>
        </w:tc>
      </w:tr>
      <w:tr w:rsidR="00F84532" w:rsidRPr="00DD2185" w14:paraId="5832B1C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BAF1E86" w14:textId="59995EDB" w:rsidR="00F84532" w:rsidRPr="00DD2185" w:rsidRDefault="00F84532" w:rsidP="005975A3">
            <w:pPr>
              <w:pStyle w:val="BodyTextIndent2"/>
              <w:widowControl w:val="0"/>
              <w:tabs>
                <w:tab w:val="left" w:pos="3087"/>
              </w:tabs>
              <w:spacing w:after="0" w:line="240" w:lineRule="auto"/>
              <w:ind w:left="1980"/>
              <w:jc w:val="both"/>
              <w:rPr>
                <w:b/>
                <w:bCs/>
                <w:i/>
                <w:iCs/>
              </w:rPr>
            </w:pPr>
            <w:proofErr w:type="spellStart"/>
            <w:r w:rsidRPr="00DD2185">
              <w:t>Telephone</w:t>
            </w:r>
            <w:proofErr w:type="spellEnd"/>
            <w:r w:rsidRPr="00DD2185">
              <w:t xml:space="preserve">: </w:t>
            </w:r>
            <w:proofErr w:type="spellStart"/>
            <w:r w:rsidR="00212BD2" w:rsidRPr="00212BD2">
              <w:rPr>
                <w:b/>
                <w:bCs/>
                <w:highlight w:val="black"/>
              </w:rPr>
              <w:t>xxxxxxxxxxxxxxxxxxxxxxxxxxxxxx</w:t>
            </w:r>
            <w:proofErr w:type="spellEnd"/>
          </w:p>
        </w:tc>
      </w:tr>
      <w:tr w:rsidR="00F84532" w:rsidRPr="00DD2185" w14:paraId="653EAD0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BD9FFFF" w14:textId="77EBC777" w:rsidR="00F84532" w:rsidRPr="00DD2185" w:rsidRDefault="00F84532" w:rsidP="005975A3">
            <w:pPr>
              <w:pStyle w:val="BodyTextIndent2"/>
              <w:widowControl w:val="0"/>
              <w:tabs>
                <w:tab w:val="left" w:pos="3087"/>
              </w:tabs>
              <w:spacing w:after="0" w:line="240" w:lineRule="auto"/>
              <w:ind w:left="1980"/>
              <w:jc w:val="both"/>
              <w:rPr>
                <w:b/>
                <w:bCs/>
                <w:i/>
                <w:iCs/>
              </w:rPr>
            </w:pPr>
            <w:r w:rsidRPr="00DD2185">
              <w:t xml:space="preserve">Email: </w:t>
            </w:r>
            <w:proofErr w:type="spellStart"/>
            <w:r w:rsidR="00212BD2" w:rsidRPr="00212BD2">
              <w:rPr>
                <w:b/>
                <w:bCs/>
                <w:highlight w:val="black"/>
              </w:rPr>
              <w:t>xxxxxxxxxxxxxxxxxxxxxxxxxxxxxx</w:t>
            </w:r>
            <w:proofErr w:type="spellEnd"/>
          </w:p>
        </w:tc>
      </w:tr>
      <w:tr w:rsidR="00AE4270" w:rsidRPr="00DD2185" w14:paraId="5CEEF71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080EC1E" w14:textId="77777777" w:rsidR="00AE4270" w:rsidRPr="00DD2185" w:rsidRDefault="00AE4270" w:rsidP="00AE4270">
            <w:pPr>
              <w:pStyle w:val="BodyTextIndent2"/>
              <w:widowControl w:val="0"/>
              <w:tabs>
                <w:tab w:val="left" w:pos="2520"/>
              </w:tabs>
              <w:spacing w:after="0" w:line="240" w:lineRule="auto"/>
              <w:ind w:left="1440"/>
              <w:jc w:val="both"/>
              <w:rPr>
                <w:b/>
                <w:bCs/>
                <w:i/>
                <w:iCs/>
              </w:rPr>
            </w:pPr>
          </w:p>
        </w:tc>
      </w:tr>
      <w:tr w:rsidR="00AE4270" w:rsidRPr="00DD2185" w14:paraId="64F2919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6891B8B" w14:textId="77777777" w:rsidR="00AE4270" w:rsidRPr="00DD2185" w:rsidRDefault="00AE4270" w:rsidP="00AE4270">
            <w:pPr>
              <w:pStyle w:val="BodyTextIndent2"/>
              <w:widowControl w:val="0"/>
              <w:spacing w:after="0" w:line="240" w:lineRule="auto"/>
              <w:ind w:left="1440"/>
              <w:jc w:val="both"/>
              <w:rPr>
                <w:b/>
                <w:bCs/>
                <w:i/>
                <w:iCs/>
              </w:rPr>
            </w:pPr>
            <w:r w:rsidRPr="00DD2185">
              <w:t>Hlavní zkoušející:</w:t>
            </w:r>
          </w:p>
        </w:tc>
      </w:tr>
      <w:tr w:rsidR="00AE4270" w:rsidRPr="00DD2185" w14:paraId="1E2F21E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8C73AFF" w14:textId="77777777" w:rsidR="00AE4270" w:rsidRPr="00DD2185" w:rsidRDefault="00AE4270" w:rsidP="00AE4270">
            <w:pPr>
              <w:pStyle w:val="BodyTextIndent2"/>
              <w:widowControl w:val="0"/>
              <w:spacing w:after="0" w:line="240" w:lineRule="auto"/>
              <w:ind w:left="1440"/>
              <w:jc w:val="both"/>
              <w:rPr>
                <w:b/>
                <w:bCs/>
                <w:i/>
                <w:iCs/>
              </w:rPr>
            </w:pPr>
          </w:p>
        </w:tc>
      </w:tr>
      <w:tr w:rsidR="00AE4270" w:rsidRPr="00DD2185" w14:paraId="7E1D618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1337508" w14:textId="3AABA313" w:rsidR="00AE4270" w:rsidRPr="00E468EB" w:rsidRDefault="00212BD2" w:rsidP="00AE4270">
            <w:pPr>
              <w:pStyle w:val="BodyTextIndent2"/>
              <w:widowControl w:val="0"/>
              <w:spacing w:after="0" w:line="240" w:lineRule="auto"/>
              <w:ind w:left="1980"/>
              <w:jc w:val="both"/>
              <w:rPr>
                <w:b/>
                <w:bCs/>
                <w:i/>
                <w:iCs/>
              </w:rPr>
            </w:pPr>
            <w:proofErr w:type="spellStart"/>
            <w:r w:rsidRPr="00212BD2">
              <w:rPr>
                <w:b/>
                <w:bCs/>
                <w:highlight w:val="black"/>
              </w:rPr>
              <w:t>xxxxxxxxxxxxxxxxxxxxxxxxxxxxxx</w:t>
            </w:r>
            <w:proofErr w:type="spellEnd"/>
          </w:p>
        </w:tc>
      </w:tr>
      <w:tr w:rsidR="00AE4270" w:rsidRPr="00DD2185" w14:paraId="02E7CF5A"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833B65C" w14:textId="329BDD7F" w:rsidR="00AE4270" w:rsidRPr="00DD2185" w:rsidRDefault="00AE4270" w:rsidP="00F84532">
            <w:pPr>
              <w:pStyle w:val="BodyTextIndent2"/>
              <w:widowControl w:val="0"/>
              <w:spacing w:after="0" w:line="240" w:lineRule="auto"/>
              <w:ind w:left="1980"/>
              <w:jc w:val="both"/>
              <w:rPr>
                <w:b/>
                <w:bCs/>
                <w:i/>
                <w:iCs/>
              </w:rPr>
            </w:pPr>
            <w:r w:rsidRPr="00DD2185">
              <w:t xml:space="preserve">Fakultní nemocnice Olomouc – </w:t>
            </w:r>
            <w:proofErr w:type="spellStart"/>
            <w:r w:rsidR="00F84532" w:rsidRPr="00DD2185">
              <w:t>Hemato</w:t>
            </w:r>
            <w:proofErr w:type="spellEnd"/>
            <w:r w:rsidR="00F84532" w:rsidRPr="00DD2185">
              <w:t>-o</w:t>
            </w:r>
            <w:r w:rsidRPr="00DD2185">
              <w:t xml:space="preserve">nkologická klinika </w:t>
            </w:r>
          </w:p>
        </w:tc>
      </w:tr>
      <w:tr w:rsidR="00AE4270" w:rsidRPr="00DD2185" w14:paraId="332C84E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20A60B4" w14:textId="3407ACBE" w:rsidR="00AE4270" w:rsidRPr="00DD2185" w:rsidRDefault="00AE4270" w:rsidP="00AE4270">
            <w:pPr>
              <w:pStyle w:val="BodyTextIndent2"/>
              <w:widowControl w:val="0"/>
              <w:spacing w:after="0" w:line="240" w:lineRule="auto"/>
              <w:ind w:left="1980"/>
              <w:jc w:val="both"/>
              <w:rPr>
                <w:b/>
                <w:bCs/>
                <w:i/>
                <w:iCs/>
              </w:rPr>
            </w:pPr>
            <w:r w:rsidRPr="00DD2185">
              <w:t xml:space="preserve">I.P. Pavlova 185/6 </w:t>
            </w:r>
          </w:p>
        </w:tc>
      </w:tr>
      <w:tr w:rsidR="00AE4270" w:rsidRPr="00DD2185" w14:paraId="31BBAD1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DF45708" w14:textId="2743A824" w:rsidR="00AE4270" w:rsidRPr="00DD2185" w:rsidRDefault="00AE4270" w:rsidP="00F84532">
            <w:pPr>
              <w:pStyle w:val="BodyTextIndent2"/>
              <w:widowControl w:val="0"/>
              <w:tabs>
                <w:tab w:val="left" w:pos="3087"/>
              </w:tabs>
              <w:spacing w:after="0" w:line="240" w:lineRule="auto"/>
              <w:ind w:left="1980"/>
              <w:jc w:val="both"/>
              <w:rPr>
                <w:b/>
                <w:bCs/>
                <w:i/>
                <w:iCs/>
              </w:rPr>
            </w:pPr>
            <w:r w:rsidRPr="00DD2185">
              <w:t>Telefon:</w:t>
            </w:r>
            <w:r w:rsidRPr="00DD2185">
              <w:tab/>
            </w:r>
            <w:proofErr w:type="spellStart"/>
            <w:r w:rsidR="00212BD2" w:rsidRPr="00212BD2">
              <w:rPr>
                <w:b/>
                <w:bCs/>
                <w:highlight w:val="black"/>
              </w:rPr>
              <w:t>xxxxxxxxxxxxxxxxxxxxxxxxxxxxxx</w:t>
            </w:r>
            <w:proofErr w:type="spellEnd"/>
          </w:p>
        </w:tc>
      </w:tr>
      <w:tr w:rsidR="00AE4270" w:rsidRPr="00DD2185" w14:paraId="650BA31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7EB32E1" w14:textId="411805FD" w:rsidR="00AE4270" w:rsidRPr="00DD2185" w:rsidRDefault="00AE4270" w:rsidP="00481F11">
            <w:pPr>
              <w:pStyle w:val="BodyTextIndent2"/>
              <w:widowControl w:val="0"/>
              <w:tabs>
                <w:tab w:val="left" w:pos="3087"/>
              </w:tabs>
              <w:spacing w:after="0" w:line="240" w:lineRule="auto"/>
              <w:ind w:left="1980"/>
              <w:jc w:val="both"/>
              <w:rPr>
                <w:b/>
                <w:bCs/>
                <w:i/>
                <w:iCs/>
              </w:rPr>
            </w:pPr>
            <w:r w:rsidRPr="00DD2185">
              <w:t>E-mail:</w:t>
            </w:r>
            <w:r w:rsidRPr="00DD2185">
              <w:tab/>
            </w:r>
            <w:proofErr w:type="spellStart"/>
            <w:r w:rsidR="00212BD2" w:rsidRPr="00212BD2">
              <w:rPr>
                <w:b/>
                <w:bCs/>
                <w:highlight w:val="black"/>
              </w:rPr>
              <w:t>xxxxxxxxxxxxxxxxxxxxxxxxxxxxxx</w:t>
            </w:r>
            <w:proofErr w:type="spellEnd"/>
          </w:p>
        </w:tc>
      </w:tr>
      <w:tr w:rsidR="00AE4270" w:rsidRPr="00DD2185" w14:paraId="5101D5D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A7BF8BB" w14:textId="77777777" w:rsidR="00AE4270" w:rsidRPr="00DD2185" w:rsidRDefault="00AE4270" w:rsidP="00AE4270">
            <w:pPr>
              <w:pStyle w:val="BodyTextIndent2"/>
              <w:widowControl w:val="0"/>
              <w:tabs>
                <w:tab w:val="left" w:pos="2520"/>
              </w:tabs>
              <w:spacing w:after="0" w:line="240" w:lineRule="auto"/>
              <w:ind w:left="1440"/>
              <w:jc w:val="both"/>
              <w:rPr>
                <w:b/>
                <w:bCs/>
                <w:i/>
                <w:iCs/>
              </w:rPr>
            </w:pPr>
          </w:p>
        </w:tc>
      </w:tr>
      <w:tr w:rsidR="00AE4270" w:rsidRPr="00DD2185" w14:paraId="7C6DE4D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E751330" w14:textId="77777777" w:rsidR="00AE4270" w:rsidRPr="00DD2185" w:rsidRDefault="00AE4270" w:rsidP="00AE4270">
            <w:pPr>
              <w:pStyle w:val="BodyTextIndent2"/>
              <w:widowControl w:val="0"/>
              <w:spacing w:after="0" w:line="240" w:lineRule="auto"/>
              <w:ind w:left="1440"/>
              <w:jc w:val="both"/>
              <w:rPr>
                <w:b/>
                <w:bCs/>
                <w:i/>
                <w:iCs/>
              </w:rPr>
            </w:pPr>
            <w:r w:rsidRPr="00DD2185">
              <w:t>Zdravotnické zařízení:</w:t>
            </w:r>
          </w:p>
        </w:tc>
      </w:tr>
      <w:tr w:rsidR="00AE4270" w:rsidRPr="00DD2185" w14:paraId="3EC3274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EF1D69E" w14:textId="3DBAD44F" w:rsidR="00AE4270" w:rsidRPr="00E468EB" w:rsidRDefault="00AE4270" w:rsidP="00AE4270">
            <w:pPr>
              <w:pStyle w:val="BodyTextIndent2"/>
              <w:widowControl w:val="0"/>
              <w:spacing w:after="0" w:line="240" w:lineRule="auto"/>
              <w:ind w:left="1980"/>
              <w:jc w:val="both"/>
              <w:rPr>
                <w:b/>
                <w:bCs/>
                <w:i/>
                <w:iCs/>
              </w:rPr>
            </w:pPr>
            <w:r w:rsidRPr="00E468EB">
              <w:rPr>
                <w:b/>
                <w:bCs/>
              </w:rPr>
              <w:t xml:space="preserve">Fakultní nemocnice Olomouc </w:t>
            </w:r>
          </w:p>
        </w:tc>
      </w:tr>
      <w:tr w:rsidR="00AE4270" w:rsidRPr="00DD2185" w14:paraId="52C17E81"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4FBD77D" w14:textId="576F66B0" w:rsidR="00AE4270" w:rsidRPr="00DD2185" w:rsidRDefault="00AE4270" w:rsidP="00AE4270">
            <w:pPr>
              <w:pStyle w:val="BodyTextIndent2"/>
              <w:widowControl w:val="0"/>
              <w:spacing w:after="0" w:line="240" w:lineRule="auto"/>
              <w:ind w:left="1980"/>
              <w:jc w:val="both"/>
            </w:pPr>
            <w:r w:rsidRPr="00DD2185">
              <w:t xml:space="preserve">I.P. Pavlova 185/6 </w:t>
            </w:r>
          </w:p>
          <w:p w14:paraId="5FC63A90" w14:textId="23C62EBD" w:rsidR="00AE4270" w:rsidRPr="00DD2185" w:rsidRDefault="00AE4270" w:rsidP="00AE4270">
            <w:pPr>
              <w:pStyle w:val="BodyTextIndent2"/>
              <w:widowControl w:val="0"/>
              <w:spacing w:after="0" w:line="240" w:lineRule="auto"/>
              <w:ind w:left="1980"/>
              <w:jc w:val="both"/>
              <w:rPr>
                <w:b/>
                <w:bCs/>
                <w:i/>
                <w:iCs/>
              </w:rPr>
            </w:pPr>
            <w:r w:rsidRPr="00DD2185">
              <w:t>Olomouc 779 00</w:t>
            </w:r>
          </w:p>
        </w:tc>
      </w:tr>
      <w:tr w:rsidR="00AE4270" w:rsidRPr="00DD2185" w14:paraId="116ADCE7"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41EECAF" w14:textId="6AACE715" w:rsidR="00AE4270" w:rsidRPr="00DD2185" w:rsidRDefault="00AE4270" w:rsidP="00AE4270">
            <w:pPr>
              <w:pStyle w:val="BodyTextIndent2"/>
              <w:widowControl w:val="0"/>
              <w:spacing w:after="0" w:line="240" w:lineRule="auto"/>
              <w:ind w:left="0"/>
              <w:jc w:val="both"/>
              <w:rPr>
                <w:b/>
                <w:bCs/>
                <w:i/>
                <w:iCs/>
              </w:rPr>
            </w:pPr>
          </w:p>
        </w:tc>
      </w:tr>
      <w:tr w:rsidR="00AE4270" w:rsidRPr="00DD2185" w14:paraId="396B1D6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BA94FE7" w14:textId="17FF7C97" w:rsidR="00AE4270" w:rsidRPr="00DD2185" w:rsidRDefault="00AE4270" w:rsidP="00AE4270">
            <w:pPr>
              <w:pStyle w:val="BodyTextIndent2"/>
              <w:widowControl w:val="0"/>
              <w:tabs>
                <w:tab w:val="left" w:pos="3087"/>
              </w:tabs>
              <w:spacing w:after="0" w:line="240" w:lineRule="auto"/>
              <w:ind w:left="1980"/>
              <w:jc w:val="both"/>
              <w:rPr>
                <w:b/>
                <w:bCs/>
                <w:i/>
                <w:iCs/>
              </w:rPr>
            </w:pPr>
            <w:r w:rsidRPr="00DD2185">
              <w:t>K rukám:</w:t>
            </w:r>
            <w:r w:rsidRPr="00DD2185">
              <w:tab/>
            </w:r>
            <w:proofErr w:type="spellStart"/>
            <w:r w:rsidR="00212BD2" w:rsidRPr="00212BD2">
              <w:rPr>
                <w:b/>
                <w:bCs/>
                <w:highlight w:val="black"/>
              </w:rPr>
              <w:t>xxxxxxxxxxxxxxxxxxxxxxxxxxxxxx</w:t>
            </w:r>
            <w:proofErr w:type="spellEnd"/>
          </w:p>
        </w:tc>
      </w:tr>
      <w:tr w:rsidR="00AE4270" w:rsidRPr="00DD2185" w14:paraId="0D52B8A9"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D547D2B" w14:textId="2F495187" w:rsidR="00AE4270" w:rsidRPr="00DD2185" w:rsidRDefault="00AE4270" w:rsidP="00AE4270">
            <w:pPr>
              <w:pStyle w:val="BodyTextIndent2"/>
              <w:widowControl w:val="0"/>
              <w:tabs>
                <w:tab w:val="left" w:pos="3087"/>
              </w:tabs>
              <w:spacing w:after="0" w:line="240" w:lineRule="auto"/>
              <w:ind w:left="1980"/>
              <w:jc w:val="both"/>
              <w:rPr>
                <w:b/>
                <w:bCs/>
                <w:i/>
                <w:iCs/>
              </w:rPr>
            </w:pPr>
            <w:r w:rsidRPr="00DD2185">
              <w:t>Telefon:</w:t>
            </w:r>
            <w:r w:rsidRPr="00DD2185">
              <w:tab/>
            </w:r>
            <w:proofErr w:type="spellStart"/>
            <w:r w:rsidR="00212BD2" w:rsidRPr="00212BD2">
              <w:rPr>
                <w:b/>
                <w:bCs/>
                <w:highlight w:val="black"/>
              </w:rPr>
              <w:t>xxxxxxxxxxxxxxxxxxxxxxxxxxxxxx</w:t>
            </w:r>
            <w:proofErr w:type="spellEnd"/>
          </w:p>
        </w:tc>
      </w:tr>
      <w:tr w:rsidR="00AE4270" w:rsidRPr="00DD2185" w14:paraId="6C70856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982DD4C" w14:textId="0C6C509A" w:rsidR="00AE4270" w:rsidRPr="00DD2185" w:rsidRDefault="00AE4270" w:rsidP="00AE4270">
            <w:pPr>
              <w:pStyle w:val="BodyTextIndent2"/>
              <w:widowControl w:val="0"/>
              <w:tabs>
                <w:tab w:val="left" w:pos="3087"/>
              </w:tabs>
              <w:spacing w:after="0" w:line="240" w:lineRule="auto"/>
              <w:ind w:left="1980"/>
              <w:jc w:val="both"/>
              <w:rPr>
                <w:b/>
                <w:bCs/>
                <w:i/>
                <w:iCs/>
              </w:rPr>
            </w:pPr>
            <w:r w:rsidRPr="00DD2185">
              <w:t>E-mail:</w:t>
            </w:r>
            <w:r w:rsidRPr="00DD2185">
              <w:tab/>
            </w:r>
            <w:proofErr w:type="spellStart"/>
            <w:r w:rsidR="00212BD2" w:rsidRPr="00212BD2">
              <w:rPr>
                <w:b/>
                <w:bCs/>
                <w:highlight w:val="black"/>
              </w:rPr>
              <w:t>xxxxxxxxxxxxxxxxxxxxxxxxxxxxxx</w:t>
            </w:r>
            <w:proofErr w:type="spellEnd"/>
          </w:p>
        </w:tc>
      </w:tr>
      <w:tr w:rsidR="00AE4270" w:rsidRPr="00DD2185" w14:paraId="146439B3"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3BA7D43" w14:textId="77777777" w:rsidR="00AE4270" w:rsidRPr="00DD2185" w:rsidRDefault="00AE4270" w:rsidP="00AE4270">
            <w:pPr>
              <w:pStyle w:val="BodyTextIndent2"/>
              <w:widowControl w:val="0"/>
              <w:tabs>
                <w:tab w:val="left" w:pos="2520"/>
              </w:tabs>
              <w:spacing w:after="0" w:line="240" w:lineRule="auto"/>
              <w:ind w:left="1440"/>
              <w:jc w:val="both"/>
              <w:rPr>
                <w:b/>
                <w:bCs/>
                <w:i/>
                <w:iCs/>
              </w:rPr>
            </w:pPr>
          </w:p>
        </w:tc>
      </w:tr>
      <w:tr w:rsidR="00AE4270" w:rsidRPr="00DD2185" w14:paraId="615E906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4065101" w14:textId="77777777" w:rsidR="00AE4270" w:rsidRPr="00DD2185" w:rsidRDefault="00AE4270" w:rsidP="00AE4270">
            <w:pPr>
              <w:pStyle w:val="BodyTextIndent2"/>
              <w:widowControl w:val="0"/>
              <w:spacing w:after="0" w:line="240" w:lineRule="auto"/>
              <w:ind w:left="1440"/>
              <w:jc w:val="both"/>
              <w:rPr>
                <w:b/>
                <w:bCs/>
                <w:i/>
                <w:iCs/>
              </w:rPr>
            </w:pPr>
            <w:r w:rsidRPr="00DD2185">
              <w:t>Pfizer:</w:t>
            </w:r>
          </w:p>
        </w:tc>
      </w:tr>
      <w:tr w:rsidR="00AE4270" w:rsidRPr="00DD2185" w14:paraId="72AA175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3D738C9" w14:textId="77777777" w:rsidR="00AE4270" w:rsidRPr="00DD2185" w:rsidRDefault="00AE4270" w:rsidP="00AE4270">
            <w:pPr>
              <w:pStyle w:val="BodyTextIndent2"/>
              <w:widowControl w:val="0"/>
              <w:spacing w:after="0" w:line="240" w:lineRule="auto"/>
              <w:ind w:left="1440"/>
              <w:jc w:val="both"/>
              <w:rPr>
                <w:b/>
                <w:bCs/>
                <w:i/>
                <w:iCs/>
              </w:rPr>
            </w:pPr>
          </w:p>
        </w:tc>
      </w:tr>
      <w:tr w:rsidR="00AE4270" w:rsidRPr="00DD2185" w14:paraId="6826C994"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24D3CEC" w14:textId="77777777" w:rsidR="00AE4270" w:rsidRPr="00DD2185" w:rsidRDefault="00AE4270" w:rsidP="00AE4270">
            <w:pPr>
              <w:pStyle w:val="BodyTextIndent2"/>
              <w:widowControl w:val="0"/>
              <w:spacing w:after="0" w:line="240" w:lineRule="auto"/>
              <w:ind w:left="1980"/>
              <w:jc w:val="both"/>
              <w:rPr>
                <w:b/>
                <w:bCs/>
                <w:i/>
                <w:iCs/>
              </w:rPr>
            </w:pPr>
            <w:r w:rsidRPr="00DD2185">
              <w:t>Pouze pro účely předložení publikací:</w:t>
            </w:r>
          </w:p>
        </w:tc>
      </w:tr>
      <w:tr w:rsidR="00AE4270" w:rsidRPr="00DD2185" w14:paraId="0AE2D1ED"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310142D" w14:textId="77777777" w:rsidR="00AE4270" w:rsidRPr="00DD2185" w:rsidRDefault="00AE4270" w:rsidP="00AE4270">
            <w:pPr>
              <w:pStyle w:val="BodyTextIndent2"/>
              <w:widowControl w:val="0"/>
              <w:spacing w:after="0" w:line="240" w:lineRule="auto"/>
              <w:ind w:left="1980"/>
              <w:jc w:val="both"/>
              <w:rPr>
                <w:b/>
                <w:bCs/>
                <w:i/>
                <w:iCs/>
              </w:rPr>
            </w:pPr>
          </w:p>
        </w:tc>
      </w:tr>
      <w:tr w:rsidR="00AE4270" w:rsidRPr="00DD2185" w14:paraId="12A4338B"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A9C20D4" w14:textId="3E14A3D9" w:rsidR="00AE4270" w:rsidRPr="00DD2185" w:rsidRDefault="00AE4270" w:rsidP="00AE4270">
            <w:pPr>
              <w:pStyle w:val="BodyTextIndent2"/>
              <w:widowControl w:val="0"/>
              <w:spacing w:after="0" w:line="240" w:lineRule="auto"/>
              <w:ind w:left="1980"/>
              <w:jc w:val="both"/>
              <w:rPr>
                <w:b/>
                <w:bCs/>
                <w:i/>
                <w:iCs/>
                <w:color w:val="0000FF"/>
              </w:rPr>
            </w:pPr>
          </w:p>
        </w:tc>
      </w:tr>
      <w:tr w:rsidR="00F84532" w:rsidRPr="00DD2185" w14:paraId="5C0E205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05A1CC2" w14:textId="7696773E" w:rsidR="00F84532" w:rsidRPr="00DD2185" w:rsidRDefault="00212BD2" w:rsidP="00F84532">
            <w:pPr>
              <w:pStyle w:val="BodyTextIndent2"/>
              <w:widowControl w:val="0"/>
              <w:spacing w:after="0" w:line="240" w:lineRule="auto"/>
              <w:ind w:left="1980"/>
              <w:jc w:val="both"/>
              <w:rPr>
                <w:b/>
                <w:bCs/>
                <w:i/>
                <w:iCs/>
              </w:rPr>
            </w:pPr>
            <w:proofErr w:type="spellStart"/>
            <w:r w:rsidRPr="00212BD2">
              <w:rPr>
                <w:b/>
                <w:bCs/>
                <w:highlight w:val="black"/>
              </w:rPr>
              <w:t>xxxxxxxxxxxxxxxxxxxxxxxxxxxxxx</w:t>
            </w:r>
            <w:proofErr w:type="spellEnd"/>
          </w:p>
        </w:tc>
      </w:tr>
      <w:tr w:rsidR="00F84532" w:rsidRPr="00DD2185" w14:paraId="55B6B3C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4FB3F43" w14:textId="4840C626" w:rsidR="00F84532" w:rsidRPr="00DD2185" w:rsidRDefault="00F84532" w:rsidP="00F84532">
            <w:pPr>
              <w:pStyle w:val="BodyTextIndent2"/>
              <w:widowControl w:val="0"/>
              <w:tabs>
                <w:tab w:val="left" w:pos="3087"/>
              </w:tabs>
              <w:spacing w:after="0" w:line="240" w:lineRule="auto"/>
              <w:ind w:left="1980"/>
              <w:jc w:val="both"/>
              <w:rPr>
                <w:b/>
                <w:bCs/>
                <w:i/>
                <w:iCs/>
              </w:rPr>
            </w:pPr>
            <w:proofErr w:type="spellStart"/>
            <w:r w:rsidRPr="00DD2185">
              <w:t>Telephone</w:t>
            </w:r>
            <w:proofErr w:type="spellEnd"/>
            <w:r w:rsidRPr="00DD2185">
              <w:t>:</w:t>
            </w:r>
            <w:r w:rsidRPr="00DD2185">
              <w:tab/>
            </w:r>
            <w:proofErr w:type="spellStart"/>
            <w:r w:rsidR="00212BD2" w:rsidRPr="00212BD2">
              <w:rPr>
                <w:b/>
                <w:bCs/>
                <w:highlight w:val="black"/>
              </w:rPr>
              <w:t>xxxxxxxxxxxxxxxxxxxxxxxxxxxxxx</w:t>
            </w:r>
            <w:proofErr w:type="spellEnd"/>
          </w:p>
        </w:tc>
      </w:tr>
      <w:tr w:rsidR="00F84532" w:rsidRPr="00DD2185" w14:paraId="0378C450"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5D1B82E0" w14:textId="2D488CD9" w:rsidR="00F84532" w:rsidRPr="00DD2185" w:rsidRDefault="00F84532" w:rsidP="00F84532">
            <w:pPr>
              <w:pStyle w:val="BodyTextIndent2"/>
              <w:widowControl w:val="0"/>
              <w:tabs>
                <w:tab w:val="left" w:pos="3087"/>
              </w:tabs>
              <w:spacing w:after="0" w:line="240" w:lineRule="auto"/>
              <w:ind w:left="1980"/>
              <w:jc w:val="both"/>
              <w:rPr>
                <w:b/>
                <w:bCs/>
                <w:i/>
                <w:iCs/>
              </w:rPr>
            </w:pPr>
            <w:r w:rsidRPr="00DD2185">
              <w:t xml:space="preserve">Email: </w:t>
            </w:r>
            <w:r w:rsidRPr="00DD2185">
              <w:tab/>
            </w:r>
            <w:proofErr w:type="spellStart"/>
            <w:r w:rsidR="00212BD2" w:rsidRPr="00212BD2">
              <w:rPr>
                <w:b/>
                <w:bCs/>
                <w:highlight w:val="black"/>
              </w:rPr>
              <w:t>xxxxxxxxxxxxxxxxxxxxxxxxxxxxxx</w:t>
            </w:r>
            <w:proofErr w:type="spellEnd"/>
          </w:p>
        </w:tc>
      </w:tr>
      <w:tr w:rsidR="00AE4270" w:rsidRPr="00DD2185" w14:paraId="296973B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1A671D3" w14:textId="77777777" w:rsidR="00AE4270" w:rsidRPr="00DD2185" w:rsidRDefault="00AE4270" w:rsidP="00AE4270">
            <w:pPr>
              <w:pStyle w:val="BodyTextIndent2"/>
              <w:widowControl w:val="0"/>
              <w:tabs>
                <w:tab w:val="left" w:pos="2520"/>
              </w:tabs>
              <w:spacing w:after="0" w:line="240" w:lineRule="auto"/>
              <w:ind w:left="0"/>
              <w:jc w:val="both"/>
              <w:rPr>
                <w:b/>
                <w:bCs/>
                <w:i/>
                <w:iCs/>
              </w:rPr>
            </w:pPr>
          </w:p>
        </w:tc>
      </w:tr>
      <w:tr w:rsidR="00AE4270" w:rsidRPr="00DD2185" w14:paraId="390E5AB8"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4D89C318" w14:textId="6FE996ED" w:rsidR="00AE4270" w:rsidRPr="00DD2185" w:rsidRDefault="00AE4270" w:rsidP="00AE4270">
            <w:pPr>
              <w:tabs>
                <w:tab w:val="left" w:pos="2520"/>
              </w:tabs>
              <w:ind w:left="1480" w:hanging="720"/>
              <w:jc w:val="both"/>
              <w:rPr>
                <w:b/>
                <w:bCs/>
                <w:i/>
                <w:iCs/>
              </w:rPr>
            </w:pPr>
            <w:r w:rsidRPr="00DD2185">
              <w:t>19.14</w:t>
            </w:r>
            <w:r w:rsidRPr="00DD2185">
              <w:tab/>
            </w:r>
            <w:r w:rsidRPr="00DD2185">
              <w:rPr>
                <w:u w:val="single"/>
              </w:rPr>
              <w:t>Stejnopisy a podpisy</w:t>
            </w:r>
            <w:r w:rsidRPr="00DD2185">
              <w:t xml:space="preserve">.  Tato smlouva může být vyhotovena ve dvou nebo více stejnopisech a každý z nich bude považován za originál, jehož všechny stejnopisy dohromady budou tvořit jeden a tentýž dokument.  Smlouva bude považována za plně uzavřenou poté, co ji každá ze stran podepíše vlastní rukou, ve formátu PDF (Portable </w:t>
            </w:r>
            <w:proofErr w:type="spellStart"/>
            <w:r w:rsidRPr="00DD2185">
              <w:t>Document</w:t>
            </w:r>
            <w:proofErr w:type="spellEnd"/>
            <w:r w:rsidRPr="00DD2185">
              <w:t xml:space="preserve"> </w:t>
            </w:r>
            <w:proofErr w:type="spellStart"/>
            <w:r w:rsidRPr="00DD2185">
              <w:t>Format</w:t>
            </w:r>
            <w:proofErr w:type="spellEnd"/>
            <w:r w:rsidRPr="00DD2185">
              <w:t>), ověřeným digitálním podpisem nebo jinými důvěryhodnými elektronickými prostředky a bude doručena ostatním stranám.</w:t>
            </w:r>
          </w:p>
        </w:tc>
      </w:tr>
      <w:tr w:rsidR="00AE4270" w:rsidRPr="00DD2185" w14:paraId="00089A1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6BB0701" w14:textId="77777777" w:rsidR="00AE4270" w:rsidRPr="00DD2185" w:rsidRDefault="00AE4270" w:rsidP="00AE4270">
            <w:pPr>
              <w:pStyle w:val="BodyTextIndent2"/>
              <w:widowControl w:val="0"/>
              <w:tabs>
                <w:tab w:val="left" w:pos="2520"/>
              </w:tabs>
              <w:spacing w:after="0" w:line="240" w:lineRule="auto"/>
              <w:ind w:left="0"/>
              <w:jc w:val="both"/>
              <w:rPr>
                <w:b/>
                <w:bCs/>
                <w:i/>
                <w:iCs/>
              </w:rPr>
            </w:pPr>
          </w:p>
        </w:tc>
      </w:tr>
      <w:tr w:rsidR="00AE4270" w:rsidRPr="00DD2185" w14:paraId="43D78CF2"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650D21D3" w14:textId="77777777" w:rsidR="00AE4270" w:rsidRPr="00DD2185" w:rsidRDefault="00AE4270" w:rsidP="00AE4270">
            <w:pPr>
              <w:widowControl w:val="0"/>
              <w:tabs>
                <w:tab w:val="left" w:pos="720"/>
              </w:tabs>
              <w:ind w:left="720" w:hanging="720"/>
              <w:jc w:val="both"/>
              <w:rPr>
                <w:bCs/>
                <w:iCs/>
                <w:u w:val="single"/>
              </w:rPr>
            </w:pPr>
            <w:r w:rsidRPr="00DD2185">
              <w:t>20.</w:t>
            </w:r>
            <w:r w:rsidRPr="00DD2185">
              <w:tab/>
            </w:r>
            <w:r w:rsidRPr="00DD2185">
              <w:rPr>
                <w:u w:val="single"/>
              </w:rPr>
              <w:t>Protikorupční opatření</w:t>
            </w:r>
          </w:p>
        </w:tc>
      </w:tr>
      <w:tr w:rsidR="00AE4270" w:rsidRPr="00DD2185" w14:paraId="20E2730C"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3F46F99B" w14:textId="77777777" w:rsidR="00AE4270" w:rsidRPr="00DD2185" w:rsidRDefault="00AE4270" w:rsidP="00AE4270">
            <w:pPr>
              <w:widowControl w:val="0"/>
              <w:tabs>
                <w:tab w:val="left" w:pos="720"/>
              </w:tabs>
              <w:jc w:val="both"/>
              <w:rPr>
                <w:bCs/>
                <w:iCs/>
                <w:u w:val="single"/>
              </w:rPr>
            </w:pPr>
          </w:p>
        </w:tc>
      </w:tr>
      <w:tr w:rsidR="00AE4270" w:rsidRPr="00DD2185" w14:paraId="652943F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2A644EA1" w14:textId="77777777" w:rsidR="00AE4270" w:rsidRPr="00DD2185" w:rsidRDefault="00AE4270" w:rsidP="00AE4270">
            <w:pPr>
              <w:widowControl w:val="0"/>
              <w:tabs>
                <w:tab w:val="left" w:pos="1440"/>
              </w:tabs>
              <w:ind w:left="1440" w:hanging="720"/>
              <w:jc w:val="both"/>
              <w:rPr>
                <w:bCs/>
                <w:iCs/>
                <w:u w:val="single"/>
              </w:rPr>
            </w:pPr>
            <w:r w:rsidRPr="00DD2185">
              <w:t>20.1</w:t>
            </w:r>
            <w:r w:rsidRPr="00DD2185">
              <w:tab/>
            </w:r>
            <w:r w:rsidRPr="00DD2185">
              <w:rPr>
                <w:u w:val="single"/>
              </w:rPr>
              <w:t>Definice</w:t>
            </w:r>
          </w:p>
        </w:tc>
      </w:tr>
      <w:tr w:rsidR="00AE4270" w:rsidRPr="00DD2185" w14:paraId="42DC62DE"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7B212D86" w14:textId="77777777" w:rsidR="00AE4270" w:rsidRPr="00DD2185" w:rsidRDefault="00AE4270" w:rsidP="00AE4270">
            <w:pPr>
              <w:widowControl w:val="0"/>
              <w:tabs>
                <w:tab w:val="left" w:pos="1440"/>
              </w:tabs>
              <w:jc w:val="both"/>
              <w:rPr>
                <w:bCs/>
                <w:iCs/>
              </w:rPr>
            </w:pPr>
          </w:p>
        </w:tc>
      </w:tr>
      <w:tr w:rsidR="00AE4270" w:rsidRPr="00DD2185" w14:paraId="2535DF65"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BC9BBC9" w14:textId="77777777" w:rsidR="00AE4270" w:rsidRPr="00DD2185" w:rsidRDefault="00AE4270" w:rsidP="00AE4270">
            <w:pPr>
              <w:widowControl w:val="0"/>
              <w:tabs>
                <w:tab w:val="left" w:pos="2160"/>
              </w:tabs>
              <w:autoSpaceDE w:val="0"/>
              <w:autoSpaceDN w:val="0"/>
              <w:adjustRightInd w:val="0"/>
              <w:ind w:left="2160" w:hanging="720"/>
              <w:jc w:val="both"/>
              <w:rPr>
                <w:bCs/>
                <w:iCs/>
                <w:u w:val="single"/>
              </w:rPr>
            </w:pPr>
            <w:r w:rsidRPr="00DD2185">
              <w:t>a.</w:t>
            </w:r>
            <w:r w:rsidRPr="00DD2185">
              <w:tab/>
            </w:r>
            <w:r w:rsidRPr="00DD2185">
              <w:rPr>
                <w:u w:val="single"/>
              </w:rPr>
              <w:t>Vláda</w:t>
            </w:r>
            <w:r w:rsidRPr="00DD2185">
              <w:t>.  Pojem „</w:t>
            </w:r>
            <w:r w:rsidRPr="00DD2185">
              <w:rPr>
                <w:b/>
                <w:bCs/>
              </w:rPr>
              <w:t>vláda</w:t>
            </w:r>
            <w:r w:rsidRPr="00DD2185">
              <w:t>“ tak, jak je používán v této smlouvě, zahrnuje všechny úrovně a složky vlády (tj. orgány na místní, krajské i celostátní úrovni, a to správní, zákonodárné i výkonné).</w:t>
            </w:r>
          </w:p>
        </w:tc>
      </w:tr>
      <w:tr w:rsidR="00AE4270" w:rsidRPr="00DD2185" w14:paraId="756446F6"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1EC7E336" w14:textId="77777777" w:rsidR="00AE4270" w:rsidRPr="00DD2185" w:rsidRDefault="00AE4270" w:rsidP="00AE4270">
            <w:pPr>
              <w:widowControl w:val="0"/>
              <w:tabs>
                <w:tab w:val="left" w:pos="2160"/>
              </w:tabs>
              <w:autoSpaceDE w:val="0"/>
              <w:autoSpaceDN w:val="0"/>
              <w:adjustRightInd w:val="0"/>
              <w:ind w:left="2160" w:hanging="720"/>
              <w:jc w:val="both"/>
              <w:rPr>
                <w:bCs/>
                <w:iCs/>
              </w:rPr>
            </w:pPr>
          </w:p>
        </w:tc>
      </w:tr>
      <w:tr w:rsidR="00AE4270" w:rsidRPr="00DD2185" w14:paraId="4E210CAF" w14:textId="77777777" w:rsidTr="001D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30" w:type="dxa"/>
            <w:tcBorders>
              <w:top w:val="nil"/>
              <w:left w:val="nil"/>
              <w:bottom w:val="nil"/>
              <w:right w:val="nil"/>
            </w:tcBorders>
          </w:tcPr>
          <w:p w14:paraId="09D82B85" w14:textId="1B3F8D49" w:rsidR="00AE4270" w:rsidRPr="00DD2185" w:rsidRDefault="00AE4270" w:rsidP="00AE4270">
            <w:pPr>
              <w:pStyle w:val="ListParagraph"/>
              <w:widowControl w:val="0"/>
              <w:numPr>
                <w:ilvl w:val="2"/>
                <w:numId w:val="11"/>
              </w:numPr>
              <w:autoSpaceDE w:val="0"/>
              <w:autoSpaceDN w:val="0"/>
              <w:adjustRightInd w:val="0"/>
              <w:jc w:val="both"/>
              <w:rPr>
                <w:bCs/>
                <w:iCs/>
              </w:rPr>
            </w:pPr>
            <w:r w:rsidRPr="00DD2185">
              <w:rPr>
                <w:u w:val="single"/>
              </w:rPr>
              <w:t>Úřední osoba</w:t>
            </w:r>
            <w:r w:rsidRPr="00DD2185">
              <w:t>.  Pojem „</w:t>
            </w:r>
            <w:r w:rsidRPr="00DD2185">
              <w:rPr>
                <w:b/>
                <w:bCs/>
              </w:rPr>
              <w:t>úřední osoba</w:t>
            </w:r>
            <w:r w:rsidRPr="00DD2185">
              <w:t>“ tak, jak je používán v této smlouvě, znamená (1) jakoukoli volenou nebo jmenovanou úřední osobu jiné vlády než vlády USA (např. zákonodárce nebo úředníka ministerstva jiné vlády než vlády USA), (2) každého zaměstnance nebo osobu jednající jménem či z pověření úřední osoby jiné vlády než vlády USA, orgánu jiné vlády než vlády USA nebo podniku, který vykonává vládní funkci pro jinou vládu než vládu USA, nebo který vlastní jiná vláda než vláda USA nebo který je takovou vládou kontrolován (např. zdravotnický pracovník zaměstnaný ve státní nemocnici, která není státní nemocnicí USA, nebo výzkumný pracovník zaměstnaný na jiné státní univerzitě než státní univerzitě USA), (3) jakéhokoli představitele politické strany v jiné zemi než USA, kandidáta na veřejnou funkci v jiné zemi než USA, zaměstnance nebo osobu jednající jménem politické strany nebo kandidáta na veřejnou funkci v jiné zemi než USA, (4) jakéhokoli zaměstnance nebo osobu jednající jménem veřejné mezinárodní organizace a (5) jakéhokoli člena královské rodiny nebo příslušníka jiných ozbrojených sil než ozbrojených sil USA.</w:t>
            </w:r>
          </w:p>
          <w:p w14:paraId="762F5D98" w14:textId="77777777" w:rsidR="00AE4270" w:rsidRPr="00DD2185" w:rsidRDefault="00AE4270" w:rsidP="00AE4270">
            <w:pPr>
              <w:pStyle w:val="ListParagraph"/>
              <w:widowControl w:val="0"/>
              <w:autoSpaceDE w:val="0"/>
              <w:autoSpaceDN w:val="0"/>
              <w:adjustRightInd w:val="0"/>
              <w:ind w:left="2160"/>
              <w:jc w:val="both"/>
              <w:rPr>
                <w:bCs/>
                <w:iCs/>
              </w:rPr>
            </w:pPr>
          </w:p>
          <w:p w14:paraId="4128042A" w14:textId="53F1A9DE" w:rsidR="00AE4270" w:rsidRPr="00DD2185" w:rsidRDefault="00AE4270" w:rsidP="00AE4270">
            <w:pPr>
              <w:ind w:left="850"/>
              <w:jc w:val="both"/>
              <w:rPr>
                <w:bCs/>
                <w:iCs/>
              </w:rPr>
            </w:pPr>
            <w:r w:rsidRPr="00DD2185">
              <w:t xml:space="preserve">20.2 Hlavní zkoušející a zdravotnické zařízení prohlašují a zaručují, že: </w:t>
            </w:r>
            <w:r w:rsidRPr="00DD2185">
              <w:br/>
            </w:r>
          </w:p>
          <w:p w14:paraId="3734955A" w14:textId="77777777" w:rsidR="00AE4270" w:rsidRPr="00DD2185" w:rsidRDefault="00AE4270" w:rsidP="00AE4270">
            <w:pPr>
              <w:numPr>
                <w:ilvl w:val="2"/>
                <w:numId w:val="13"/>
              </w:numPr>
              <w:jc w:val="both"/>
              <w:rPr>
                <w:bCs/>
                <w:iCs/>
              </w:rPr>
            </w:pPr>
            <w:r w:rsidRPr="00DD2185">
              <w:t xml:space="preserve">jim byla poskytnuta kopie mezinárodních </w:t>
            </w:r>
            <w:proofErr w:type="spellStart"/>
            <w:r w:rsidRPr="00DD2185">
              <w:t>protiúplatkářských</w:t>
            </w:r>
            <w:proofErr w:type="spellEnd"/>
            <w:r w:rsidRPr="00DD2185">
              <w:t xml:space="preserve"> a protikorupčních zásad společnosti Pfizer jako příloha této smlouvy a </w:t>
            </w:r>
            <w:r w:rsidRPr="00DD2185">
              <w:lastRenderedPageBreak/>
              <w:t>že s těmito zásadami seznámí všechny osoby, které jednají jejich jménem v souvislosti s prací pro společnost Pfizer, a to včetně zmocněnců a subdodavatelů.</w:t>
            </w:r>
            <w:r w:rsidRPr="00DD2185">
              <w:br/>
            </w:r>
          </w:p>
          <w:p w14:paraId="77526C38" w14:textId="77777777" w:rsidR="00AE4270" w:rsidRPr="00DD2185" w:rsidRDefault="00AE4270" w:rsidP="00AE4270">
            <w:pPr>
              <w:numPr>
                <w:ilvl w:val="2"/>
                <w:numId w:val="13"/>
              </w:numPr>
              <w:jc w:val="both"/>
              <w:rPr>
                <w:bCs/>
                <w:iCs/>
              </w:rPr>
            </w:pPr>
            <w:r w:rsidRPr="00DD2185">
              <w:t xml:space="preserve">veškeré informace, které hlavní zkoušející poskytl společnosti Pfizer jako součást procesu protikorupčního procesu a procesu </w:t>
            </w:r>
            <w:proofErr w:type="spellStart"/>
            <w:r w:rsidRPr="00DD2185">
              <w:t>due</w:t>
            </w:r>
            <w:proofErr w:type="spellEnd"/>
            <w:r w:rsidRPr="00DD2185">
              <w:t xml:space="preserve"> diligence, jsou úplné, pravdivé a přesné, a hlavní zkoušející souhlasí s tím, že bude společnost Pfizer informovat, pokud se během plnění této smlouvy změní jakékoli odpovědi v dotazníku </w:t>
            </w:r>
            <w:proofErr w:type="spellStart"/>
            <w:r w:rsidRPr="00DD2185">
              <w:t>due</w:t>
            </w:r>
            <w:proofErr w:type="spellEnd"/>
            <w:r w:rsidRPr="00DD2185">
              <w:t xml:space="preserve"> diligence, které se týkají hlavního zkoušejícího nebo osob identifikovaných v takovém dotazníku či jejich rodinných příslušníků dle definice v těchto dokumentech.  </w:t>
            </w:r>
            <w:r w:rsidRPr="00DD2185">
              <w:br/>
            </w:r>
          </w:p>
          <w:p w14:paraId="300E87F9" w14:textId="77777777" w:rsidR="00AE4270" w:rsidRPr="00DD2185" w:rsidRDefault="00AE4270" w:rsidP="00AE4270">
            <w:pPr>
              <w:numPr>
                <w:ilvl w:val="2"/>
                <w:numId w:val="13"/>
              </w:numPr>
              <w:tabs>
                <w:tab w:val="left" w:pos="720"/>
              </w:tabs>
              <w:jc w:val="both"/>
              <w:rPr>
                <w:bCs/>
                <w:iCs/>
              </w:rPr>
            </w:pPr>
            <w:r w:rsidRPr="00DD2185">
              <w:t>společnost Pfizer neposkytne v souvislosti s touto smlouvou žádnou platbu navíc k finančním prostředkům uvedeným v příloze A (Rozpočet studie a platební podmínky), pokud ji předběžně písemně neschválí.  Zdravotnické zařízení a hlavní zkoušející (i) poskytnou pravdivou a úplnou dokumentaci dokládající, s přiměřeně podrobnými údaji, provedené práce a vzniklé náklady, (</w:t>
            </w:r>
            <w:proofErr w:type="spellStart"/>
            <w:r w:rsidRPr="00DD2185">
              <w:t>ii</w:t>
            </w:r>
            <w:proofErr w:type="spellEnd"/>
            <w:r w:rsidRPr="00DD2185">
              <w:t>) budou vést pravdivé, přesné a úplné faktury, zprávy, výpisy, knihy a další záznamy a (</w:t>
            </w:r>
            <w:proofErr w:type="spellStart"/>
            <w:r w:rsidRPr="00DD2185">
              <w:t>iii</w:t>
            </w:r>
            <w:proofErr w:type="spellEnd"/>
            <w:r w:rsidRPr="00DD2185">
              <w:t xml:space="preserve">) zajistí si od společnosti Pfizer předchozí písemné schválení jakýchkoli mimořádných výdajů. </w:t>
            </w:r>
            <w:r w:rsidRPr="00DD2185">
              <w:br/>
            </w:r>
          </w:p>
          <w:p w14:paraId="38831707" w14:textId="77777777" w:rsidR="00AE4270" w:rsidRPr="00DD2185" w:rsidRDefault="00AE4270" w:rsidP="00AE4270">
            <w:pPr>
              <w:numPr>
                <w:ilvl w:val="2"/>
                <w:numId w:val="13"/>
              </w:numPr>
              <w:jc w:val="both"/>
              <w:rPr>
                <w:bCs/>
                <w:iCs/>
              </w:rPr>
            </w:pPr>
            <w:r w:rsidRPr="00DD2185">
              <w:t>přímo ani nepřímo nenabídli a nezaplatili, ani neschválili nabídku či platbu jakýchkoli finančních prostředků či čehokoli hodnotného s cílem ovlivnit jakoukoliv úřední osobu nebo jinou osobu s cílem zajistit, aby společnost Pfizer nepřípustně získala nebo si udržela obchod nebo získala nepřípustnou obchodní výhodu, že takovou platbu nepřijali a že tak neučiní ani v budoucnosti.</w:t>
            </w:r>
            <w:r w:rsidRPr="00DD2185">
              <w:br/>
            </w:r>
          </w:p>
          <w:p w14:paraId="18172A88" w14:textId="047F97E6" w:rsidR="00AE4270" w:rsidRPr="00DD2185" w:rsidRDefault="00AE4270" w:rsidP="00AE4270">
            <w:pPr>
              <w:numPr>
                <w:ilvl w:val="2"/>
                <w:numId w:val="13"/>
              </w:numPr>
              <w:jc w:val="both"/>
              <w:rPr>
                <w:bCs/>
                <w:iCs/>
              </w:rPr>
            </w:pPr>
            <w:r w:rsidRPr="00DD2185">
              <w:t>během platnosti této smlouvy a tři roky po provedení závěrečné platby podle této smlouvy povolí přístup interním a externím auditorům společnosti Pfizer ke svým knihám, dokumentům a záznamům zahrnujícím transakce související s touto smlouvou.  Společnost Pfizer při takovém auditu přijme odpovídající bezpečnostní opatření, která zajistí důvěrnost osobních údajů subjektů hodnocení a jejich ochranu.</w:t>
            </w:r>
            <w:r w:rsidRPr="00DD2185">
              <w:br/>
            </w:r>
          </w:p>
          <w:p w14:paraId="23033BFD" w14:textId="5D415357" w:rsidR="002D355A" w:rsidRPr="00DD2185" w:rsidRDefault="00AE4270" w:rsidP="00E468EB">
            <w:pPr>
              <w:ind w:left="1570"/>
              <w:jc w:val="both"/>
              <w:rPr>
                <w:bCs/>
                <w:iCs/>
              </w:rPr>
            </w:pPr>
            <w:r w:rsidRPr="00DD2185">
              <w:t>20.3 Pokud zdravotnické zařízení nebo hlavní zkoušející poruší některé z těchto prohlášení či záruk, společnost Pfizer může tuto smlouvu ukončit.  V případě ukončení smlouvy</w:t>
            </w:r>
            <w:r w:rsidR="00863726" w:rsidRPr="00DD2185">
              <w:t>, a to pouze z důvodů porušení prohlášení a záruk uvedených v článku 20.2 výše,</w:t>
            </w:r>
            <w:r w:rsidRPr="00DD2185">
              <w:t xml:space="preserve"> zdravotnické zařízení ani hlavní zkoušející nebudou mít nárok na žádnou další platbu bez ohledu na aktivity, jež byly provedeny před ukončením, a dohody uzavřené před ukončením, a budou odpovídat za škody a opravné prostředky v souladu s právními předpisy.  Hlavní zkoušející a zdravotnické zařízení dále společnost Pfizer odškodní a zbaví ji odpovědnosti v souvislosti s jakýmkoli nárokem, závazkem, pokutou, postihem, ztrátou či škodou, jež vzniknou v důsledku nedodržení </w:t>
            </w:r>
            <w:r w:rsidRPr="00DD2185">
              <w:lastRenderedPageBreak/>
              <w:t>závazků podle tohoto článku 20 zdravotnickým zařízením či hlavním zkoušejícím.</w:t>
            </w:r>
          </w:p>
        </w:tc>
      </w:tr>
    </w:tbl>
    <w:p w14:paraId="092BCD7B" w14:textId="77777777" w:rsidR="00E468EB" w:rsidRDefault="00E468EB">
      <w:pPr>
        <w:spacing w:after="200" w:line="276" w:lineRule="auto"/>
      </w:pPr>
      <w:r>
        <w:lastRenderedPageBreak/>
        <w:br w:type="page"/>
      </w:r>
    </w:p>
    <w:p w14:paraId="3FFE2323" w14:textId="020EB469" w:rsidR="00B16AEB" w:rsidRPr="00DD2185" w:rsidRDefault="00B16AEB" w:rsidP="00B16AEB">
      <w:r w:rsidRPr="00DD2185">
        <w:lastRenderedPageBreak/>
        <w:t>Dojednal(a) a souhlas vyslovil(a):</w:t>
      </w:r>
    </w:p>
    <w:p w14:paraId="1396BE66" w14:textId="77777777" w:rsidR="00B16AEB" w:rsidRPr="00DD2185" w:rsidRDefault="00B16AEB" w:rsidP="00B16AEB"/>
    <w:p w14:paraId="191309E0" w14:textId="72829580" w:rsidR="00B16AEB" w:rsidRPr="00DD2185" w:rsidRDefault="009A56B4" w:rsidP="00B16AEB">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ind w:left="5040" w:hanging="5040"/>
        <w:rPr>
          <w:b/>
        </w:rPr>
      </w:pPr>
      <w:r w:rsidRPr="00DD2185">
        <w:rPr>
          <w:b/>
        </w:rPr>
        <w:t>PFIZER INC.</w:t>
      </w:r>
      <w:r w:rsidRPr="00DD2185">
        <w:rPr>
          <w:b/>
        </w:rPr>
        <w:tab/>
      </w:r>
      <w:r w:rsidRPr="00DD2185">
        <w:rPr>
          <w:b/>
        </w:rPr>
        <w:tab/>
      </w:r>
      <w:r w:rsidRPr="00DD2185">
        <w:rPr>
          <w:b/>
        </w:rPr>
        <w:tab/>
      </w:r>
      <w:r w:rsidRPr="00DD2185">
        <w:rPr>
          <w:b/>
        </w:rPr>
        <w:tab/>
      </w:r>
      <w:r w:rsidRPr="00DD2185">
        <w:rPr>
          <w:b/>
        </w:rPr>
        <w:tab/>
        <w:t>ZDRAVOTNICKÉ ZAŘÍZENÍ</w:t>
      </w:r>
      <w:r w:rsidR="00B16AEB" w:rsidRPr="00DD2185">
        <w:rPr>
          <w:b/>
        </w:rPr>
        <w:t xml:space="preserve"> </w:t>
      </w:r>
      <w:r w:rsidR="002D355A" w:rsidRPr="00DD2185">
        <w:rPr>
          <w:b/>
        </w:rPr>
        <w:t>– FAKULTNÍ NEMOCNICE OLOMOUC</w:t>
      </w:r>
    </w:p>
    <w:p w14:paraId="0A6EA068" w14:textId="7BD8D15C" w:rsidR="00B16AEB" w:rsidRDefault="00B16AEB" w:rsidP="00B16AEB">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ind w:left="5040" w:hanging="5040"/>
        <w:rPr>
          <w:highlight w:val="yellow"/>
        </w:rPr>
      </w:pPr>
    </w:p>
    <w:p w14:paraId="47E4C3A9" w14:textId="2E33135F" w:rsidR="005F4666" w:rsidRDefault="005F4666" w:rsidP="00B16AEB">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ind w:left="5040" w:hanging="5040"/>
        <w:rPr>
          <w:highlight w:val="yellow"/>
        </w:rPr>
      </w:pPr>
    </w:p>
    <w:p w14:paraId="787AE957" w14:textId="77777777" w:rsidR="005F4666" w:rsidRPr="00DD2185" w:rsidRDefault="005F4666" w:rsidP="00B16AEB">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ind w:left="5040" w:hanging="5040"/>
        <w:rPr>
          <w:highlight w:val="yellow"/>
        </w:rPr>
      </w:pPr>
    </w:p>
    <w:p w14:paraId="510C7AF0" w14:textId="77777777" w:rsidR="00B16AEB" w:rsidRPr="00DD2185" w:rsidRDefault="00B16AEB" w:rsidP="00B16AEB">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rPr>
      </w:pPr>
      <w:r w:rsidRPr="00DD2185">
        <w:rPr>
          <w:u w:val="single"/>
        </w:rPr>
        <w:tab/>
      </w:r>
      <w:r w:rsidRPr="00DD2185">
        <w:rPr>
          <w:u w:val="single"/>
        </w:rPr>
        <w:tab/>
      </w:r>
      <w:r w:rsidRPr="00DD2185">
        <w:rPr>
          <w:u w:val="single"/>
        </w:rPr>
        <w:tab/>
      </w:r>
      <w:r w:rsidRPr="00DD2185">
        <w:rPr>
          <w:u w:val="single"/>
        </w:rPr>
        <w:tab/>
      </w:r>
      <w:r w:rsidRPr="00DD2185">
        <w:rPr>
          <w:u w:val="single"/>
        </w:rPr>
        <w:tab/>
      </w:r>
      <w:r w:rsidRPr="00DD2185">
        <w:rPr>
          <w:u w:val="single"/>
        </w:rPr>
        <w:tab/>
      </w:r>
      <w:r w:rsidRPr="00DD2185">
        <w:tab/>
      </w:r>
      <w:r w:rsidRPr="00DD2185">
        <w:tab/>
      </w:r>
      <w:r w:rsidRPr="00DD2185">
        <w:rPr>
          <w:u w:val="single"/>
        </w:rPr>
        <w:tab/>
      </w:r>
      <w:r w:rsidRPr="00DD2185">
        <w:rPr>
          <w:u w:val="single"/>
        </w:rPr>
        <w:tab/>
      </w:r>
      <w:r w:rsidRPr="00DD2185">
        <w:rPr>
          <w:u w:val="single"/>
        </w:rPr>
        <w:tab/>
      </w:r>
    </w:p>
    <w:p w14:paraId="66D53C20" w14:textId="77777777" w:rsidR="00B16AEB" w:rsidRPr="00DD2185" w:rsidRDefault="00B16AEB" w:rsidP="00B16AEB">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p w14:paraId="0166C9BF" w14:textId="6ADFED06" w:rsidR="00B16AEB" w:rsidRPr="00DD2185" w:rsidRDefault="00B16AEB" w:rsidP="00B16AEB">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r w:rsidRPr="00DD2185">
        <w:t>_________________________________</w:t>
      </w:r>
      <w:r w:rsidRPr="00DD2185">
        <w:tab/>
      </w:r>
      <w:r w:rsidRPr="00DD2185">
        <w:tab/>
      </w:r>
      <w:r w:rsidR="005F4666" w:rsidRPr="005F4666">
        <w:rPr>
          <w:u w:val="single"/>
        </w:rPr>
        <w:t xml:space="preserve">prof. MUDr. Roman Havlík, Ph.D. </w:t>
      </w:r>
      <w:r w:rsidR="005F4666" w:rsidRPr="00DD2185">
        <w:rPr>
          <w:u w:val="single"/>
        </w:rPr>
        <w:tab/>
      </w:r>
    </w:p>
    <w:p w14:paraId="5F5656A9" w14:textId="25425C6F" w:rsidR="00B16AEB" w:rsidRPr="00DD2185" w:rsidRDefault="00B16AEB" w:rsidP="00B16AEB">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r w:rsidRPr="00DD2185">
        <w:t>Jméno (hůlkovým písmem)</w:t>
      </w:r>
      <w:r w:rsidRPr="00DD2185">
        <w:tab/>
      </w:r>
      <w:r w:rsidRPr="00DD2185">
        <w:tab/>
      </w:r>
      <w:r w:rsidRPr="00DD2185">
        <w:tab/>
      </w:r>
      <w:r w:rsidRPr="00DD2185">
        <w:tab/>
      </w:r>
      <w:r w:rsidRPr="00DD2185">
        <w:tab/>
      </w:r>
      <w:r w:rsidR="005F4666" w:rsidRPr="00DD2185">
        <w:t>Jméno (hůlkovým písmem)</w:t>
      </w:r>
    </w:p>
    <w:p w14:paraId="0E478D08" w14:textId="77777777" w:rsidR="00B16AEB" w:rsidRPr="00DD2185" w:rsidRDefault="00B16AEB" w:rsidP="00B16AEB">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p>
    <w:p w14:paraId="69FA1F9B" w14:textId="05CAD496" w:rsidR="00B16AEB" w:rsidRPr="00DD2185" w:rsidRDefault="00B16AEB" w:rsidP="00B16AEB">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r w:rsidRPr="00DD2185">
        <w:t>_________________________________</w:t>
      </w:r>
      <w:r w:rsidRPr="00DD2185">
        <w:tab/>
      </w:r>
      <w:r w:rsidRPr="00DD2185">
        <w:tab/>
      </w:r>
      <w:r w:rsidR="005F4666" w:rsidRPr="005F4666">
        <w:rPr>
          <w:u w:val="single"/>
        </w:rPr>
        <w:t>ředitel</w:t>
      </w:r>
      <w:r w:rsidR="005F4666" w:rsidRPr="00DD2185">
        <w:rPr>
          <w:u w:val="single"/>
        </w:rPr>
        <w:tab/>
      </w:r>
      <w:r w:rsidR="005F4666" w:rsidRPr="00DD2185">
        <w:rPr>
          <w:u w:val="single"/>
        </w:rPr>
        <w:tab/>
      </w:r>
    </w:p>
    <w:p w14:paraId="3B9B63E3" w14:textId="111E8682" w:rsidR="00B16AEB" w:rsidRPr="00DD2185" w:rsidRDefault="00B16AEB" w:rsidP="00B16AEB">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r w:rsidRPr="00DD2185">
        <w:t>Funkce</w:t>
      </w:r>
      <w:r w:rsidRPr="00DD2185">
        <w:tab/>
      </w:r>
      <w:r w:rsidRPr="00DD2185">
        <w:tab/>
      </w:r>
      <w:r w:rsidRPr="00DD2185">
        <w:tab/>
      </w:r>
      <w:r w:rsidRPr="00DD2185">
        <w:tab/>
      </w:r>
      <w:r w:rsidRPr="00DD2185">
        <w:tab/>
      </w:r>
      <w:r w:rsidRPr="00DD2185">
        <w:tab/>
      </w:r>
      <w:r w:rsidRPr="00DD2185">
        <w:tab/>
      </w:r>
      <w:proofErr w:type="spellStart"/>
      <w:r w:rsidR="005F4666" w:rsidRPr="00DD2185">
        <w:t>Funkce</w:t>
      </w:r>
      <w:proofErr w:type="spellEnd"/>
      <w:r w:rsidR="005F4666" w:rsidRPr="00DD2185">
        <w:tab/>
      </w:r>
    </w:p>
    <w:p w14:paraId="5353C87E" w14:textId="77777777" w:rsidR="00B16AEB" w:rsidRPr="00DD2185" w:rsidRDefault="00B16AEB" w:rsidP="00B16AEB">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highlight w:val="yellow"/>
        </w:rPr>
      </w:pPr>
    </w:p>
    <w:p w14:paraId="503F591F" w14:textId="06A57541" w:rsidR="00B16AEB" w:rsidRPr="00DD2185" w:rsidRDefault="00323865" w:rsidP="00B16AEB">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highlight w:val="yellow"/>
        </w:rPr>
      </w:pPr>
      <w:r w:rsidRPr="00DD2185">
        <w:t>_________________________________</w:t>
      </w:r>
      <w:r w:rsidRPr="00DD2185">
        <w:tab/>
      </w:r>
      <w:r w:rsidRPr="00DD2185">
        <w:tab/>
        <w:t>_________________________________</w:t>
      </w:r>
    </w:p>
    <w:p w14:paraId="294AE1D0" w14:textId="51E623F6" w:rsidR="00B16AEB" w:rsidRPr="00DD2185" w:rsidRDefault="00B07274" w:rsidP="00B16AEB">
      <w:pPr>
        <w:rPr>
          <w:u w:val="single"/>
        </w:rPr>
      </w:pPr>
      <w:r w:rsidRPr="00DD2185">
        <w:t>Datum</w:t>
      </w:r>
      <w:r w:rsidRPr="00DD2185">
        <w:tab/>
      </w:r>
      <w:r w:rsidRPr="00DD2185">
        <w:tab/>
      </w:r>
      <w:r w:rsidRPr="00DD2185">
        <w:tab/>
      </w:r>
      <w:r w:rsidRPr="00DD2185">
        <w:tab/>
      </w:r>
      <w:r w:rsidR="00323865" w:rsidRPr="00DD2185">
        <w:tab/>
      </w:r>
      <w:r w:rsidR="00323865" w:rsidRPr="00DD2185">
        <w:tab/>
      </w:r>
      <w:r w:rsidR="00323865" w:rsidRPr="00DD2185">
        <w:tab/>
      </w:r>
      <w:proofErr w:type="spellStart"/>
      <w:r w:rsidR="00B16AEB" w:rsidRPr="00DD2185">
        <w:t>Datum</w:t>
      </w:r>
      <w:proofErr w:type="spellEnd"/>
    </w:p>
    <w:p w14:paraId="38C5C374" w14:textId="77777777" w:rsidR="00B16AEB" w:rsidRPr="00DD2185" w:rsidRDefault="00B16AEB" w:rsidP="00B16AEB">
      <w:pPr>
        <w:rPr>
          <w:highlight w:val="yellow"/>
          <w:u w:val="single"/>
        </w:rPr>
      </w:pPr>
    </w:p>
    <w:p w14:paraId="15E7F948" w14:textId="77777777" w:rsidR="00B16AEB" w:rsidRPr="00DD2185" w:rsidRDefault="00B16AEB" w:rsidP="00B16AEB">
      <w:pPr>
        <w:rPr>
          <w:highlight w:val="yellow"/>
          <w:u w:val="single"/>
        </w:rPr>
      </w:pPr>
    </w:p>
    <w:p w14:paraId="33A8B9B4" w14:textId="7647C06B" w:rsidR="00ED426A" w:rsidRPr="00DD2185" w:rsidRDefault="009A56B4" w:rsidP="00ED426A">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ind w:left="5040" w:hanging="5040"/>
        <w:rPr>
          <w:b/>
        </w:rPr>
      </w:pPr>
      <w:r w:rsidRPr="00DD2185">
        <w:rPr>
          <w:b/>
        </w:rPr>
        <w:t>HLAVNÍ ZKOUŠEJÍCÍ</w:t>
      </w:r>
    </w:p>
    <w:p w14:paraId="0A32627F" w14:textId="7A7A86AC" w:rsidR="00ED426A" w:rsidRPr="00DD2185" w:rsidRDefault="00ED426A" w:rsidP="00ED426A">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ind w:left="5040" w:hanging="5040"/>
        <w:rPr>
          <w:color w:val="0000FF"/>
        </w:rPr>
      </w:pPr>
    </w:p>
    <w:p w14:paraId="498D6028" w14:textId="77777777" w:rsidR="00F04B4D" w:rsidRPr="00DD2185" w:rsidRDefault="00F04B4D" w:rsidP="00ED426A">
      <w:pPr>
        <w:keepNext/>
        <w:keepLines/>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ind w:left="5040" w:hanging="5040"/>
        <w:rPr>
          <w:color w:val="0000FF"/>
        </w:rPr>
      </w:pPr>
    </w:p>
    <w:p w14:paraId="0C9ADA5A" w14:textId="1807F188" w:rsidR="00EB1204" w:rsidRPr="00DD2185" w:rsidRDefault="00EB1204" w:rsidP="00EB120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rPr>
      </w:pPr>
      <w:r w:rsidRPr="00DD2185">
        <w:rPr>
          <w:u w:val="single"/>
        </w:rPr>
        <w:tab/>
      </w:r>
      <w:r w:rsidRPr="00DD2185">
        <w:rPr>
          <w:u w:val="single"/>
        </w:rPr>
        <w:tab/>
      </w:r>
      <w:r w:rsidRPr="00DD2185">
        <w:rPr>
          <w:u w:val="single"/>
        </w:rPr>
        <w:tab/>
      </w:r>
      <w:r w:rsidRPr="00DD2185">
        <w:rPr>
          <w:u w:val="single"/>
        </w:rPr>
        <w:tab/>
      </w:r>
      <w:r w:rsidRPr="00DD2185">
        <w:rPr>
          <w:u w:val="single"/>
        </w:rPr>
        <w:tab/>
      </w:r>
      <w:r w:rsidRPr="00DD2185">
        <w:rPr>
          <w:u w:val="single"/>
        </w:rPr>
        <w:tab/>
      </w:r>
    </w:p>
    <w:p w14:paraId="2BB75788" w14:textId="77777777" w:rsidR="00EB1204" w:rsidRPr="00DD2185" w:rsidRDefault="00EB1204" w:rsidP="00EB1204">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pPr>
    </w:p>
    <w:p w14:paraId="33A5D606" w14:textId="3B059049" w:rsidR="00EB1204" w:rsidRPr="00EB1204" w:rsidRDefault="00212BD2" w:rsidP="00EB120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rPr>
      </w:pPr>
      <w:proofErr w:type="spellStart"/>
      <w:r w:rsidRPr="00212BD2">
        <w:rPr>
          <w:b/>
          <w:bCs/>
          <w:highlight w:val="black"/>
        </w:rPr>
        <w:t>xxxxxxxxxxxxxxxxxxxxxxxxxxxxxx</w:t>
      </w:r>
      <w:proofErr w:type="spellEnd"/>
      <w:r w:rsidR="00EB1204" w:rsidRPr="00EB1204">
        <w:rPr>
          <w:u w:val="single"/>
        </w:rPr>
        <w:tab/>
      </w:r>
    </w:p>
    <w:p w14:paraId="7C1060F1" w14:textId="68DE5213" w:rsidR="00EB1204" w:rsidRPr="00DD2185" w:rsidRDefault="00EB1204" w:rsidP="00EB120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r w:rsidRPr="00DD2185">
        <w:t>Jméno (hůlkovým písmem)</w:t>
      </w:r>
      <w:r w:rsidRPr="00DD2185">
        <w:tab/>
      </w:r>
      <w:r w:rsidRPr="00DD2185">
        <w:tab/>
      </w:r>
      <w:r w:rsidRPr="00DD2185">
        <w:tab/>
      </w:r>
    </w:p>
    <w:p w14:paraId="1B6409AB" w14:textId="77777777" w:rsidR="00EB1204" w:rsidRPr="00DD2185" w:rsidRDefault="00EB1204" w:rsidP="00EB120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p>
    <w:p w14:paraId="6A6B2A26" w14:textId="046C1EE5" w:rsidR="00EB1204" w:rsidRPr="00EB1204" w:rsidRDefault="00EB1204" w:rsidP="00EB120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rPr>
          <w:u w:val="single"/>
        </w:rPr>
      </w:pPr>
      <w:r w:rsidRPr="00EB1204">
        <w:rPr>
          <w:u w:val="single"/>
        </w:rPr>
        <w:t>Hlavní zkoušející</w:t>
      </w:r>
      <w:r w:rsidRPr="00EB1204">
        <w:rPr>
          <w:u w:val="single"/>
        </w:rPr>
        <w:tab/>
      </w:r>
      <w:r w:rsidRPr="00EB1204">
        <w:rPr>
          <w:u w:val="single"/>
        </w:rPr>
        <w:tab/>
      </w:r>
      <w:r w:rsidRPr="00EB1204">
        <w:rPr>
          <w:u w:val="single"/>
        </w:rPr>
        <w:tab/>
      </w:r>
      <w:r w:rsidRPr="00EB1204">
        <w:rPr>
          <w:u w:val="single"/>
        </w:rPr>
        <w:tab/>
      </w:r>
    </w:p>
    <w:p w14:paraId="3F6ECAC4" w14:textId="4530564A" w:rsidR="00EB1204" w:rsidRPr="00DD2185" w:rsidRDefault="00EB1204" w:rsidP="00EB120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 w:val="left" w:pos="9000"/>
        </w:tabs>
        <w:suppressAutoHyphens/>
      </w:pPr>
      <w:r w:rsidRPr="00DD2185">
        <w:t>Funkce</w:t>
      </w:r>
      <w:r w:rsidRPr="00DD2185">
        <w:tab/>
      </w:r>
      <w:r w:rsidRPr="00DD2185">
        <w:tab/>
      </w:r>
      <w:r w:rsidRPr="00DD2185">
        <w:tab/>
      </w:r>
      <w:r w:rsidRPr="00DD2185">
        <w:tab/>
      </w:r>
      <w:r w:rsidRPr="00DD2185">
        <w:tab/>
      </w:r>
    </w:p>
    <w:p w14:paraId="18659C65" w14:textId="77777777" w:rsidR="00EB1204" w:rsidRPr="00DD2185" w:rsidRDefault="00EB1204" w:rsidP="00EB1204">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highlight w:val="yellow"/>
        </w:rPr>
      </w:pPr>
    </w:p>
    <w:p w14:paraId="0D2D8458" w14:textId="54F34681" w:rsidR="00EB1204" w:rsidRPr="00DD2185" w:rsidRDefault="00EB1204" w:rsidP="00EB1204">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rPr>
          <w:highlight w:val="yellow"/>
        </w:rPr>
      </w:pPr>
      <w:r w:rsidRPr="00DD2185">
        <w:t>_________________________________</w:t>
      </w:r>
    </w:p>
    <w:p w14:paraId="424881C7" w14:textId="44C37B18" w:rsidR="00ED426A" w:rsidRPr="00DD2185" w:rsidRDefault="00EB1204" w:rsidP="00EB1204">
      <w:r w:rsidRPr="00DD2185">
        <w:t>Datum</w:t>
      </w:r>
      <w:r w:rsidRPr="00DD2185">
        <w:tab/>
      </w:r>
      <w:r w:rsidRPr="00DD2185">
        <w:tab/>
      </w:r>
      <w:r w:rsidRPr="00DD2185">
        <w:tab/>
      </w:r>
      <w:r w:rsidRPr="00DD2185">
        <w:tab/>
      </w:r>
      <w:r w:rsidRPr="00DD2185">
        <w:tab/>
      </w:r>
    </w:p>
    <w:p w14:paraId="103EAA2C" w14:textId="3844CBBA" w:rsidR="00B16AEB" w:rsidRPr="00DD2185" w:rsidRDefault="00ED426A" w:rsidP="00B16AEB">
      <w:r w:rsidRPr="00DD2185">
        <w:tab/>
      </w:r>
    </w:p>
    <w:p w14:paraId="4F1313AE" w14:textId="77777777" w:rsidR="00B16AEB" w:rsidRPr="00DD2185" w:rsidRDefault="00B16AEB" w:rsidP="00B16AEB">
      <w:pPr>
        <w:rPr>
          <w:u w:val="single"/>
        </w:rPr>
      </w:pPr>
      <w:r w:rsidRPr="00DD2185">
        <w:rPr>
          <w:u w:val="single"/>
        </w:rPr>
        <w:t>Přílohy</w:t>
      </w:r>
    </w:p>
    <w:p w14:paraId="29E6CECF" w14:textId="77777777" w:rsidR="00B16AEB" w:rsidRPr="00DD2185" w:rsidRDefault="00B16AEB" w:rsidP="00B16AEB">
      <w:pPr>
        <w:rPr>
          <w:u w:val="single"/>
        </w:rPr>
      </w:pPr>
    </w:p>
    <w:p w14:paraId="16989173" w14:textId="77777777" w:rsidR="00B16AEB" w:rsidRPr="00DD2185" w:rsidRDefault="00B16AEB" w:rsidP="00B16AEB">
      <w:pPr>
        <w:widowControl w:val="0"/>
        <w:suppressAutoHyphens/>
        <w:ind w:left="1620" w:hanging="1620"/>
      </w:pPr>
      <w:r w:rsidRPr="00DD2185">
        <w:t>Příloha A</w:t>
      </w:r>
      <w:r w:rsidRPr="00DD2185">
        <w:tab/>
        <w:t>Rozpočet a platební podmínky studie</w:t>
      </w:r>
    </w:p>
    <w:p w14:paraId="7610AFBB" w14:textId="5D35B3EE" w:rsidR="00B16AEB" w:rsidRPr="00DD2185" w:rsidRDefault="00B16AEB" w:rsidP="00B16AEB">
      <w:pPr>
        <w:widowControl w:val="0"/>
        <w:suppressAutoHyphens/>
        <w:ind w:left="1620" w:hanging="1620"/>
      </w:pPr>
      <w:r w:rsidRPr="00DD2185">
        <w:t>Příloha B</w:t>
      </w:r>
      <w:r w:rsidRPr="00DD2185">
        <w:tab/>
        <w:t xml:space="preserve">Vybavení a materiály </w:t>
      </w:r>
      <w:r w:rsidR="003C2FA8" w:rsidRPr="00DD2185">
        <w:t>/ Smlouva o výpůjčce</w:t>
      </w:r>
    </w:p>
    <w:p w14:paraId="793299A8" w14:textId="77777777" w:rsidR="00B16AEB" w:rsidRPr="00DD2185" w:rsidRDefault="00B16AEB" w:rsidP="00B16AEB">
      <w:r w:rsidRPr="00DD2185">
        <w:t>Příloha C</w:t>
      </w:r>
      <w:r w:rsidRPr="00DD2185">
        <w:tab/>
        <w:t xml:space="preserve">   Mezinárodní </w:t>
      </w:r>
      <w:proofErr w:type="spellStart"/>
      <w:r w:rsidRPr="00DD2185">
        <w:t>protiúplatkářské</w:t>
      </w:r>
      <w:proofErr w:type="spellEnd"/>
      <w:r w:rsidRPr="00DD2185">
        <w:t xml:space="preserve"> a protikorupční zásady společnosti Pfizer</w:t>
      </w:r>
    </w:p>
    <w:p w14:paraId="253DC47C" w14:textId="2A0D2B21" w:rsidR="00B16AEB" w:rsidRPr="00DD2185" w:rsidRDefault="00B16AEB" w:rsidP="00B16AEB">
      <w:pPr>
        <w:tabs>
          <w:tab w:val="left" w:pos="1620"/>
        </w:tabs>
      </w:pPr>
      <w:r w:rsidRPr="00DD2185">
        <w:t>Příloha D</w:t>
      </w:r>
      <w:r w:rsidRPr="00DD2185">
        <w:tab/>
        <w:t>Standardní smluvní doložky EU</w:t>
      </w:r>
    </w:p>
    <w:p w14:paraId="563C48CF" w14:textId="0F1EF96F" w:rsidR="00191118" w:rsidRPr="00DD2185" w:rsidRDefault="00191118" w:rsidP="00B16AEB">
      <w:pPr>
        <w:tabs>
          <w:tab w:val="left" w:pos="1620"/>
        </w:tabs>
      </w:pPr>
      <w:r w:rsidRPr="00DD2185">
        <w:t>Příloha E</w:t>
      </w:r>
      <w:r w:rsidRPr="00DD2185">
        <w:tab/>
        <w:t>Zplnomocnění k</w:t>
      </w:r>
      <w:r w:rsidR="003C2FA8" w:rsidRPr="00DD2185">
        <w:t> </w:t>
      </w:r>
      <w:r w:rsidRPr="00DD2185">
        <w:t>podpisu</w:t>
      </w:r>
      <w:r w:rsidR="003C2FA8" w:rsidRPr="00DD2185">
        <w:t xml:space="preserve">, Schválení EK, </w:t>
      </w:r>
      <w:proofErr w:type="spellStart"/>
      <w:r w:rsidR="003C2FA8" w:rsidRPr="00DD2185">
        <w:t>SÚKLu</w:t>
      </w:r>
      <w:proofErr w:type="spellEnd"/>
    </w:p>
    <w:p w14:paraId="4DA785AA" w14:textId="77777777" w:rsidR="00B16AEB" w:rsidRPr="00DD2185" w:rsidRDefault="00B16AEB" w:rsidP="00B16AEB">
      <w:pPr>
        <w:spacing w:after="200" w:line="276" w:lineRule="auto"/>
      </w:pPr>
      <w:r w:rsidRPr="00DD2185">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90"/>
      </w:tblGrid>
      <w:tr w:rsidR="00B16AEB" w:rsidRPr="00DD2185" w14:paraId="08CCB6C0" w14:textId="77777777" w:rsidTr="00F45488">
        <w:trPr>
          <w:jc w:val="center"/>
        </w:trPr>
        <w:tc>
          <w:tcPr>
            <w:tcW w:w="9026" w:type="dxa"/>
            <w:tcMar>
              <w:right w:w="173" w:type="dxa"/>
            </w:tcMar>
          </w:tcPr>
          <w:p w14:paraId="2EBFA293" w14:textId="77777777" w:rsidR="00B16AEB" w:rsidRPr="004D5A65" w:rsidRDefault="00B16AEB" w:rsidP="00B0727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400"/>
                <w:tab w:val="left" w:pos="5760"/>
              </w:tabs>
              <w:suppressAutoHyphens/>
              <w:jc w:val="center"/>
              <w:rPr>
                <w:b/>
                <w:caps/>
              </w:rPr>
            </w:pPr>
            <w:r w:rsidRPr="004D5A65">
              <w:rPr>
                <w:b/>
                <w:caps/>
              </w:rPr>
              <w:lastRenderedPageBreak/>
              <w:t>Příloha A</w:t>
            </w:r>
          </w:p>
        </w:tc>
      </w:tr>
      <w:tr w:rsidR="00B16AEB" w:rsidRPr="00DD2185" w14:paraId="7591851C" w14:textId="77777777" w:rsidTr="00F45488">
        <w:trPr>
          <w:jc w:val="center"/>
        </w:trPr>
        <w:tc>
          <w:tcPr>
            <w:tcW w:w="9026" w:type="dxa"/>
            <w:tcMar>
              <w:right w:w="173" w:type="dxa"/>
            </w:tcMar>
          </w:tcPr>
          <w:p w14:paraId="308B92F5" w14:textId="77777777" w:rsidR="00B16AEB" w:rsidRPr="004D5A65" w:rsidRDefault="00B16AEB" w:rsidP="00B07274">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jc w:val="center"/>
              <w:rPr>
                <w:b/>
                <w:caps/>
              </w:rPr>
            </w:pPr>
            <w:r w:rsidRPr="004D5A65">
              <w:rPr>
                <w:b/>
                <w:caps/>
              </w:rPr>
              <w:t>ROZPOČET A PLATEBNÍ PODMÍNKY STUDIE</w:t>
            </w:r>
          </w:p>
        </w:tc>
      </w:tr>
      <w:tr w:rsidR="00B16AEB" w:rsidRPr="00DD2185" w14:paraId="77DCA42C" w14:textId="77777777" w:rsidTr="00F45488">
        <w:trPr>
          <w:jc w:val="center"/>
        </w:trPr>
        <w:tc>
          <w:tcPr>
            <w:tcW w:w="9026" w:type="dxa"/>
            <w:tcMar>
              <w:right w:w="173" w:type="dxa"/>
            </w:tcMar>
          </w:tcPr>
          <w:p w14:paraId="6AAC87A5" w14:textId="77777777" w:rsidR="00B16AEB" w:rsidRPr="00DD2185" w:rsidRDefault="00B16AEB" w:rsidP="00B07274">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jc w:val="center"/>
            </w:pPr>
          </w:p>
        </w:tc>
      </w:tr>
      <w:tr w:rsidR="00B16AEB" w:rsidRPr="00DD2185" w14:paraId="364CA809" w14:textId="77777777" w:rsidTr="00F45488">
        <w:trPr>
          <w:jc w:val="center"/>
        </w:trPr>
        <w:tc>
          <w:tcPr>
            <w:tcW w:w="9026" w:type="dxa"/>
            <w:tcMar>
              <w:right w:w="173" w:type="dxa"/>
            </w:tcMar>
          </w:tcPr>
          <w:p w14:paraId="66932704" w14:textId="5456D7D3" w:rsidR="00B16AEB" w:rsidRPr="00DD2185" w:rsidRDefault="00B16AEB" w:rsidP="00B07274">
            <w:pPr>
              <w:pStyle w:val="Normal1"/>
              <w:widowControl w:val="0"/>
              <w:jc w:val="center"/>
              <w:rPr>
                <w:rFonts w:ascii="Times New Roman" w:hAnsi="Times New Roman"/>
                <w:sz w:val="24"/>
                <w:szCs w:val="24"/>
              </w:rPr>
            </w:pPr>
            <w:r w:rsidRPr="00DD2185">
              <w:rPr>
                <w:rFonts w:ascii="Times New Roman" w:hAnsi="Times New Roman"/>
                <w:sz w:val="24"/>
                <w:szCs w:val="24"/>
              </w:rPr>
              <w:t xml:space="preserve">Číslo protokolu: </w:t>
            </w:r>
            <w:r w:rsidR="005975A3" w:rsidRPr="00DD2185">
              <w:rPr>
                <w:rFonts w:ascii="Times New Roman" w:hAnsi="Times New Roman"/>
                <w:b/>
                <w:sz w:val="24"/>
                <w:szCs w:val="24"/>
              </w:rPr>
              <w:t>C1071007</w:t>
            </w:r>
          </w:p>
        </w:tc>
      </w:tr>
      <w:tr w:rsidR="00B16AEB" w:rsidRPr="00DD2185" w14:paraId="1990FA8D" w14:textId="77777777" w:rsidTr="00F45488">
        <w:trPr>
          <w:jc w:val="center"/>
        </w:trPr>
        <w:tc>
          <w:tcPr>
            <w:tcW w:w="9026" w:type="dxa"/>
            <w:tcMar>
              <w:right w:w="173" w:type="dxa"/>
            </w:tcMar>
          </w:tcPr>
          <w:p w14:paraId="35D7241B" w14:textId="77777777" w:rsidR="00B16AEB" w:rsidRPr="00DD2185" w:rsidRDefault="00B16AEB" w:rsidP="00B07274">
            <w:pPr>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s>
              <w:suppressAutoHyphens/>
              <w:jc w:val="both"/>
              <w:rPr>
                <w:bCs/>
              </w:rPr>
            </w:pPr>
          </w:p>
        </w:tc>
      </w:tr>
    </w:tbl>
    <w:p w14:paraId="1D9AFD1A" w14:textId="21F7E2FD" w:rsidR="00B16AEB" w:rsidRPr="00DD2185" w:rsidRDefault="00B16AEB" w:rsidP="007E4E0E">
      <w:pPr>
        <w:jc w:val="both"/>
        <w:rPr>
          <w:iCs/>
        </w:rPr>
      </w:pPr>
      <w:r w:rsidRPr="00DD2185">
        <w:rPr>
          <w:iCs/>
        </w:rPr>
        <w:t>Předpokládaná celková částka</w:t>
      </w:r>
      <w:r w:rsidR="00F84532" w:rsidRPr="00DD2185">
        <w:rPr>
          <w:iCs/>
        </w:rPr>
        <w:t xml:space="preserve"> (</w:t>
      </w:r>
      <w:r w:rsidR="00F84532" w:rsidRPr="00DD2185">
        <w:rPr>
          <w:b/>
          <w:iCs/>
        </w:rPr>
        <w:t>odhadovaná hodnota plnění ze smlouvy</w:t>
      </w:r>
      <w:r w:rsidR="00F84532" w:rsidRPr="00DD2185">
        <w:rPr>
          <w:iCs/>
        </w:rPr>
        <w:t>) za 1 subjekt hodnocení (v případě, že dokončí všechny studijní návštěvy dle protokolu)</w:t>
      </w:r>
      <w:r w:rsidRPr="00DD2185">
        <w:rPr>
          <w:iCs/>
        </w:rPr>
        <w:t>, která má být uhrazena zdravotnickému zařízení za provádění této studie, je</w:t>
      </w:r>
      <w:r w:rsidR="004B2F76" w:rsidRPr="00DD2185">
        <w:rPr>
          <w:iCs/>
        </w:rPr>
        <w:t xml:space="preserve"> (v Kč):</w:t>
      </w:r>
      <w:r w:rsidRPr="00DD2185">
        <w:rPr>
          <w:iCs/>
        </w:rPr>
        <w:t xml:space="preserve"> </w:t>
      </w:r>
    </w:p>
    <w:p w14:paraId="2A7C659E" w14:textId="7863DD5E" w:rsidR="004B2F76" w:rsidRPr="00DD2185" w:rsidRDefault="004B2F76" w:rsidP="007E4E0E">
      <w:pPr>
        <w:jc w:val="both"/>
        <w:rPr>
          <w:iCs/>
        </w:rPr>
      </w:pPr>
    </w:p>
    <w:p w14:paraId="33F9D1D5" w14:textId="372A2C2B" w:rsidR="004B2F76" w:rsidRPr="00DD2185" w:rsidRDefault="004B2F76" w:rsidP="004B2F76">
      <w:pPr>
        <w:pStyle w:val="ListParagraph"/>
        <w:numPr>
          <w:ilvl w:val="0"/>
          <w:numId w:val="35"/>
        </w:numPr>
        <w:jc w:val="both"/>
      </w:pPr>
      <w:r w:rsidRPr="00DD2185">
        <w:rPr>
          <w:iCs/>
        </w:rPr>
        <w:t>v léčebném rameni A:</w:t>
      </w:r>
      <w:r w:rsidRPr="00DD2185">
        <w:rPr>
          <w:iCs/>
        </w:rPr>
        <w:tab/>
      </w:r>
      <w:r w:rsidRPr="00DD2185">
        <w:rPr>
          <w:iCs/>
        </w:rPr>
        <w:tab/>
      </w:r>
      <w:r w:rsidR="003E1C7D" w:rsidRPr="00DD2185">
        <w:rPr>
          <w:iCs/>
        </w:rPr>
        <w:t>339 471,38 Kč</w:t>
      </w:r>
    </w:p>
    <w:p w14:paraId="1879E1D5" w14:textId="38BBD030" w:rsidR="004B2F76" w:rsidRPr="00DD2185" w:rsidRDefault="004B2F76" w:rsidP="009122D6">
      <w:pPr>
        <w:pStyle w:val="ListParagraph"/>
        <w:numPr>
          <w:ilvl w:val="0"/>
          <w:numId w:val="35"/>
        </w:numPr>
        <w:jc w:val="both"/>
      </w:pPr>
      <w:r w:rsidRPr="00DD2185">
        <w:rPr>
          <w:iCs/>
        </w:rPr>
        <w:t>v léčebném rameni B:</w:t>
      </w:r>
      <w:r w:rsidRPr="00DD2185">
        <w:rPr>
          <w:iCs/>
        </w:rPr>
        <w:tab/>
      </w:r>
      <w:r w:rsidRPr="00DD2185">
        <w:rPr>
          <w:iCs/>
        </w:rPr>
        <w:tab/>
      </w:r>
      <w:r w:rsidR="003E1C7D" w:rsidRPr="00DD2185">
        <w:rPr>
          <w:iCs/>
        </w:rPr>
        <w:t>256 902,63</w:t>
      </w:r>
      <w:r w:rsidR="005A26B6">
        <w:rPr>
          <w:iCs/>
        </w:rPr>
        <w:t xml:space="preserve"> Kč</w:t>
      </w:r>
    </w:p>
    <w:p w14:paraId="46CFDB59" w14:textId="0063F28B" w:rsidR="00212BD2" w:rsidRDefault="00212BD2">
      <w:pPr>
        <w:spacing w:after="200" w:line="276" w:lineRule="auto"/>
      </w:pPr>
      <w:r w:rsidRPr="00212BD2">
        <w:rPr>
          <w:highlight w:val="black"/>
        </w:rPr>
        <w:t>xxxxxxxxxxxxxxxxxxxxxxxxxxxxxxxxxxxxxxxxxxxxxxxxxxxxxxxxxxxxxxxxxxxxxxxxxxxxxxxxxxxxxxxxxxxxxxxxxxxxxxxxxxxxxxxxxxxxxxxxxxxxxxxxxxxxxxxxxxxxxxxxxxxxxxxxxxxxxxxxxxxxxxxxxxxxxxxx</w:t>
      </w:r>
      <w:r w:rsidRPr="00212BD2">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212BD2">
        <w:rPr>
          <w:highlight w:val="black"/>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EF0D821" w14:textId="7F359CDE" w:rsidR="00CE3FDE" w:rsidRPr="00DD2185" w:rsidRDefault="00CE3FDE">
      <w:pPr>
        <w:spacing w:after="200" w:line="276" w:lineRule="auto"/>
      </w:pPr>
      <w:r w:rsidRPr="00DD2185">
        <w:br w:type="page"/>
      </w:r>
    </w:p>
    <w:p w14:paraId="47A93BAB" w14:textId="41FC8613" w:rsidR="00CE3FDE" w:rsidRPr="004D5A65" w:rsidRDefault="00CE3FDE" w:rsidP="00CE3FDE">
      <w:pPr>
        <w:jc w:val="center"/>
        <w:rPr>
          <w:b/>
          <w:caps/>
        </w:rPr>
      </w:pPr>
      <w:r w:rsidRPr="004D5A65">
        <w:rPr>
          <w:b/>
          <w:caps/>
        </w:rPr>
        <w:lastRenderedPageBreak/>
        <w:t>Příloha B</w:t>
      </w:r>
    </w:p>
    <w:p w14:paraId="110A8377" w14:textId="28941E45" w:rsidR="00CE3FDE" w:rsidRPr="00DD2185" w:rsidRDefault="00CE3FDE" w:rsidP="00CE3FDE">
      <w:pPr>
        <w:jc w:val="center"/>
        <w:rPr>
          <w:b/>
        </w:rPr>
      </w:pPr>
      <w:r w:rsidRPr="00DD2185">
        <w:rPr>
          <w:b/>
        </w:rPr>
        <w:t>VYBAVENÍ A MATERIÁLY</w:t>
      </w:r>
      <w:r w:rsidR="006E0175" w:rsidRPr="00DD2185">
        <w:rPr>
          <w:b/>
        </w:rPr>
        <w:t xml:space="preserve"> / SMLOUVA O VÝPŮJČCE</w:t>
      </w:r>
    </w:p>
    <w:p w14:paraId="0DF04FEC" w14:textId="42E15CEF" w:rsidR="00CE3FDE" w:rsidRPr="00DD2185" w:rsidRDefault="00CE3FDE" w:rsidP="00F45488">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9090"/>
      </w:tblGrid>
      <w:tr w:rsidR="00CE3FDE" w:rsidRPr="00DD2185" w14:paraId="59261A66" w14:textId="77777777" w:rsidTr="00883ED1">
        <w:tc>
          <w:tcPr>
            <w:tcW w:w="9090" w:type="dxa"/>
            <w:tcMar>
              <w:right w:w="173" w:type="dxa"/>
            </w:tcMar>
          </w:tcPr>
          <w:p w14:paraId="0977EF5B" w14:textId="77777777" w:rsidR="00CE3FDE" w:rsidRPr="00DD2185" w:rsidRDefault="00CE3FDE" w:rsidP="00883ED1">
            <w:pPr>
              <w:pStyle w:val="Heading3"/>
              <w:keepNext w:val="0"/>
              <w:widowControl w:val="0"/>
              <w:jc w:val="center"/>
              <w:outlineLvl w:val="2"/>
              <w:rPr>
                <w:rFonts w:ascii="Times New Roman" w:hAnsi="Times New Roman" w:cs="Times New Roman"/>
                <w:b w:val="0"/>
                <w:bCs w:val="0"/>
              </w:rPr>
            </w:pPr>
            <w:r w:rsidRPr="00DD2185">
              <w:rPr>
                <w:rFonts w:ascii="Times New Roman" w:hAnsi="Times New Roman" w:cs="Times New Roman"/>
                <w:color w:val="auto"/>
              </w:rPr>
              <w:t>Vybavení a materiály poskytnuté společností Pfizer</w:t>
            </w:r>
          </w:p>
        </w:tc>
      </w:tr>
      <w:tr w:rsidR="00CE3FDE" w:rsidRPr="00DD2185" w14:paraId="281CC087" w14:textId="77777777" w:rsidTr="00883ED1">
        <w:tc>
          <w:tcPr>
            <w:tcW w:w="9090" w:type="dxa"/>
            <w:tcMar>
              <w:right w:w="173" w:type="dxa"/>
            </w:tcMar>
          </w:tcPr>
          <w:p w14:paraId="25CF9891" w14:textId="77777777" w:rsidR="00CE3FDE" w:rsidRPr="00DD2185" w:rsidRDefault="00CE3FDE" w:rsidP="00883ED1">
            <w:pPr>
              <w:widowControl w:val="0"/>
              <w:rPr>
                <w:b/>
                <w:bCs/>
                <w:u w:val="single"/>
              </w:rPr>
            </w:pPr>
          </w:p>
        </w:tc>
      </w:tr>
      <w:tr w:rsidR="00CE3FDE" w:rsidRPr="00DD2185" w14:paraId="55E86602" w14:textId="77777777" w:rsidTr="00883ED1">
        <w:tc>
          <w:tcPr>
            <w:tcW w:w="9090" w:type="dxa"/>
            <w:tcMar>
              <w:right w:w="173" w:type="dxa"/>
            </w:tcMar>
          </w:tcPr>
          <w:p w14:paraId="7212CA50" w14:textId="77777777" w:rsidR="00CE3FDE" w:rsidRPr="00DD2185" w:rsidRDefault="00CE3FDE" w:rsidP="00883ED1">
            <w:pPr>
              <w:widowControl w:val="0"/>
              <w:jc w:val="both"/>
              <w:rPr>
                <w:u w:val="single"/>
              </w:rPr>
            </w:pPr>
            <w:r w:rsidRPr="00DD2185">
              <w:rPr>
                <w:u w:val="single"/>
              </w:rPr>
              <w:t>Vybavení poskytnuté společností Pfizer</w:t>
            </w:r>
          </w:p>
        </w:tc>
      </w:tr>
      <w:tr w:rsidR="00CE3FDE" w:rsidRPr="00DD2185" w14:paraId="041CA74C" w14:textId="77777777" w:rsidTr="00883ED1">
        <w:tc>
          <w:tcPr>
            <w:tcW w:w="9090" w:type="dxa"/>
            <w:tcMar>
              <w:right w:w="173" w:type="dxa"/>
            </w:tcMar>
          </w:tcPr>
          <w:p w14:paraId="4F9E39CF" w14:textId="77777777" w:rsidR="00CE3FDE" w:rsidRPr="00DD2185" w:rsidRDefault="00CE3FDE" w:rsidP="00883ED1">
            <w:pPr>
              <w:widowControl w:val="0"/>
              <w:jc w:val="both"/>
              <w:rPr>
                <w:u w:val="single"/>
              </w:rPr>
            </w:pPr>
          </w:p>
        </w:tc>
      </w:tr>
      <w:tr w:rsidR="00CE3FDE" w:rsidRPr="00DD2185" w14:paraId="03B678A1" w14:textId="77777777" w:rsidTr="00883ED1">
        <w:tc>
          <w:tcPr>
            <w:tcW w:w="9090" w:type="dxa"/>
            <w:tcMar>
              <w:right w:w="173" w:type="dxa"/>
            </w:tcMar>
          </w:tcPr>
          <w:p w14:paraId="5A4AD411" w14:textId="77777777" w:rsidR="00CE3FDE" w:rsidRPr="00DD2185" w:rsidRDefault="00CE3FDE" w:rsidP="00883ED1">
            <w:pPr>
              <w:widowControl w:val="0"/>
              <w:jc w:val="both"/>
            </w:pPr>
            <w:r w:rsidRPr="00DD2185">
              <w:t>Společnost Pfizer poskytne níže uvedené vybavení („vybavení společnosti Pfizer“) pro použití hlavním zkoušejícím nebo zdravotnickým zařízením v rámci provádění studie nebo vytváření zpráv studie:</w:t>
            </w:r>
          </w:p>
        </w:tc>
      </w:tr>
      <w:tr w:rsidR="00CE3FDE" w:rsidRPr="00DD2185" w14:paraId="18F166B2" w14:textId="77777777" w:rsidTr="00883ED1">
        <w:tc>
          <w:tcPr>
            <w:tcW w:w="9090" w:type="dxa"/>
            <w:tcMar>
              <w:right w:w="173" w:type="dxa"/>
            </w:tcMar>
          </w:tcPr>
          <w:p w14:paraId="0A3E73E9" w14:textId="77777777" w:rsidR="00CE3FDE" w:rsidRPr="00DD2185" w:rsidRDefault="00CE3FDE" w:rsidP="00883ED1">
            <w:pPr>
              <w:widowControl w:val="0"/>
              <w:jc w:val="both"/>
            </w:pPr>
          </w:p>
        </w:tc>
      </w:tr>
      <w:tr w:rsidR="00CE3FDE" w:rsidRPr="00DD2185" w14:paraId="3BEC84EB" w14:textId="77777777" w:rsidTr="00883ED1">
        <w:tc>
          <w:tcPr>
            <w:tcW w:w="9090" w:type="dxa"/>
            <w:tcMar>
              <w:right w:w="173" w:type="dxa"/>
            </w:tcMar>
          </w:tcPr>
          <w:p w14:paraId="7FFD8537" w14:textId="77777777" w:rsidR="00CE3FDE" w:rsidRPr="00DD2185" w:rsidRDefault="00CE3FDE" w:rsidP="00883ED1">
            <w:pPr>
              <w:widowControl w:val="0"/>
              <w:jc w:val="both"/>
              <w:rPr>
                <w:bCs/>
                <w:i/>
                <w:iCs/>
                <w:color w:val="0000FF"/>
              </w:rPr>
            </w:pPr>
          </w:p>
        </w:tc>
      </w:tr>
    </w:tbl>
    <w:tbl>
      <w:tblPr>
        <w:tblW w:w="8697" w:type="dxa"/>
        <w:jc w:val="center"/>
        <w:tblLayout w:type="fixed"/>
        <w:tblCellMar>
          <w:left w:w="30" w:type="dxa"/>
          <w:right w:w="30" w:type="dxa"/>
        </w:tblCellMar>
        <w:tblLook w:val="0000" w:firstRow="0" w:lastRow="0" w:firstColumn="0" w:lastColumn="0" w:noHBand="0" w:noVBand="0"/>
      </w:tblPr>
      <w:tblGrid>
        <w:gridCol w:w="259"/>
        <w:gridCol w:w="3259"/>
        <w:gridCol w:w="997"/>
        <w:gridCol w:w="1163"/>
        <w:gridCol w:w="1163"/>
        <w:gridCol w:w="1856"/>
      </w:tblGrid>
      <w:tr w:rsidR="00CE3FDE" w:rsidRPr="00DD2185" w14:paraId="70C30F16" w14:textId="77777777" w:rsidTr="00DD2185">
        <w:trPr>
          <w:trHeight w:val="151"/>
          <w:tblHeader/>
          <w:jc w:val="center"/>
        </w:trPr>
        <w:tc>
          <w:tcPr>
            <w:tcW w:w="259" w:type="dxa"/>
            <w:tcBorders>
              <w:top w:val="single" w:sz="6" w:space="0" w:color="auto"/>
              <w:left w:val="single" w:sz="6" w:space="0" w:color="auto"/>
              <w:bottom w:val="single" w:sz="6" w:space="0" w:color="auto"/>
              <w:right w:val="single" w:sz="6" w:space="0" w:color="auto"/>
            </w:tcBorders>
            <w:shd w:val="solid" w:color="C0C0C0" w:fill="auto"/>
          </w:tcPr>
          <w:p w14:paraId="7BB4019C" w14:textId="77777777" w:rsidR="00CE3FDE" w:rsidRPr="00DD2185" w:rsidRDefault="00CE3FDE" w:rsidP="00883ED1">
            <w:pPr>
              <w:keepNext/>
              <w:keepLines/>
              <w:jc w:val="both"/>
              <w:rPr>
                <w:b/>
                <w:snapToGrid w:val="0"/>
                <w:color w:val="000000"/>
                <w:sz w:val="16"/>
                <w:szCs w:val="16"/>
              </w:rPr>
            </w:pPr>
          </w:p>
          <w:p w14:paraId="43AEC07F" w14:textId="77777777" w:rsidR="00CE3FDE" w:rsidRPr="00DD2185" w:rsidRDefault="00CE3FDE" w:rsidP="00883ED1">
            <w:pPr>
              <w:keepNext/>
              <w:keepLines/>
              <w:jc w:val="both"/>
              <w:rPr>
                <w:b/>
                <w:snapToGrid w:val="0"/>
                <w:color w:val="000000"/>
                <w:sz w:val="16"/>
                <w:szCs w:val="16"/>
              </w:rPr>
            </w:pPr>
          </w:p>
          <w:p w14:paraId="221BA7AC" w14:textId="77777777" w:rsidR="00CE3FDE" w:rsidRPr="00DD2185" w:rsidRDefault="00CE3FDE" w:rsidP="00883ED1">
            <w:pPr>
              <w:keepNext/>
              <w:keepLines/>
              <w:jc w:val="both"/>
              <w:rPr>
                <w:b/>
                <w:snapToGrid w:val="0"/>
                <w:color w:val="000000"/>
                <w:sz w:val="16"/>
                <w:szCs w:val="16"/>
              </w:rPr>
            </w:pPr>
            <w:r w:rsidRPr="00DD2185">
              <w:rPr>
                <w:b/>
                <w:bCs/>
                <w:snapToGrid w:val="0"/>
                <w:color w:val="000000"/>
                <w:sz w:val="16"/>
                <w:szCs w:val="16"/>
              </w:rPr>
              <w:t>Č.</w:t>
            </w:r>
          </w:p>
        </w:tc>
        <w:tc>
          <w:tcPr>
            <w:tcW w:w="3259" w:type="dxa"/>
            <w:tcBorders>
              <w:top w:val="single" w:sz="6" w:space="0" w:color="auto"/>
              <w:left w:val="single" w:sz="6" w:space="0" w:color="auto"/>
              <w:bottom w:val="single" w:sz="6" w:space="0" w:color="auto"/>
              <w:right w:val="single" w:sz="6" w:space="0" w:color="auto"/>
            </w:tcBorders>
            <w:shd w:val="solid" w:color="C0C0C0" w:fill="auto"/>
            <w:vAlign w:val="bottom"/>
          </w:tcPr>
          <w:p w14:paraId="19FC3BAB" w14:textId="77777777" w:rsidR="00CE3FDE" w:rsidRPr="00DD2185" w:rsidRDefault="00CE3FDE" w:rsidP="00883ED1">
            <w:pPr>
              <w:keepNext/>
              <w:keepLines/>
              <w:jc w:val="both"/>
              <w:rPr>
                <w:b/>
                <w:snapToGrid w:val="0"/>
                <w:color w:val="000000"/>
                <w:sz w:val="16"/>
                <w:szCs w:val="16"/>
              </w:rPr>
            </w:pPr>
          </w:p>
          <w:p w14:paraId="7C89BBDA" w14:textId="77777777" w:rsidR="00CE3FDE" w:rsidRPr="00DD2185" w:rsidRDefault="00CE3FDE" w:rsidP="00883ED1">
            <w:pPr>
              <w:keepNext/>
              <w:keepLines/>
              <w:jc w:val="both"/>
              <w:rPr>
                <w:b/>
                <w:snapToGrid w:val="0"/>
                <w:color w:val="000000"/>
                <w:sz w:val="16"/>
                <w:szCs w:val="16"/>
              </w:rPr>
            </w:pPr>
          </w:p>
          <w:p w14:paraId="4AF884E5" w14:textId="77777777" w:rsidR="00CE3FDE" w:rsidRPr="00DD2185" w:rsidRDefault="00CE3FDE" w:rsidP="00883ED1">
            <w:pPr>
              <w:keepNext/>
              <w:keepLines/>
              <w:jc w:val="both"/>
              <w:rPr>
                <w:b/>
                <w:snapToGrid w:val="0"/>
                <w:color w:val="000000"/>
                <w:sz w:val="16"/>
                <w:szCs w:val="16"/>
              </w:rPr>
            </w:pPr>
            <w:r w:rsidRPr="00DD2185">
              <w:rPr>
                <w:b/>
                <w:bCs/>
                <w:snapToGrid w:val="0"/>
                <w:color w:val="000000"/>
                <w:sz w:val="16"/>
                <w:szCs w:val="16"/>
              </w:rPr>
              <w:t xml:space="preserve">Vybavení </w:t>
            </w:r>
          </w:p>
        </w:tc>
        <w:tc>
          <w:tcPr>
            <w:tcW w:w="997" w:type="dxa"/>
            <w:tcBorders>
              <w:top w:val="single" w:sz="6" w:space="0" w:color="auto"/>
              <w:left w:val="single" w:sz="6" w:space="0" w:color="auto"/>
              <w:bottom w:val="single" w:sz="6" w:space="0" w:color="auto"/>
              <w:right w:val="single" w:sz="6" w:space="0" w:color="auto"/>
            </w:tcBorders>
            <w:shd w:val="solid" w:color="C0C0C0" w:fill="auto"/>
            <w:vAlign w:val="bottom"/>
          </w:tcPr>
          <w:p w14:paraId="3B0F11D8" w14:textId="77777777" w:rsidR="00CE3FDE" w:rsidRPr="00DD2185" w:rsidRDefault="00CE3FDE" w:rsidP="00883ED1">
            <w:pPr>
              <w:keepNext/>
              <w:keepLines/>
              <w:jc w:val="both"/>
              <w:rPr>
                <w:b/>
                <w:snapToGrid w:val="0"/>
                <w:color w:val="000000"/>
                <w:sz w:val="16"/>
                <w:szCs w:val="16"/>
              </w:rPr>
            </w:pPr>
          </w:p>
          <w:p w14:paraId="4C2C5E57" w14:textId="77777777" w:rsidR="00CE3FDE" w:rsidRPr="00DD2185" w:rsidRDefault="00CE3FDE" w:rsidP="00883ED1">
            <w:pPr>
              <w:keepNext/>
              <w:keepLines/>
              <w:jc w:val="both"/>
              <w:rPr>
                <w:b/>
                <w:snapToGrid w:val="0"/>
                <w:color w:val="000000"/>
                <w:sz w:val="16"/>
                <w:szCs w:val="16"/>
              </w:rPr>
            </w:pPr>
          </w:p>
          <w:p w14:paraId="5D2C0566" w14:textId="77777777" w:rsidR="00CE3FDE" w:rsidRPr="00DD2185" w:rsidRDefault="00CE3FDE" w:rsidP="00883ED1">
            <w:pPr>
              <w:keepNext/>
              <w:keepLines/>
              <w:jc w:val="both"/>
              <w:rPr>
                <w:b/>
                <w:snapToGrid w:val="0"/>
                <w:color w:val="000000"/>
                <w:sz w:val="16"/>
                <w:szCs w:val="16"/>
              </w:rPr>
            </w:pPr>
            <w:r w:rsidRPr="00DD2185">
              <w:rPr>
                <w:b/>
                <w:bCs/>
                <w:snapToGrid w:val="0"/>
                <w:color w:val="000000"/>
                <w:sz w:val="16"/>
                <w:szCs w:val="16"/>
              </w:rPr>
              <w:t>Sériové č.</w:t>
            </w:r>
          </w:p>
        </w:tc>
        <w:tc>
          <w:tcPr>
            <w:tcW w:w="1163" w:type="dxa"/>
            <w:tcBorders>
              <w:top w:val="single" w:sz="6" w:space="0" w:color="auto"/>
              <w:left w:val="single" w:sz="6" w:space="0" w:color="auto"/>
              <w:bottom w:val="single" w:sz="6" w:space="0" w:color="auto"/>
              <w:right w:val="single" w:sz="6" w:space="0" w:color="auto"/>
            </w:tcBorders>
            <w:shd w:val="solid" w:color="C0C0C0" w:fill="auto"/>
            <w:vAlign w:val="bottom"/>
          </w:tcPr>
          <w:p w14:paraId="7CD7F311" w14:textId="77777777" w:rsidR="00CE3FDE" w:rsidRPr="00DD2185" w:rsidRDefault="00CE3FDE" w:rsidP="00883ED1">
            <w:pPr>
              <w:keepNext/>
              <w:keepLines/>
              <w:jc w:val="both"/>
              <w:rPr>
                <w:b/>
                <w:snapToGrid w:val="0"/>
                <w:color w:val="000000"/>
                <w:sz w:val="16"/>
                <w:szCs w:val="16"/>
              </w:rPr>
            </w:pPr>
          </w:p>
          <w:p w14:paraId="0394CB4A" w14:textId="77777777" w:rsidR="00CE3FDE" w:rsidRPr="00DD2185" w:rsidRDefault="00CE3FDE" w:rsidP="00883ED1">
            <w:pPr>
              <w:keepNext/>
              <w:keepLines/>
              <w:jc w:val="both"/>
              <w:rPr>
                <w:b/>
                <w:snapToGrid w:val="0"/>
                <w:color w:val="000000"/>
                <w:sz w:val="16"/>
                <w:szCs w:val="16"/>
              </w:rPr>
            </w:pPr>
          </w:p>
          <w:p w14:paraId="7E478FF3" w14:textId="77777777" w:rsidR="00CE3FDE" w:rsidRPr="00DD2185" w:rsidRDefault="00CE3FDE" w:rsidP="00883ED1">
            <w:pPr>
              <w:keepNext/>
              <w:keepLines/>
              <w:jc w:val="both"/>
              <w:rPr>
                <w:b/>
                <w:snapToGrid w:val="0"/>
                <w:color w:val="000000"/>
                <w:sz w:val="16"/>
                <w:szCs w:val="16"/>
              </w:rPr>
            </w:pPr>
            <w:r w:rsidRPr="00DD2185">
              <w:rPr>
                <w:b/>
                <w:bCs/>
                <w:snapToGrid w:val="0"/>
                <w:color w:val="000000"/>
                <w:sz w:val="16"/>
                <w:szCs w:val="16"/>
              </w:rPr>
              <w:t>Č. štítku aktiva</w:t>
            </w:r>
          </w:p>
        </w:tc>
        <w:tc>
          <w:tcPr>
            <w:tcW w:w="1163" w:type="dxa"/>
            <w:tcBorders>
              <w:top w:val="single" w:sz="6" w:space="0" w:color="auto"/>
              <w:left w:val="single" w:sz="6" w:space="0" w:color="auto"/>
              <w:bottom w:val="single" w:sz="6" w:space="0" w:color="auto"/>
              <w:right w:val="single" w:sz="6" w:space="0" w:color="auto"/>
            </w:tcBorders>
            <w:shd w:val="solid" w:color="C0C0C0" w:fill="auto"/>
          </w:tcPr>
          <w:p w14:paraId="1A6A54B7" w14:textId="77777777" w:rsidR="00CE3FDE" w:rsidRPr="00DD2185" w:rsidRDefault="00CE3FDE" w:rsidP="00883ED1">
            <w:pPr>
              <w:keepNext/>
              <w:keepLines/>
              <w:jc w:val="both"/>
              <w:rPr>
                <w:b/>
                <w:snapToGrid w:val="0"/>
                <w:color w:val="000000"/>
                <w:sz w:val="16"/>
                <w:szCs w:val="16"/>
              </w:rPr>
            </w:pPr>
          </w:p>
          <w:p w14:paraId="7C40B8A2" w14:textId="77777777" w:rsidR="00CE3FDE" w:rsidRPr="00DD2185" w:rsidRDefault="00CE3FDE" w:rsidP="00883ED1">
            <w:pPr>
              <w:keepNext/>
              <w:keepLines/>
              <w:jc w:val="both"/>
              <w:rPr>
                <w:b/>
                <w:snapToGrid w:val="0"/>
                <w:color w:val="000000"/>
                <w:sz w:val="16"/>
                <w:szCs w:val="16"/>
              </w:rPr>
            </w:pPr>
            <w:r w:rsidRPr="00DD2185">
              <w:rPr>
                <w:b/>
                <w:bCs/>
                <w:snapToGrid w:val="0"/>
                <w:color w:val="000000"/>
                <w:sz w:val="16"/>
                <w:szCs w:val="16"/>
              </w:rPr>
              <w:t xml:space="preserve">Odhadovaná </w:t>
            </w:r>
          </w:p>
          <w:p w14:paraId="59F81BFB" w14:textId="77777777" w:rsidR="00CE3FDE" w:rsidRPr="00DD2185" w:rsidRDefault="00CE3FDE" w:rsidP="00883ED1">
            <w:pPr>
              <w:keepNext/>
              <w:keepLines/>
              <w:jc w:val="both"/>
              <w:rPr>
                <w:b/>
                <w:snapToGrid w:val="0"/>
                <w:color w:val="000000"/>
                <w:sz w:val="16"/>
                <w:szCs w:val="16"/>
              </w:rPr>
            </w:pPr>
            <w:r w:rsidRPr="00DD2185">
              <w:rPr>
                <w:b/>
                <w:bCs/>
                <w:snapToGrid w:val="0"/>
                <w:color w:val="000000"/>
                <w:sz w:val="16"/>
                <w:szCs w:val="16"/>
              </w:rPr>
              <w:t>původní hodnota</w:t>
            </w:r>
          </w:p>
        </w:tc>
        <w:tc>
          <w:tcPr>
            <w:tcW w:w="1856" w:type="dxa"/>
            <w:tcBorders>
              <w:top w:val="single" w:sz="6" w:space="0" w:color="auto"/>
              <w:left w:val="single" w:sz="6" w:space="0" w:color="auto"/>
              <w:bottom w:val="single" w:sz="6" w:space="0" w:color="auto"/>
              <w:right w:val="single" w:sz="6" w:space="0" w:color="auto"/>
            </w:tcBorders>
            <w:shd w:val="solid" w:color="C0C0C0" w:fill="auto"/>
          </w:tcPr>
          <w:p w14:paraId="1E565336" w14:textId="77777777" w:rsidR="00CE3FDE" w:rsidRPr="00DD2185" w:rsidRDefault="00CE3FDE" w:rsidP="00883ED1">
            <w:pPr>
              <w:keepNext/>
              <w:keepLines/>
              <w:jc w:val="both"/>
              <w:rPr>
                <w:b/>
                <w:snapToGrid w:val="0"/>
                <w:color w:val="000000"/>
                <w:sz w:val="16"/>
                <w:szCs w:val="16"/>
              </w:rPr>
            </w:pPr>
            <w:r w:rsidRPr="00DD2185">
              <w:rPr>
                <w:b/>
                <w:bCs/>
                <w:snapToGrid w:val="0"/>
                <w:color w:val="000000"/>
                <w:sz w:val="16"/>
                <w:szCs w:val="16"/>
              </w:rPr>
              <w:t xml:space="preserve">Odhadovaná zůstatková hodnota po </w:t>
            </w:r>
            <w:r w:rsidRPr="00DD2185">
              <w:rPr>
                <w:snapToGrid w:val="0"/>
                <w:color w:val="000000"/>
                <w:sz w:val="16"/>
                <w:szCs w:val="16"/>
              </w:rPr>
              <w:br/>
            </w:r>
            <w:r w:rsidRPr="00DD2185">
              <w:rPr>
                <w:b/>
                <w:bCs/>
                <w:snapToGrid w:val="0"/>
                <w:color w:val="000000"/>
                <w:sz w:val="16"/>
                <w:szCs w:val="16"/>
              </w:rPr>
              <w:t>dokončení studie</w:t>
            </w:r>
          </w:p>
        </w:tc>
      </w:tr>
      <w:tr w:rsidR="00CE3FDE" w:rsidRPr="00DD2185" w14:paraId="3A11B9A3" w14:textId="77777777" w:rsidTr="00DD2185">
        <w:trPr>
          <w:trHeight w:val="50"/>
          <w:jc w:val="center"/>
        </w:trPr>
        <w:tc>
          <w:tcPr>
            <w:tcW w:w="259" w:type="dxa"/>
            <w:tcBorders>
              <w:top w:val="single" w:sz="6" w:space="0" w:color="auto"/>
              <w:left w:val="single" w:sz="6" w:space="0" w:color="auto"/>
              <w:bottom w:val="single" w:sz="6" w:space="0" w:color="auto"/>
              <w:right w:val="single" w:sz="6" w:space="0" w:color="auto"/>
            </w:tcBorders>
          </w:tcPr>
          <w:p w14:paraId="0626C258" w14:textId="77777777" w:rsidR="00CE3FDE" w:rsidRPr="00DD2185" w:rsidRDefault="00CE3FDE" w:rsidP="00883ED1">
            <w:pPr>
              <w:widowControl w:val="0"/>
              <w:jc w:val="both"/>
              <w:rPr>
                <w:snapToGrid w:val="0"/>
                <w:sz w:val="16"/>
              </w:rPr>
            </w:pPr>
            <w:r w:rsidRPr="00DD2185">
              <w:rPr>
                <w:snapToGrid w:val="0"/>
                <w:sz w:val="16"/>
              </w:rPr>
              <w:t>1</w:t>
            </w:r>
          </w:p>
        </w:tc>
        <w:tc>
          <w:tcPr>
            <w:tcW w:w="3259" w:type="dxa"/>
            <w:tcBorders>
              <w:top w:val="single" w:sz="6" w:space="0" w:color="auto"/>
              <w:left w:val="single" w:sz="6" w:space="0" w:color="auto"/>
              <w:bottom w:val="single" w:sz="6" w:space="0" w:color="auto"/>
              <w:right w:val="single" w:sz="6" w:space="0" w:color="auto"/>
            </w:tcBorders>
          </w:tcPr>
          <w:p w14:paraId="17FA6D7B" w14:textId="77777777" w:rsidR="00CE3FDE" w:rsidRPr="00DD2185" w:rsidRDefault="00CE3FDE" w:rsidP="00883ED1">
            <w:pPr>
              <w:widowControl w:val="0"/>
              <w:jc w:val="both"/>
              <w:rPr>
                <w:snapToGrid w:val="0"/>
                <w:sz w:val="16"/>
              </w:rPr>
            </w:pPr>
            <w:proofErr w:type="spellStart"/>
            <w:r w:rsidRPr="00DD2185">
              <w:rPr>
                <w:b/>
                <w:sz w:val="22"/>
              </w:rPr>
              <w:t>ePro</w:t>
            </w:r>
            <w:proofErr w:type="spellEnd"/>
            <w:r w:rsidRPr="00DD2185">
              <w:rPr>
                <w:b/>
                <w:sz w:val="22"/>
              </w:rPr>
              <w:t xml:space="preserve"> </w:t>
            </w:r>
            <w:proofErr w:type="spellStart"/>
            <w:r w:rsidRPr="00DD2185">
              <w:rPr>
                <w:b/>
                <w:sz w:val="22"/>
              </w:rPr>
              <w:t>Bluebird</w:t>
            </w:r>
            <w:proofErr w:type="spellEnd"/>
            <w:r w:rsidRPr="00DD2185">
              <w:rPr>
                <w:b/>
                <w:sz w:val="22"/>
              </w:rPr>
              <w:t xml:space="preserve"> </w:t>
            </w:r>
            <w:proofErr w:type="spellStart"/>
            <w:r w:rsidRPr="00DD2185">
              <w:rPr>
                <w:b/>
                <w:sz w:val="22"/>
              </w:rPr>
              <w:t>TrialSlate</w:t>
            </w:r>
            <w:proofErr w:type="spellEnd"/>
            <w:r w:rsidRPr="00DD2185">
              <w:rPr>
                <w:b/>
                <w:sz w:val="22"/>
              </w:rPr>
              <w:t xml:space="preserve"> Tablet, model ST102-W4LAL</w:t>
            </w:r>
          </w:p>
        </w:tc>
        <w:tc>
          <w:tcPr>
            <w:tcW w:w="997" w:type="dxa"/>
            <w:tcBorders>
              <w:top w:val="single" w:sz="6" w:space="0" w:color="auto"/>
              <w:left w:val="single" w:sz="6" w:space="0" w:color="auto"/>
              <w:bottom w:val="single" w:sz="6" w:space="0" w:color="auto"/>
              <w:right w:val="single" w:sz="6" w:space="0" w:color="auto"/>
            </w:tcBorders>
          </w:tcPr>
          <w:p w14:paraId="7D46D468" w14:textId="77777777" w:rsidR="00CE3FDE" w:rsidRPr="00DD2185" w:rsidRDefault="00CE3FDE" w:rsidP="00883ED1">
            <w:pPr>
              <w:widowControl w:val="0"/>
              <w:jc w:val="both"/>
              <w:rPr>
                <w:snapToGrid w:val="0"/>
                <w:sz w:val="16"/>
              </w:rPr>
            </w:pPr>
          </w:p>
          <w:p w14:paraId="214F99FC" w14:textId="77777777" w:rsidR="00CE3FDE" w:rsidRPr="00DD2185" w:rsidRDefault="00CE3FDE" w:rsidP="00883ED1">
            <w:pPr>
              <w:rPr>
                <w:sz w:val="16"/>
              </w:rPr>
            </w:pPr>
            <w:r w:rsidRPr="00DD2185">
              <w:rPr>
                <w:sz w:val="22"/>
              </w:rPr>
              <w:t>bude známo při předání</w:t>
            </w:r>
          </w:p>
        </w:tc>
        <w:tc>
          <w:tcPr>
            <w:tcW w:w="1163" w:type="dxa"/>
            <w:tcBorders>
              <w:top w:val="single" w:sz="6" w:space="0" w:color="auto"/>
              <w:left w:val="single" w:sz="6" w:space="0" w:color="auto"/>
              <w:bottom w:val="single" w:sz="6" w:space="0" w:color="auto"/>
              <w:right w:val="single" w:sz="6" w:space="0" w:color="auto"/>
            </w:tcBorders>
          </w:tcPr>
          <w:p w14:paraId="05D32A4C" w14:textId="77777777" w:rsidR="00CE3FDE" w:rsidRPr="00DD2185" w:rsidRDefault="00CE3FDE" w:rsidP="00883ED1">
            <w:pPr>
              <w:widowControl w:val="0"/>
              <w:jc w:val="both"/>
              <w:rPr>
                <w:snapToGrid w:val="0"/>
                <w:sz w:val="16"/>
              </w:rPr>
            </w:pPr>
            <w:r w:rsidRPr="00DD2185">
              <w:rPr>
                <w:sz w:val="22"/>
              </w:rPr>
              <w:t>bude známo při předání</w:t>
            </w:r>
          </w:p>
        </w:tc>
        <w:tc>
          <w:tcPr>
            <w:tcW w:w="1163" w:type="dxa"/>
            <w:tcBorders>
              <w:top w:val="single" w:sz="6" w:space="0" w:color="auto"/>
              <w:left w:val="single" w:sz="6" w:space="0" w:color="auto"/>
              <w:bottom w:val="single" w:sz="6" w:space="0" w:color="auto"/>
              <w:right w:val="single" w:sz="6" w:space="0" w:color="auto"/>
            </w:tcBorders>
          </w:tcPr>
          <w:p w14:paraId="110A5F9B" w14:textId="77777777" w:rsidR="00CE3FDE" w:rsidRPr="00DD2185" w:rsidRDefault="00CE3FDE" w:rsidP="00883ED1">
            <w:pPr>
              <w:widowControl w:val="0"/>
              <w:jc w:val="both"/>
              <w:rPr>
                <w:snapToGrid w:val="0"/>
                <w:sz w:val="16"/>
              </w:rPr>
            </w:pPr>
            <w:proofErr w:type="gramStart"/>
            <w:r w:rsidRPr="00DD2185">
              <w:rPr>
                <w:b/>
                <w:sz w:val="22"/>
              </w:rPr>
              <w:t>18.800,-</w:t>
            </w:r>
            <w:proofErr w:type="gramEnd"/>
            <w:r w:rsidRPr="00DD2185">
              <w:rPr>
                <w:b/>
                <w:sz w:val="22"/>
              </w:rPr>
              <w:t xml:space="preserve"> Kč (758 EUR)</w:t>
            </w:r>
          </w:p>
        </w:tc>
        <w:tc>
          <w:tcPr>
            <w:tcW w:w="1856" w:type="dxa"/>
            <w:tcBorders>
              <w:top w:val="single" w:sz="6" w:space="0" w:color="auto"/>
              <w:left w:val="single" w:sz="6" w:space="0" w:color="auto"/>
              <w:bottom w:val="single" w:sz="6" w:space="0" w:color="auto"/>
              <w:right w:val="single" w:sz="6" w:space="0" w:color="auto"/>
            </w:tcBorders>
          </w:tcPr>
          <w:p w14:paraId="56028769" w14:textId="77777777" w:rsidR="00CE3FDE" w:rsidRPr="00DD2185" w:rsidRDefault="00CE3FDE" w:rsidP="00883ED1">
            <w:pPr>
              <w:widowControl w:val="0"/>
              <w:jc w:val="both"/>
              <w:rPr>
                <w:snapToGrid w:val="0"/>
                <w:sz w:val="16"/>
              </w:rPr>
            </w:pPr>
            <w:r w:rsidRPr="00DD2185">
              <w:rPr>
                <w:snapToGrid w:val="0"/>
                <w:sz w:val="16"/>
              </w:rPr>
              <w:t>Vybavení se vrací</w:t>
            </w:r>
          </w:p>
        </w:tc>
      </w:tr>
      <w:tr w:rsidR="00CE3FDE" w:rsidRPr="00DD2185" w14:paraId="5F3561C7" w14:textId="77777777" w:rsidTr="00DD2185">
        <w:trPr>
          <w:trHeight w:val="50"/>
          <w:jc w:val="center"/>
        </w:trPr>
        <w:tc>
          <w:tcPr>
            <w:tcW w:w="259" w:type="dxa"/>
            <w:tcBorders>
              <w:top w:val="single" w:sz="6" w:space="0" w:color="auto"/>
              <w:left w:val="single" w:sz="6" w:space="0" w:color="auto"/>
              <w:bottom w:val="single" w:sz="6" w:space="0" w:color="auto"/>
              <w:right w:val="single" w:sz="6" w:space="0" w:color="auto"/>
            </w:tcBorders>
          </w:tcPr>
          <w:p w14:paraId="550B6AAB" w14:textId="77777777" w:rsidR="00CE3FDE" w:rsidRPr="00DD2185" w:rsidRDefault="00CE3FDE" w:rsidP="00883ED1">
            <w:pPr>
              <w:widowControl w:val="0"/>
              <w:jc w:val="both"/>
              <w:rPr>
                <w:snapToGrid w:val="0"/>
                <w:color w:val="000000"/>
                <w:sz w:val="16"/>
              </w:rPr>
            </w:pPr>
            <w:r w:rsidRPr="00DD2185">
              <w:rPr>
                <w:snapToGrid w:val="0"/>
                <w:color w:val="000000"/>
                <w:sz w:val="16"/>
              </w:rPr>
              <w:t>2</w:t>
            </w:r>
          </w:p>
        </w:tc>
        <w:tc>
          <w:tcPr>
            <w:tcW w:w="3259" w:type="dxa"/>
            <w:tcBorders>
              <w:top w:val="single" w:sz="6" w:space="0" w:color="auto"/>
              <w:left w:val="single" w:sz="6" w:space="0" w:color="auto"/>
              <w:bottom w:val="single" w:sz="6" w:space="0" w:color="auto"/>
              <w:right w:val="single" w:sz="6" w:space="0" w:color="auto"/>
            </w:tcBorders>
          </w:tcPr>
          <w:p w14:paraId="320814C3" w14:textId="77777777" w:rsidR="00CE3FDE" w:rsidRPr="00DD2185" w:rsidRDefault="00CE3FDE" w:rsidP="00883ED1">
            <w:pPr>
              <w:widowControl w:val="0"/>
              <w:jc w:val="both"/>
              <w:rPr>
                <w:snapToGrid w:val="0"/>
                <w:color w:val="000000"/>
                <w:sz w:val="16"/>
              </w:rPr>
            </w:pPr>
          </w:p>
        </w:tc>
        <w:tc>
          <w:tcPr>
            <w:tcW w:w="997" w:type="dxa"/>
            <w:tcBorders>
              <w:top w:val="single" w:sz="6" w:space="0" w:color="auto"/>
              <w:left w:val="single" w:sz="6" w:space="0" w:color="auto"/>
              <w:bottom w:val="single" w:sz="6" w:space="0" w:color="auto"/>
              <w:right w:val="single" w:sz="6" w:space="0" w:color="auto"/>
            </w:tcBorders>
          </w:tcPr>
          <w:p w14:paraId="7B11533B" w14:textId="77777777" w:rsidR="00CE3FDE" w:rsidRPr="00DD2185" w:rsidRDefault="00CE3FDE" w:rsidP="00883ED1">
            <w:pPr>
              <w:widowControl w:val="0"/>
              <w:jc w:val="both"/>
              <w:rPr>
                <w:snapToGrid w:val="0"/>
                <w:color w:val="000000"/>
                <w:sz w:val="16"/>
              </w:rPr>
            </w:pPr>
          </w:p>
        </w:tc>
        <w:tc>
          <w:tcPr>
            <w:tcW w:w="1163" w:type="dxa"/>
            <w:tcBorders>
              <w:top w:val="single" w:sz="6" w:space="0" w:color="auto"/>
              <w:left w:val="single" w:sz="6" w:space="0" w:color="auto"/>
              <w:bottom w:val="single" w:sz="6" w:space="0" w:color="auto"/>
              <w:right w:val="single" w:sz="6" w:space="0" w:color="auto"/>
            </w:tcBorders>
          </w:tcPr>
          <w:p w14:paraId="62B2E8D4" w14:textId="77777777" w:rsidR="00CE3FDE" w:rsidRPr="00DD2185" w:rsidRDefault="00CE3FDE" w:rsidP="00883ED1">
            <w:pPr>
              <w:widowControl w:val="0"/>
              <w:jc w:val="both"/>
              <w:rPr>
                <w:snapToGrid w:val="0"/>
                <w:color w:val="000000"/>
                <w:sz w:val="16"/>
              </w:rPr>
            </w:pPr>
          </w:p>
        </w:tc>
        <w:tc>
          <w:tcPr>
            <w:tcW w:w="1163" w:type="dxa"/>
            <w:tcBorders>
              <w:top w:val="single" w:sz="6" w:space="0" w:color="auto"/>
              <w:left w:val="single" w:sz="6" w:space="0" w:color="auto"/>
              <w:bottom w:val="single" w:sz="6" w:space="0" w:color="auto"/>
              <w:right w:val="single" w:sz="6" w:space="0" w:color="auto"/>
            </w:tcBorders>
          </w:tcPr>
          <w:p w14:paraId="049B0A86" w14:textId="77777777" w:rsidR="00CE3FDE" w:rsidRPr="00DD2185" w:rsidRDefault="00CE3FDE" w:rsidP="00883ED1">
            <w:pPr>
              <w:widowControl w:val="0"/>
              <w:jc w:val="both"/>
              <w:rPr>
                <w:snapToGrid w:val="0"/>
                <w:color w:val="000000"/>
                <w:sz w:val="16"/>
              </w:rPr>
            </w:pPr>
          </w:p>
        </w:tc>
        <w:tc>
          <w:tcPr>
            <w:tcW w:w="1856" w:type="dxa"/>
            <w:tcBorders>
              <w:top w:val="single" w:sz="6" w:space="0" w:color="auto"/>
              <w:left w:val="single" w:sz="6" w:space="0" w:color="auto"/>
              <w:bottom w:val="single" w:sz="6" w:space="0" w:color="auto"/>
              <w:right w:val="single" w:sz="6" w:space="0" w:color="auto"/>
            </w:tcBorders>
          </w:tcPr>
          <w:p w14:paraId="4AEF73AC" w14:textId="77777777" w:rsidR="00CE3FDE" w:rsidRPr="00DD2185" w:rsidRDefault="00CE3FDE" w:rsidP="00883ED1">
            <w:pPr>
              <w:widowControl w:val="0"/>
              <w:jc w:val="both"/>
              <w:rPr>
                <w:snapToGrid w:val="0"/>
                <w:color w:val="000000"/>
                <w:sz w:val="16"/>
              </w:rPr>
            </w:pPr>
          </w:p>
        </w:tc>
      </w:tr>
      <w:tr w:rsidR="00CE3FDE" w:rsidRPr="00DD2185" w14:paraId="662C47E7" w14:textId="77777777" w:rsidTr="00DD2185">
        <w:trPr>
          <w:trHeight w:val="50"/>
          <w:jc w:val="center"/>
        </w:trPr>
        <w:tc>
          <w:tcPr>
            <w:tcW w:w="259" w:type="dxa"/>
            <w:tcBorders>
              <w:top w:val="single" w:sz="6" w:space="0" w:color="auto"/>
              <w:left w:val="single" w:sz="6" w:space="0" w:color="auto"/>
              <w:bottom w:val="single" w:sz="6" w:space="0" w:color="auto"/>
              <w:right w:val="single" w:sz="6" w:space="0" w:color="auto"/>
            </w:tcBorders>
          </w:tcPr>
          <w:p w14:paraId="1DF4F666" w14:textId="77777777" w:rsidR="00CE3FDE" w:rsidRPr="00DD2185" w:rsidRDefault="00CE3FDE" w:rsidP="00883ED1">
            <w:pPr>
              <w:widowControl w:val="0"/>
              <w:jc w:val="both"/>
              <w:rPr>
                <w:snapToGrid w:val="0"/>
                <w:color w:val="000000"/>
                <w:sz w:val="16"/>
              </w:rPr>
            </w:pPr>
            <w:r w:rsidRPr="00DD2185">
              <w:rPr>
                <w:snapToGrid w:val="0"/>
                <w:color w:val="000000"/>
                <w:sz w:val="16"/>
              </w:rPr>
              <w:t>3</w:t>
            </w:r>
          </w:p>
        </w:tc>
        <w:tc>
          <w:tcPr>
            <w:tcW w:w="3259" w:type="dxa"/>
            <w:tcBorders>
              <w:top w:val="single" w:sz="6" w:space="0" w:color="auto"/>
              <w:left w:val="single" w:sz="6" w:space="0" w:color="auto"/>
              <w:bottom w:val="single" w:sz="6" w:space="0" w:color="auto"/>
              <w:right w:val="single" w:sz="6" w:space="0" w:color="auto"/>
            </w:tcBorders>
          </w:tcPr>
          <w:p w14:paraId="599D5822" w14:textId="77777777" w:rsidR="00CE3FDE" w:rsidRPr="00DD2185" w:rsidRDefault="00CE3FDE" w:rsidP="00883ED1">
            <w:pPr>
              <w:widowControl w:val="0"/>
              <w:jc w:val="both"/>
              <w:rPr>
                <w:snapToGrid w:val="0"/>
                <w:color w:val="000000"/>
                <w:sz w:val="16"/>
              </w:rPr>
            </w:pPr>
          </w:p>
        </w:tc>
        <w:tc>
          <w:tcPr>
            <w:tcW w:w="997" w:type="dxa"/>
            <w:tcBorders>
              <w:top w:val="single" w:sz="6" w:space="0" w:color="auto"/>
              <w:left w:val="single" w:sz="6" w:space="0" w:color="auto"/>
              <w:bottom w:val="single" w:sz="6" w:space="0" w:color="auto"/>
              <w:right w:val="single" w:sz="6" w:space="0" w:color="auto"/>
            </w:tcBorders>
          </w:tcPr>
          <w:p w14:paraId="044AE938" w14:textId="77777777" w:rsidR="00CE3FDE" w:rsidRPr="00DD2185" w:rsidRDefault="00CE3FDE" w:rsidP="00883ED1">
            <w:pPr>
              <w:widowControl w:val="0"/>
              <w:jc w:val="both"/>
              <w:rPr>
                <w:snapToGrid w:val="0"/>
                <w:color w:val="000000"/>
                <w:sz w:val="16"/>
              </w:rPr>
            </w:pPr>
          </w:p>
        </w:tc>
        <w:tc>
          <w:tcPr>
            <w:tcW w:w="1163" w:type="dxa"/>
            <w:tcBorders>
              <w:top w:val="single" w:sz="6" w:space="0" w:color="auto"/>
              <w:left w:val="single" w:sz="6" w:space="0" w:color="auto"/>
              <w:bottom w:val="single" w:sz="6" w:space="0" w:color="auto"/>
              <w:right w:val="single" w:sz="6" w:space="0" w:color="auto"/>
            </w:tcBorders>
          </w:tcPr>
          <w:p w14:paraId="48E1CD27" w14:textId="77777777" w:rsidR="00CE3FDE" w:rsidRPr="00DD2185" w:rsidRDefault="00CE3FDE" w:rsidP="00883ED1">
            <w:pPr>
              <w:widowControl w:val="0"/>
              <w:jc w:val="both"/>
              <w:rPr>
                <w:snapToGrid w:val="0"/>
                <w:color w:val="000000"/>
                <w:sz w:val="16"/>
              </w:rPr>
            </w:pPr>
          </w:p>
        </w:tc>
        <w:tc>
          <w:tcPr>
            <w:tcW w:w="1163" w:type="dxa"/>
            <w:tcBorders>
              <w:top w:val="single" w:sz="6" w:space="0" w:color="auto"/>
              <w:left w:val="single" w:sz="6" w:space="0" w:color="auto"/>
              <w:bottom w:val="single" w:sz="6" w:space="0" w:color="auto"/>
              <w:right w:val="single" w:sz="6" w:space="0" w:color="auto"/>
            </w:tcBorders>
          </w:tcPr>
          <w:p w14:paraId="198839C5" w14:textId="77777777" w:rsidR="00CE3FDE" w:rsidRPr="00DD2185" w:rsidRDefault="00CE3FDE" w:rsidP="00883ED1">
            <w:pPr>
              <w:widowControl w:val="0"/>
              <w:jc w:val="both"/>
              <w:rPr>
                <w:snapToGrid w:val="0"/>
                <w:color w:val="000000"/>
                <w:sz w:val="16"/>
              </w:rPr>
            </w:pPr>
          </w:p>
        </w:tc>
        <w:tc>
          <w:tcPr>
            <w:tcW w:w="1856" w:type="dxa"/>
            <w:tcBorders>
              <w:top w:val="single" w:sz="6" w:space="0" w:color="auto"/>
              <w:left w:val="single" w:sz="6" w:space="0" w:color="auto"/>
              <w:bottom w:val="single" w:sz="6" w:space="0" w:color="auto"/>
              <w:right w:val="single" w:sz="6" w:space="0" w:color="auto"/>
            </w:tcBorders>
          </w:tcPr>
          <w:p w14:paraId="1A1D03ED" w14:textId="77777777" w:rsidR="00CE3FDE" w:rsidRPr="00DD2185" w:rsidRDefault="00CE3FDE" w:rsidP="00883ED1">
            <w:pPr>
              <w:widowControl w:val="0"/>
              <w:jc w:val="both"/>
              <w:rPr>
                <w:snapToGrid w:val="0"/>
                <w:color w:val="000000"/>
                <w:sz w:val="16"/>
              </w:rPr>
            </w:pPr>
          </w:p>
        </w:tc>
      </w:tr>
      <w:tr w:rsidR="00CE3FDE" w:rsidRPr="00DD2185" w14:paraId="15747846" w14:textId="77777777" w:rsidTr="00DD2185">
        <w:trPr>
          <w:trHeight w:val="50"/>
          <w:jc w:val="center"/>
        </w:trPr>
        <w:tc>
          <w:tcPr>
            <w:tcW w:w="259" w:type="dxa"/>
            <w:tcBorders>
              <w:top w:val="single" w:sz="6" w:space="0" w:color="auto"/>
              <w:left w:val="single" w:sz="6" w:space="0" w:color="auto"/>
              <w:bottom w:val="single" w:sz="6" w:space="0" w:color="auto"/>
              <w:right w:val="single" w:sz="6" w:space="0" w:color="auto"/>
            </w:tcBorders>
          </w:tcPr>
          <w:p w14:paraId="4BCF5A95" w14:textId="77777777" w:rsidR="00CE3FDE" w:rsidRPr="00DD2185" w:rsidRDefault="00CE3FDE" w:rsidP="00883ED1">
            <w:pPr>
              <w:widowControl w:val="0"/>
              <w:jc w:val="both"/>
              <w:rPr>
                <w:snapToGrid w:val="0"/>
                <w:color w:val="000000"/>
                <w:sz w:val="16"/>
              </w:rPr>
            </w:pPr>
            <w:r w:rsidRPr="00DD2185">
              <w:rPr>
                <w:snapToGrid w:val="0"/>
                <w:color w:val="000000"/>
                <w:sz w:val="16"/>
              </w:rPr>
              <w:t>4</w:t>
            </w:r>
          </w:p>
        </w:tc>
        <w:tc>
          <w:tcPr>
            <w:tcW w:w="3259" w:type="dxa"/>
            <w:tcBorders>
              <w:top w:val="single" w:sz="6" w:space="0" w:color="auto"/>
              <w:left w:val="single" w:sz="6" w:space="0" w:color="auto"/>
              <w:bottom w:val="single" w:sz="6" w:space="0" w:color="auto"/>
              <w:right w:val="single" w:sz="6" w:space="0" w:color="auto"/>
            </w:tcBorders>
          </w:tcPr>
          <w:p w14:paraId="6CD2F505" w14:textId="77777777" w:rsidR="00CE3FDE" w:rsidRPr="00DD2185" w:rsidRDefault="00CE3FDE" w:rsidP="00883ED1">
            <w:pPr>
              <w:widowControl w:val="0"/>
              <w:jc w:val="both"/>
              <w:rPr>
                <w:snapToGrid w:val="0"/>
                <w:color w:val="000000"/>
                <w:sz w:val="16"/>
              </w:rPr>
            </w:pPr>
          </w:p>
        </w:tc>
        <w:tc>
          <w:tcPr>
            <w:tcW w:w="997" w:type="dxa"/>
            <w:tcBorders>
              <w:top w:val="single" w:sz="6" w:space="0" w:color="auto"/>
              <w:left w:val="single" w:sz="6" w:space="0" w:color="auto"/>
              <w:bottom w:val="single" w:sz="6" w:space="0" w:color="auto"/>
              <w:right w:val="single" w:sz="6" w:space="0" w:color="auto"/>
            </w:tcBorders>
          </w:tcPr>
          <w:p w14:paraId="740EBA6C" w14:textId="77777777" w:rsidR="00CE3FDE" w:rsidRPr="00DD2185" w:rsidRDefault="00CE3FDE" w:rsidP="00883ED1">
            <w:pPr>
              <w:widowControl w:val="0"/>
              <w:jc w:val="both"/>
              <w:rPr>
                <w:snapToGrid w:val="0"/>
                <w:color w:val="000000"/>
                <w:sz w:val="16"/>
              </w:rPr>
            </w:pPr>
          </w:p>
        </w:tc>
        <w:tc>
          <w:tcPr>
            <w:tcW w:w="1163" w:type="dxa"/>
            <w:tcBorders>
              <w:top w:val="single" w:sz="6" w:space="0" w:color="auto"/>
              <w:left w:val="single" w:sz="6" w:space="0" w:color="auto"/>
              <w:bottom w:val="single" w:sz="6" w:space="0" w:color="auto"/>
              <w:right w:val="single" w:sz="6" w:space="0" w:color="auto"/>
            </w:tcBorders>
          </w:tcPr>
          <w:p w14:paraId="7412B9F1" w14:textId="77777777" w:rsidR="00CE3FDE" w:rsidRPr="00DD2185" w:rsidRDefault="00CE3FDE" w:rsidP="00883ED1">
            <w:pPr>
              <w:widowControl w:val="0"/>
              <w:jc w:val="both"/>
              <w:rPr>
                <w:snapToGrid w:val="0"/>
                <w:color w:val="000000"/>
                <w:sz w:val="16"/>
              </w:rPr>
            </w:pPr>
          </w:p>
        </w:tc>
        <w:tc>
          <w:tcPr>
            <w:tcW w:w="1163" w:type="dxa"/>
            <w:tcBorders>
              <w:top w:val="single" w:sz="6" w:space="0" w:color="auto"/>
              <w:left w:val="single" w:sz="6" w:space="0" w:color="auto"/>
              <w:bottom w:val="single" w:sz="6" w:space="0" w:color="auto"/>
              <w:right w:val="single" w:sz="6" w:space="0" w:color="auto"/>
            </w:tcBorders>
          </w:tcPr>
          <w:p w14:paraId="0D74445F" w14:textId="77777777" w:rsidR="00CE3FDE" w:rsidRPr="00DD2185" w:rsidRDefault="00CE3FDE" w:rsidP="00883ED1">
            <w:pPr>
              <w:widowControl w:val="0"/>
              <w:jc w:val="both"/>
              <w:rPr>
                <w:snapToGrid w:val="0"/>
                <w:color w:val="000000"/>
                <w:sz w:val="16"/>
              </w:rPr>
            </w:pPr>
          </w:p>
        </w:tc>
        <w:tc>
          <w:tcPr>
            <w:tcW w:w="1856" w:type="dxa"/>
            <w:tcBorders>
              <w:top w:val="single" w:sz="6" w:space="0" w:color="auto"/>
              <w:left w:val="single" w:sz="6" w:space="0" w:color="auto"/>
              <w:bottom w:val="single" w:sz="6" w:space="0" w:color="auto"/>
              <w:right w:val="single" w:sz="6" w:space="0" w:color="auto"/>
            </w:tcBorders>
          </w:tcPr>
          <w:p w14:paraId="406FA0B1" w14:textId="77777777" w:rsidR="00CE3FDE" w:rsidRPr="00DD2185" w:rsidRDefault="00CE3FDE" w:rsidP="00883ED1">
            <w:pPr>
              <w:widowControl w:val="0"/>
              <w:jc w:val="both"/>
              <w:rPr>
                <w:snapToGrid w:val="0"/>
                <w:color w:val="000000"/>
                <w:sz w:val="16"/>
              </w:rPr>
            </w:pPr>
          </w:p>
        </w:tc>
      </w:tr>
      <w:tr w:rsidR="00CE3FDE" w:rsidRPr="00DD2185" w14:paraId="1C9BDF70" w14:textId="77777777" w:rsidTr="00DD2185">
        <w:trPr>
          <w:trHeight w:val="50"/>
          <w:jc w:val="center"/>
        </w:trPr>
        <w:tc>
          <w:tcPr>
            <w:tcW w:w="259" w:type="dxa"/>
            <w:tcBorders>
              <w:top w:val="single" w:sz="6" w:space="0" w:color="auto"/>
              <w:left w:val="single" w:sz="6" w:space="0" w:color="auto"/>
              <w:bottom w:val="single" w:sz="6" w:space="0" w:color="auto"/>
              <w:right w:val="single" w:sz="6" w:space="0" w:color="auto"/>
            </w:tcBorders>
          </w:tcPr>
          <w:p w14:paraId="3036E455" w14:textId="77777777" w:rsidR="00CE3FDE" w:rsidRPr="00DD2185" w:rsidRDefault="00CE3FDE" w:rsidP="00883ED1">
            <w:pPr>
              <w:widowControl w:val="0"/>
              <w:jc w:val="both"/>
              <w:rPr>
                <w:snapToGrid w:val="0"/>
                <w:color w:val="000000"/>
                <w:sz w:val="16"/>
              </w:rPr>
            </w:pPr>
            <w:r w:rsidRPr="00DD2185">
              <w:rPr>
                <w:snapToGrid w:val="0"/>
                <w:color w:val="000000"/>
                <w:sz w:val="16"/>
              </w:rPr>
              <w:t>5</w:t>
            </w:r>
          </w:p>
        </w:tc>
        <w:tc>
          <w:tcPr>
            <w:tcW w:w="3259" w:type="dxa"/>
            <w:tcBorders>
              <w:top w:val="single" w:sz="6" w:space="0" w:color="auto"/>
              <w:left w:val="single" w:sz="6" w:space="0" w:color="auto"/>
              <w:bottom w:val="single" w:sz="6" w:space="0" w:color="auto"/>
              <w:right w:val="single" w:sz="6" w:space="0" w:color="auto"/>
            </w:tcBorders>
          </w:tcPr>
          <w:p w14:paraId="44E24E9F" w14:textId="77777777" w:rsidR="00CE3FDE" w:rsidRPr="00DD2185" w:rsidRDefault="00CE3FDE" w:rsidP="00883ED1">
            <w:pPr>
              <w:widowControl w:val="0"/>
              <w:jc w:val="both"/>
              <w:rPr>
                <w:snapToGrid w:val="0"/>
                <w:color w:val="000000"/>
                <w:sz w:val="16"/>
              </w:rPr>
            </w:pPr>
          </w:p>
        </w:tc>
        <w:tc>
          <w:tcPr>
            <w:tcW w:w="997" w:type="dxa"/>
            <w:tcBorders>
              <w:top w:val="single" w:sz="6" w:space="0" w:color="auto"/>
              <w:left w:val="single" w:sz="6" w:space="0" w:color="auto"/>
              <w:bottom w:val="single" w:sz="6" w:space="0" w:color="auto"/>
              <w:right w:val="single" w:sz="6" w:space="0" w:color="auto"/>
            </w:tcBorders>
          </w:tcPr>
          <w:p w14:paraId="38EEF703" w14:textId="77777777" w:rsidR="00CE3FDE" w:rsidRPr="00DD2185" w:rsidRDefault="00CE3FDE" w:rsidP="00883ED1">
            <w:pPr>
              <w:widowControl w:val="0"/>
              <w:jc w:val="both"/>
              <w:rPr>
                <w:snapToGrid w:val="0"/>
                <w:color w:val="000000"/>
                <w:sz w:val="16"/>
              </w:rPr>
            </w:pPr>
          </w:p>
        </w:tc>
        <w:tc>
          <w:tcPr>
            <w:tcW w:w="1163" w:type="dxa"/>
            <w:tcBorders>
              <w:top w:val="single" w:sz="6" w:space="0" w:color="auto"/>
              <w:left w:val="single" w:sz="6" w:space="0" w:color="auto"/>
              <w:bottom w:val="single" w:sz="6" w:space="0" w:color="auto"/>
              <w:right w:val="single" w:sz="6" w:space="0" w:color="auto"/>
            </w:tcBorders>
          </w:tcPr>
          <w:p w14:paraId="42871258" w14:textId="77777777" w:rsidR="00CE3FDE" w:rsidRPr="00DD2185" w:rsidRDefault="00CE3FDE" w:rsidP="00883ED1">
            <w:pPr>
              <w:widowControl w:val="0"/>
              <w:jc w:val="both"/>
              <w:rPr>
                <w:snapToGrid w:val="0"/>
                <w:color w:val="000000"/>
                <w:sz w:val="16"/>
              </w:rPr>
            </w:pPr>
          </w:p>
        </w:tc>
        <w:tc>
          <w:tcPr>
            <w:tcW w:w="1163" w:type="dxa"/>
            <w:tcBorders>
              <w:top w:val="single" w:sz="6" w:space="0" w:color="auto"/>
              <w:left w:val="single" w:sz="6" w:space="0" w:color="auto"/>
              <w:bottom w:val="single" w:sz="6" w:space="0" w:color="auto"/>
              <w:right w:val="single" w:sz="6" w:space="0" w:color="auto"/>
            </w:tcBorders>
          </w:tcPr>
          <w:p w14:paraId="52D79528" w14:textId="77777777" w:rsidR="00CE3FDE" w:rsidRPr="00DD2185" w:rsidRDefault="00CE3FDE" w:rsidP="00883ED1">
            <w:pPr>
              <w:widowControl w:val="0"/>
              <w:jc w:val="both"/>
              <w:rPr>
                <w:snapToGrid w:val="0"/>
                <w:color w:val="000000"/>
                <w:sz w:val="16"/>
              </w:rPr>
            </w:pPr>
          </w:p>
        </w:tc>
        <w:tc>
          <w:tcPr>
            <w:tcW w:w="1856" w:type="dxa"/>
            <w:tcBorders>
              <w:top w:val="single" w:sz="6" w:space="0" w:color="auto"/>
              <w:left w:val="single" w:sz="6" w:space="0" w:color="auto"/>
              <w:bottom w:val="single" w:sz="6" w:space="0" w:color="auto"/>
              <w:right w:val="single" w:sz="6" w:space="0" w:color="auto"/>
            </w:tcBorders>
          </w:tcPr>
          <w:p w14:paraId="3381FB8B" w14:textId="77777777" w:rsidR="00CE3FDE" w:rsidRPr="00DD2185" w:rsidRDefault="00CE3FDE" w:rsidP="00883ED1">
            <w:pPr>
              <w:widowControl w:val="0"/>
              <w:jc w:val="both"/>
              <w:rPr>
                <w:snapToGrid w:val="0"/>
                <w:color w:val="000000"/>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90"/>
      </w:tblGrid>
      <w:tr w:rsidR="00CE3FDE" w:rsidRPr="00DD2185" w14:paraId="7C5E83F4" w14:textId="77777777" w:rsidTr="00883ED1">
        <w:tc>
          <w:tcPr>
            <w:tcW w:w="9090" w:type="dxa"/>
            <w:tcMar>
              <w:right w:w="173" w:type="dxa"/>
            </w:tcMar>
          </w:tcPr>
          <w:p w14:paraId="22D77A4C" w14:textId="77777777" w:rsidR="00CE3FDE" w:rsidRPr="00DD2185" w:rsidRDefault="00CE3FDE" w:rsidP="00883ED1">
            <w:pPr>
              <w:widowControl w:val="0"/>
              <w:jc w:val="both"/>
              <w:rPr>
                <w:color w:val="000000"/>
                <w:u w:val="single"/>
              </w:rPr>
            </w:pPr>
          </w:p>
          <w:p w14:paraId="3F7B6856" w14:textId="77777777" w:rsidR="00CE3FDE" w:rsidRPr="00DD2185" w:rsidRDefault="00CE3FDE" w:rsidP="00883ED1">
            <w:pPr>
              <w:widowControl w:val="0"/>
              <w:jc w:val="both"/>
              <w:rPr>
                <w:bCs/>
                <w:color w:val="000000"/>
                <w:u w:val="single"/>
              </w:rPr>
            </w:pPr>
            <w:r w:rsidRPr="00DD2185">
              <w:rPr>
                <w:color w:val="000000"/>
                <w:u w:val="single"/>
              </w:rPr>
              <w:t>Materiály poskytnuté společností Pfizer</w:t>
            </w:r>
          </w:p>
        </w:tc>
      </w:tr>
      <w:tr w:rsidR="00CE3FDE" w:rsidRPr="00DD2185" w14:paraId="01D65715" w14:textId="77777777" w:rsidTr="00883ED1">
        <w:tc>
          <w:tcPr>
            <w:tcW w:w="9090" w:type="dxa"/>
            <w:tcMar>
              <w:right w:w="173" w:type="dxa"/>
            </w:tcMar>
          </w:tcPr>
          <w:p w14:paraId="50F92A3D" w14:textId="77777777" w:rsidR="00CE3FDE" w:rsidRPr="00DD2185" w:rsidRDefault="00CE3FDE" w:rsidP="00883ED1">
            <w:pPr>
              <w:widowControl w:val="0"/>
              <w:jc w:val="both"/>
              <w:rPr>
                <w:bCs/>
                <w:color w:val="000000"/>
              </w:rPr>
            </w:pPr>
          </w:p>
        </w:tc>
      </w:tr>
      <w:tr w:rsidR="00CE3FDE" w:rsidRPr="00DD2185" w14:paraId="61043333" w14:textId="77777777" w:rsidTr="00883ED1">
        <w:tc>
          <w:tcPr>
            <w:tcW w:w="9090" w:type="dxa"/>
            <w:tcMar>
              <w:right w:w="173" w:type="dxa"/>
            </w:tcMar>
          </w:tcPr>
          <w:p w14:paraId="16D769D8" w14:textId="41B68C35" w:rsidR="00CE3FDE" w:rsidRPr="00DD2185" w:rsidRDefault="00CE3FDE" w:rsidP="00883ED1">
            <w:pPr>
              <w:widowControl w:val="0"/>
              <w:jc w:val="both"/>
              <w:rPr>
                <w:bCs/>
                <w:color w:val="000000"/>
              </w:rPr>
            </w:pPr>
            <w:r w:rsidRPr="00DD2185">
              <w:rPr>
                <w:color w:val="000000"/>
              </w:rPr>
              <w:t xml:space="preserve">Společnost Pfizer poskytne chráněné materiály, jež jsou v jejím vlastnictví nebo na něž má licenci a jsou uvedeny níže („materiály společnosti </w:t>
            </w:r>
            <w:r w:rsidRPr="00DD2185">
              <w:t>Pfizer</w:t>
            </w:r>
            <w:r w:rsidRPr="00DD2185">
              <w:rPr>
                <w:color w:val="000000"/>
              </w:rPr>
              <w:t xml:space="preserve">“), pro použití </w:t>
            </w:r>
            <w:r w:rsidRPr="00DD2185">
              <w:t>hlavním zkoušejícím nebo</w:t>
            </w:r>
            <w:r w:rsidRPr="00DD2185">
              <w:rPr>
                <w:color w:val="000000"/>
              </w:rPr>
              <w:t xml:space="preserve"> zdravotnickým zařízením v rámci provádění studie nebo vytváření zpráv studie.</w:t>
            </w:r>
          </w:p>
        </w:tc>
      </w:tr>
      <w:tr w:rsidR="00CE3FDE" w:rsidRPr="00DD2185" w14:paraId="50F424A5" w14:textId="77777777" w:rsidTr="00883ED1">
        <w:tc>
          <w:tcPr>
            <w:tcW w:w="9090" w:type="dxa"/>
            <w:tcMar>
              <w:right w:w="173" w:type="dxa"/>
            </w:tcMar>
          </w:tcPr>
          <w:p w14:paraId="792D110D" w14:textId="77777777" w:rsidR="00CE3FDE" w:rsidRPr="00DD2185" w:rsidRDefault="00CE3FDE" w:rsidP="00883ED1">
            <w:pPr>
              <w:widowControl w:val="0"/>
              <w:jc w:val="both"/>
              <w:rPr>
                <w:bCs/>
                <w:color w:val="000000"/>
              </w:rPr>
            </w:pPr>
          </w:p>
        </w:tc>
      </w:tr>
      <w:tr w:rsidR="00CE3FDE" w:rsidRPr="00DD2185" w14:paraId="374065CF" w14:textId="77777777" w:rsidTr="00883ED1">
        <w:tc>
          <w:tcPr>
            <w:tcW w:w="9090" w:type="dxa"/>
            <w:tcMar>
              <w:right w:w="173" w:type="dxa"/>
            </w:tcMar>
          </w:tcPr>
          <w:p w14:paraId="412EB0C6" w14:textId="77777777" w:rsidR="00CE3FDE" w:rsidRPr="00DD2185" w:rsidRDefault="00CE3FDE" w:rsidP="00883ED1">
            <w:pPr>
              <w:widowControl w:val="0"/>
              <w:jc w:val="both"/>
              <w:rPr>
                <w:bCs/>
                <w:color w:val="000000"/>
              </w:rPr>
            </w:pPr>
            <w:r w:rsidRPr="00DD2185">
              <w:rPr>
                <w:color w:val="000000"/>
              </w:rPr>
              <w:t xml:space="preserve">Dodané materiály: </w:t>
            </w:r>
            <w:r w:rsidRPr="00DD2185">
              <w:rPr>
                <w:b/>
                <w:color w:val="000000"/>
              </w:rPr>
              <w:t>ŽÁDNÉ</w:t>
            </w:r>
          </w:p>
        </w:tc>
      </w:tr>
      <w:tr w:rsidR="00CE3FDE" w:rsidRPr="00DD2185" w14:paraId="44C85AD7" w14:textId="77777777" w:rsidTr="00883ED1">
        <w:tc>
          <w:tcPr>
            <w:tcW w:w="9090" w:type="dxa"/>
            <w:tcMar>
              <w:right w:w="173" w:type="dxa"/>
            </w:tcMar>
          </w:tcPr>
          <w:p w14:paraId="3C8E93C9" w14:textId="77777777" w:rsidR="00CE3FDE" w:rsidRPr="00DD2185" w:rsidRDefault="00CE3FDE" w:rsidP="00883ED1">
            <w:pPr>
              <w:widowControl w:val="0"/>
              <w:jc w:val="both"/>
              <w:rPr>
                <w:bCs/>
                <w:color w:val="000000"/>
              </w:rPr>
            </w:pPr>
          </w:p>
        </w:tc>
      </w:tr>
      <w:tr w:rsidR="00CE3FDE" w:rsidRPr="00DD2185" w14:paraId="3AA385EF" w14:textId="77777777" w:rsidTr="00883ED1">
        <w:tc>
          <w:tcPr>
            <w:tcW w:w="9090" w:type="dxa"/>
            <w:tcMar>
              <w:right w:w="173" w:type="dxa"/>
            </w:tcMar>
          </w:tcPr>
          <w:p w14:paraId="5551B542" w14:textId="77777777" w:rsidR="00CE3FDE" w:rsidRPr="00DD2185" w:rsidRDefault="00CE3FDE" w:rsidP="00883ED1">
            <w:pPr>
              <w:pStyle w:val="Heading4"/>
              <w:keepNext w:val="0"/>
              <w:widowControl w:val="0"/>
              <w:jc w:val="both"/>
              <w:outlineLvl w:val="3"/>
              <w:rPr>
                <w:rFonts w:ascii="Times New Roman" w:hAnsi="Times New Roman" w:cs="Times New Roman"/>
                <w:b w:val="0"/>
                <w:i w:val="0"/>
                <w:u w:val="single"/>
              </w:rPr>
            </w:pPr>
            <w:r w:rsidRPr="00DD2185">
              <w:rPr>
                <w:rFonts w:ascii="Times New Roman" w:hAnsi="Times New Roman" w:cs="Times New Roman"/>
                <w:b w:val="0"/>
                <w:bCs w:val="0"/>
                <w:i w:val="0"/>
                <w:iCs w:val="0"/>
                <w:color w:val="auto"/>
                <w:u w:val="single"/>
              </w:rPr>
              <w:t>Povolené použití vybavení společnosti Pfizer a materiálů společnosti Pfizer</w:t>
            </w:r>
          </w:p>
        </w:tc>
      </w:tr>
      <w:tr w:rsidR="00CE3FDE" w:rsidRPr="00DD2185" w14:paraId="33E3B796" w14:textId="77777777" w:rsidTr="00883ED1">
        <w:tc>
          <w:tcPr>
            <w:tcW w:w="9090" w:type="dxa"/>
            <w:tcMar>
              <w:right w:w="173" w:type="dxa"/>
            </w:tcMar>
          </w:tcPr>
          <w:p w14:paraId="2E55FD50" w14:textId="77777777" w:rsidR="00CE3FDE" w:rsidRPr="00DD2185" w:rsidRDefault="00CE3FDE" w:rsidP="00883ED1">
            <w:pPr>
              <w:widowControl w:val="0"/>
              <w:jc w:val="both"/>
              <w:rPr>
                <w:bCs/>
                <w:color w:val="000000"/>
                <w:u w:val="single"/>
              </w:rPr>
            </w:pPr>
          </w:p>
        </w:tc>
      </w:tr>
      <w:tr w:rsidR="00CE3FDE" w:rsidRPr="00DD2185" w14:paraId="1824DA62" w14:textId="77777777" w:rsidTr="00883ED1">
        <w:tc>
          <w:tcPr>
            <w:tcW w:w="9090" w:type="dxa"/>
            <w:tcMar>
              <w:right w:w="173" w:type="dxa"/>
            </w:tcMar>
          </w:tcPr>
          <w:p w14:paraId="4206C0F2" w14:textId="77777777" w:rsidR="00CE3FDE" w:rsidRPr="00DD2185" w:rsidRDefault="00CE3FDE" w:rsidP="00883ED1">
            <w:pPr>
              <w:widowControl w:val="0"/>
              <w:jc w:val="both"/>
              <w:rPr>
                <w:bCs/>
                <w:i/>
                <w:iCs/>
                <w:color w:val="000000"/>
              </w:rPr>
            </w:pPr>
            <w:r w:rsidRPr="00DD2185">
              <w:t>Hlavní zkoušející a</w:t>
            </w:r>
            <w:r w:rsidRPr="00DD2185">
              <w:rPr>
                <w:color w:val="000000"/>
              </w:rPr>
              <w:t xml:space="preserve"> zdravotnické zařízení může použít vybavení společnosti </w:t>
            </w:r>
            <w:r w:rsidRPr="00DD2185">
              <w:t>Pfizer</w:t>
            </w:r>
            <w:r w:rsidRPr="00DD2185">
              <w:rPr>
                <w:color w:val="000000"/>
              </w:rPr>
              <w:t xml:space="preserve"> a materiály společnosti </w:t>
            </w:r>
            <w:r w:rsidRPr="00DD2185">
              <w:t>Pfizer</w:t>
            </w:r>
            <w:r w:rsidRPr="00DD2185">
              <w:rPr>
                <w:color w:val="000000"/>
              </w:rPr>
              <w:t xml:space="preserve"> pouze pro účely této studie. </w:t>
            </w:r>
          </w:p>
        </w:tc>
      </w:tr>
      <w:tr w:rsidR="00CE3FDE" w:rsidRPr="00DD2185" w14:paraId="581C8954" w14:textId="77777777" w:rsidTr="00883ED1">
        <w:tc>
          <w:tcPr>
            <w:tcW w:w="9090" w:type="dxa"/>
            <w:tcMar>
              <w:right w:w="173" w:type="dxa"/>
            </w:tcMar>
          </w:tcPr>
          <w:p w14:paraId="58DAAC9B" w14:textId="77777777" w:rsidR="00CE3FDE" w:rsidRPr="00DD2185" w:rsidRDefault="00CE3FDE" w:rsidP="00883ED1">
            <w:pPr>
              <w:widowControl w:val="0"/>
              <w:jc w:val="both"/>
              <w:rPr>
                <w:bCs/>
                <w:i/>
                <w:iCs/>
                <w:color w:val="000000"/>
              </w:rPr>
            </w:pPr>
          </w:p>
        </w:tc>
      </w:tr>
      <w:tr w:rsidR="00CE3FDE" w:rsidRPr="00DD2185" w14:paraId="320024A9" w14:textId="77777777" w:rsidTr="00883ED1">
        <w:tc>
          <w:tcPr>
            <w:tcW w:w="9090" w:type="dxa"/>
            <w:tcMar>
              <w:right w:w="173" w:type="dxa"/>
            </w:tcMar>
          </w:tcPr>
          <w:p w14:paraId="59CD3F3E" w14:textId="77777777" w:rsidR="00CE3FDE" w:rsidRPr="00DD2185" w:rsidRDefault="00CE3FDE" w:rsidP="00883ED1">
            <w:pPr>
              <w:pStyle w:val="Heading4"/>
              <w:keepNext w:val="0"/>
              <w:widowControl w:val="0"/>
              <w:jc w:val="both"/>
              <w:outlineLvl w:val="3"/>
              <w:rPr>
                <w:rFonts w:ascii="Times New Roman" w:hAnsi="Times New Roman" w:cs="Times New Roman"/>
              </w:rPr>
            </w:pPr>
            <w:r w:rsidRPr="00DD2185">
              <w:rPr>
                <w:rFonts w:ascii="Times New Roman" w:hAnsi="Times New Roman" w:cs="Times New Roman"/>
                <w:b w:val="0"/>
                <w:bCs w:val="0"/>
                <w:i w:val="0"/>
                <w:iCs w:val="0"/>
                <w:color w:val="auto"/>
                <w:u w:val="single"/>
              </w:rPr>
              <w:t xml:space="preserve">Nakládání s vybavením společnosti </w:t>
            </w:r>
            <w:r w:rsidRPr="00DD2185">
              <w:rPr>
                <w:rFonts w:ascii="Times New Roman" w:hAnsi="Times New Roman" w:cs="Times New Roman"/>
                <w:b w:val="0"/>
                <w:i w:val="0"/>
                <w:iCs w:val="0"/>
                <w:color w:val="auto"/>
                <w:u w:val="single"/>
              </w:rPr>
              <w:t>Pfizer</w:t>
            </w:r>
            <w:r w:rsidRPr="00DD2185">
              <w:rPr>
                <w:rFonts w:ascii="Times New Roman" w:hAnsi="Times New Roman" w:cs="Times New Roman"/>
                <w:b w:val="0"/>
                <w:bCs w:val="0"/>
                <w:i w:val="0"/>
                <w:iCs w:val="0"/>
                <w:color w:val="auto"/>
                <w:u w:val="single"/>
              </w:rPr>
              <w:t xml:space="preserve"> a materiály společnosti Pfizer</w:t>
            </w:r>
          </w:p>
        </w:tc>
      </w:tr>
      <w:tr w:rsidR="00CE3FDE" w:rsidRPr="00DD2185" w14:paraId="5A38B924" w14:textId="77777777" w:rsidTr="00883ED1">
        <w:tc>
          <w:tcPr>
            <w:tcW w:w="9090" w:type="dxa"/>
            <w:tcMar>
              <w:right w:w="173" w:type="dxa"/>
            </w:tcMar>
          </w:tcPr>
          <w:p w14:paraId="4A8B39E4" w14:textId="77777777" w:rsidR="00CE3FDE" w:rsidRPr="00DD2185" w:rsidRDefault="00CE3FDE" w:rsidP="00883ED1">
            <w:pPr>
              <w:widowControl w:val="0"/>
              <w:jc w:val="both"/>
              <w:rPr>
                <w:bCs/>
                <w:color w:val="000000"/>
                <w:u w:val="single"/>
              </w:rPr>
            </w:pPr>
          </w:p>
        </w:tc>
      </w:tr>
      <w:tr w:rsidR="00CE3FDE" w:rsidRPr="00DD2185" w14:paraId="6719ADE6" w14:textId="77777777" w:rsidTr="00883ED1">
        <w:tc>
          <w:tcPr>
            <w:tcW w:w="9090" w:type="dxa"/>
            <w:tcMar>
              <w:right w:w="173" w:type="dxa"/>
            </w:tcMar>
          </w:tcPr>
          <w:p w14:paraId="4D2387B3" w14:textId="77777777" w:rsidR="00CE3FDE" w:rsidRPr="00DD2185" w:rsidRDefault="00CE3FDE" w:rsidP="00883ED1">
            <w:pPr>
              <w:pStyle w:val="BodyText2"/>
              <w:widowControl w:val="0"/>
              <w:spacing w:after="0" w:line="240" w:lineRule="auto"/>
              <w:jc w:val="both"/>
              <w:rPr>
                <w:i/>
                <w:iCs/>
                <w:color w:val="0000FF"/>
              </w:rPr>
            </w:pPr>
          </w:p>
        </w:tc>
      </w:tr>
      <w:tr w:rsidR="00CE3FDE" w:rsidRPr="00DD2185" w14:paraId="7FD1CCB7" w14:textId="77777777" w:rsidTr="00883ED1">
        <w:tc>
          <w:tcPr>
            <w:tcW w:w="9090" w:type="dxa"/>
            <w:tcMar>
              <w:right w:w="173" w:type="dxa"/>
            </w:tcMar>
          </w:tcPr>
          <w:p w14:paraId="5F314285" w14:textId="77777777" w:rsidR="00CE3FDE" w:rsidRPr="00DD2185" w:rsidRDefault="00CE3FDE" w:rsidP="00883ED1">
            <w:pPr>
              <w:pStyle w:val="BodyText2"/>
              <w:widowControl w:val="0"/>
              <w:spacing w:after="0" w:line="240" w:lineRule="auto"/>
              <w:jc w:val="both"/>
            </w:pPr>
            <w:r w:rsidRPr="00DD2185">
              <w:t xml:space="preserve">Strana, která obdržela a používala vybavení společnosti Pfizer a materiály společnosti Pfizer, po dokončení studie nebo v dřívějším termínu určeném společností Pfizer zajistí jejich vrácení společnosti Pfizer nebo na místo určené společností Pfizer, a to na náklady společnosti Pfizer. </w:t>
            </w:r>
          </w:p>
        </w:tc>
      </w:tr>
      <w:tr w:rsidR="00CE3FDE" w:rsidRPr="00DD2185" w14:paraId="6E7DD8F0" w14:textId="77777777" w:rsidTr="00883ED1">
        <w:tc>
          <w:tcPr>
            <w:tcW w:w="9090" w:type="dxa"/>
            <w:tcMar>
              <w:right w:w="173" w:type="dxa"/>
            </w:tcMar>
          </w:tcPr>
          <w:p w14:paraId="2EA797F8" w14:textId="77777777" w:rsidR="00CE3FDE" w:rsidRPr="00DD2185" w:rsidRDefault="00CE3FDE" w:rsidP="00883ED1">
            <w:pPr>
              <w:pStyle w:val="BodyText2"/>
              <w:widowControl w:val="0"/>
              <w:spacing w:after="0" w:line="240" w:lineRule="auto"/>
              <w:jc w:val="both"/>
            </w:pPr>
          </w:p>
        </w:tc>
      </w:tr>
      <w:tr w:rsidR="00CE3FDE" w:rsidRPr="00DD2185" w14:paraId="0D8EF26D" w14:textId="77777777" w:rsidTr="00883ED1">
        <w:tc>
          <w:tcPr>
            <w:tcW w:w="9090" w:type="dxa"/>
            <w:tcMar>
              <w:right w:w="173" w:type="dxa"/>
            </w:tcMar>
          </w:tcPr>
          <w:p w14:paraId="6CF852D7" w14:textId="77777777" w:rsidR="00CE3FDE" w:rsidRPr="00DD2185" w:rsidRDefault="00CE3FDE" w:rsidP="00883ED1">
            <w:pPr>
              <w:pStyle w:val="BodyText2"/>
              <w:widowControl w:val="0"/>
              <w:spacing w:after="0" w:line="240" w:lineRule="auto"/>
              <w:jc w:val="both"/>
            </w:pPr>
          </w:p>
        </w:tc>
      </w:tr>
      <w:tr w:rsidR="00CE3FDE" w:rsidRPr="00DD2185" w14:paraId="0175DEF5" w14:textId="77777777" w:rsidTr="00883ED1">
        <w:tc>
          <w:tcPr>
            <w:tcW w:w="9090" w:type="dxa"/>
            <w:tcMar>
              <w:right w:w="173" w:type="dxa"/>
            </w:tcMar>
          </w:tcPr>
          <w:p w14:paraId="3FF6FDDD" w14:textId="77777777" w:rsidR="00CE3FDE" w:rsidRPr="00DD2185" w:rsidRDefault="00CE3FDE" w:rsidP="00883ED1">
            <w:pPr>
              <w:pStyle w:val="BodyText2"/>
              <w:widowControl w:val="0"/>
              <w:spacing w:after="0" w:line="240" w:lineRule="auto"/>
              <w:jc w:val="both"/>
              <w:rPr>
                <w:u w:val="single"/>
              </w:rPr>
            </w:pPr>
            <w:r w:rsidRPr="00DD2185">
              <w:rPr>
                <w:b/>
                <w:bCs/>
                <w:u w:val="single"/>
              </w:rPr>
              <w:t>Vybavení nebo materiály poskytnuté dodavatelem</w:t>
            </w:r>
          </w:p>
        </w:tc>
      </w:tr>
      <w:tr w:rsidR="00CE3FDE" w:rsidRPr="00DD2185" w14:paraId="1B7CF02C" w14:textId="77777777" w:rsidTr="00883ED1">
        <w:tc>
          <w:tcPr>
            <w:tcW w:w="9090" w:type="dxa"/>
            <w:tcMar>
              <w:right w:w="173" w:type="dxa"/>
            </w:tcMar>
          </w:tcPr>
          <w:p w14:paraId="21F6FE0D" w14:textId="77777777" w:rsidR="00CE3FDE" w:rsidRPr="00DD2185" w:rsidRDefault="00CE3FDE" w:rsidP="00883ED1">
            <w:pPr>
              <w:pStyle w:val="BodyText2"/>
              <w:widowControl w:val="0"/>
              <w:spacing w:after="0" w:line="240" w:lineRule="auto"/>
              <w:jc w:val="both"/>
              <w:rPr>
                <w:u w:val="single"/>
              </w:rPr>
            </w:pPr>
          </w:p>
        </w:tc>
      </w:tr>
      <w:tr w:rsidR="00CE3FDE" w:rsidRPr="00DD2185" w14:paraId="34A5D045" w14:textId="77777777" w:rsidTr="00883ED1">
        <w:tc>
          <w:tcPr>
            <w:tcW w:w="9090" w:type="dxa"/>
            <w:tcMar>
              <w:right w:w="173" w:type="dxa"/>
            </w:tcMar>
          </w:tcPr>
          <w:p w14:paraId="231696D9" w14:textId="77777777" w:rsidR="00CE3FDE" w:rsidRPr="00DD2185" w:rsidRDefault="00CE3FDE" w:rsidP="00883ED1">
            <w:pPr>
              <w:pStyle w:val="BodyText2"/>
              <w:widowControl w:val="0"/>
              <w:spacing w:after="0" w:line="240" w:lineRule="auto"/>
              <w:jc w:val="both"/>
            </w:pPr>
            <w:r w:rsidRPr="00DD2185">
              <w:t xml:space="preserve">Společnost Pfizer zajistí, že dodavatel poskytne následující vybavení a chráněné materiály </w:t>
            </w:r>
            <w:r w:rsidRPr="00DD2185">
              <w:lastRenderedPageBreak/>
              <w:t>(„majetek dodavatele“) pro použití v této studii:</w:t>
            </w:r>
            <w:r w:rsidRPr="00DD2185">
              <w:rPr>
                <w:color w:val="000000"/>
              </w:rPr>
              <w:t xml:space="preserve"> </w:t>
            </w:r>
            <w:r w:rsidRPr="00DD2185">
              <w:rPr>
                <w:b/>
                <w:color w:val="000000"/>
              </w:rPr>
              <w:t>ŽÁDNÉ</w:t>
            </w:r>
          </w:p>
        </w:tc>
      </w:tr>
      <w:tr w:rsidR="00CE3FDE" w:rsidRPr="00DD2185" w14:paraId="55C85704" w14:textId="77777777" w:rsidTr="00883ED1">
        <w:trPr>
          <w:trHeight w:val="243"/>
        </w:trPr>
        <w:tc>
          <w:tcPr>
            <w:tcW w:w="9090" w:type="dxa"/>
            <w:tcMar>
              <w:right w:w="173" w:type="dxa"/>
            </w:tcMar>
          </w:tcPr>
          <w:p w14:paraId="5833C98F" w14:textId="77777777" w:rsidR="00CE3FDE" w:rsidRPr="00DD2185" w:rsidRDefault="00CE3FDE" w:rsidP="00883ED1">
            <w:pPr>
              <w:pStyle w:val="BodyText2"/>
              <w:widowControl w:val="0"/>
              <w:spacing w:after="0" w:line="240" w:lineRule="auto"/>
              <w:jc w:val="both"/>
            </w:pPr>
          </w:p>
        </w:tc>
      </w:tr>
      <w:tr w:rsidR="00CE3FDE" w:rsidRPr="00DD2185" w14:paraId="1A09FF9E" w14:textId="77777777" w:rsidTr="00883ED1">
        <w:tc>
          <w:tcPr>
            <w:tcW w:w="9090" w:type="dxa"/>
            <w:tcMar>
              <w:right w:w="173" w:type="dxa"/>
            </w:tcMar>
          </w:tcPr>
          <w:p w14:paraId="01BF115E" w14:textId="77777777" w:rsidR="00CE3FDE" w:rsidRPr="00DD2185" w:rsidRDefault="00CE3FDE" w:rsidP="00883ED1">
            <w:pPr>
              <w:pStyle w:val="BodyText2"/>
              <w:widowControl w:val="0"/>
              <w:spacing w:after="0" w:line="240" w:lineRule="auto"/>
              <w:jc w:val="both"/>
              <w:rPr>
                <w:b/>
                <w:bCs/>
                <w:u w:val="single"/>
              </w:rPr>
            </w:pPr>
            <w:r w:rsidRPr="00DD2185">
              <w:rPr>
                <w:b/>
                <w:bCs/>
                <w:u w:val="single"/>
              </w:rPr>
              <w:t>Vlastnictví, povinnosti a odpovědnost</w:t>
            </w:r>
          </w:p>
        </w:tc>
      </w:tr>
      <w:tr w:rsidR="00CE3FDE" w:rsidRPr="00DD2185" w14:paraId="751D0A61" w14:textId="77777777" w:rsidTr="00883ED1">
        <w:tc>
          <w:tcPr>
            <w:tcW w:w="9090" w:type="dxa"/>
            <w:tcMar>
              <w:right w:w="173" w:type="dxa"/>
            </w:tcMar>
          </w:tcPr>
          <w:p w14:paraId="0CA01A49" w14:textId="77777777" w:rsidR="00CE3FDE" w:rsidRPr="00DD2185" w:rsidRDefault="00CE3FDE" w:rsidP="00883ED1">
            <w:pPr>
              <w:pStyle w:val="BodyText2"/>
              <w:widowControl w:val="0"/>
              <w:spacing w:after="0" w:line="240" w:lineRule="auto"/>
              <w:jc w:val="both"/>
              <w:rPr>
                <w:bCs/>
              </w:rPr>
            </w:pPr>
          </w:p>
        </w:tc>
      </w:tr>
      <w:tr w:rsidR="00CE3FDE" w:rsidRPr="00DD2185" w14:paraId="6286F81C" w14:textId="77777777" w:rsidTr="00883ED1">
        <w:tc>
          <w:tcPr>
            <w:tcW w:w="9090" w:type="dxa"/>
            <w:tcMar>
              <w:right w:w="173" w:type="dxa"/>
            </w:tcMar>
          </w:tcPr>
          <w:p w14:paraId="76241D5A" w14:textId="593977D9" w:rsidR="00CE3FDE" w:rsidRPr="00DD2185" w:rsidRDefault="00CE3FDE" w:rsidP="00883ED1">
            <w:pPr>
              <w:widowControl w:val="0"/>
              <w:jc w:val="both"/>
            </w:pPr>
            <w:proofErr w:type="spellStart"/>
            <w:r w:rsidRPr="00DD2185">
              <w:rPr>
                <w:u w:val="single"/>
              </w:rPr>
              <w:t>Vlastnictví</w:t>
            </w:r>
            <w:r w:rsidRPr="00DD2185">
              <w:t>.Vybavení</w:t>
            </w:r>
            <w:proofErr w:type="spellEnd"/>
            <w:r w:rsidRPr="00DD2185">
              <w:t xml:space="preserve"> společnosti Pfizer, materiály společnosti Pfizer a majetek dodavatele jsou a zůstanou vlastnictvím společnosti Pfizer, dodavatele nebo případně poskytovatele licence.</w:t>
            </w:r>
          </w:p>
        </w:tc>
      </w:tr>
      <w:tr w:rsidR="00CE3FDE" w:rsidRPr="00DD2185" w14:paraId="0333C074" w14:textId="77777777" w:rsidTr="00883ED1">
        <w:tc>
          <w:tcPr>
            <w:tcW w:w="9090" w:type="dxa"/>
            <w:tcMar>
              <w:right w:w="173" w:type="dxa"/>
            </w:tcMar>
          </w:tcPr>
          <w:p w14:paraId="6EE93218" w14:textId="77777777" w:rsidR="00CE3FDE" w:rsidRPr="00DD2185" w:rsidRDefault="00CE3FDE" w:rsidP="00883ED1">
            <w:pPr>
              <w:widowControl w:val="0"/>
              <w:jc w:val="both"/>
            </w:pPr>
          </w:p>
        </w:tc>
      </w:tr>
      <w:tr w:rsidR="00CE3FDE" w:rsidRPr="00DD2185" w14:paraId="6366ED85" w14:textId="77777777" w:rsidTr="00883ED1">
        <w:tc>
          <w:tcPr>
            <w:tcW w:w="9090" w:type="dxa"/>
            <w:tcMar>
              <w:right w:w="173" w:type="dxa"/>
            </w:tcMar>
          </w:tcPr>
          <w:p w14:paraId="736ACDD2" w14:textId="700E4F00" w:rsidR="00CE3FDE" w:rsidRPr="00DD2185" w:rsidRDefault="00CE3FDE" w:rsidP="00883ED1">
            <w:pPr>
              <w:widowControl w:val="0"/>
              <w:jc w:val="both"/>
            </w:pPr>
            <w:proofErr w:type="spellStart"/>
            <w:r w:rsidRPr="00DD2185">
              <w:rPr>
                <w:u w:val="single"/>
              </w:rPr>
              <w:t>Povinnosti</w:t>
            </w:r>
            <w:r w:rsidRPr="00DD2185">
              <w:t>.Strana</w:t>
            </w:r>
            <w:proofErr w:type="spellEnd"/>
            <w:r w:rsidRPr="00DD2185">
              <w:t xml:space="preserve">, která je obdrží a bude je používat, ponese riziko ztráty či poškození vybavení společnosti Pfizer, materiálů společnosti Pfizer a majetku </w:t>
            </w:r>
            <w:proofErr w:type="spellStart"/>
            <w:r w:rsidRPr="00DD2185">
              <w:t>dodavatele.Pokud</w:t>
            </w:r>
            <w:proofErr w:type="spellEnd"/>
            <w:r w:rsidRPr="00DD2185">
              <w:t xml:space="preserve"> bude muset být v průběhu studie společností Pfizer či dodavatelem provedena výměna jakéhokoli vybavení společnosti Pfizer, materiálů společnosti Pfizer nebo majetku dodavatele v důsledku ztráty či poškození stranou této smlouvy, společnost Pfizer si vyhrazuje právo odečíst své náklady na výměnu z budoucích plateb k financování studie. </w:t>
            </w:r>
          </w:p>
        </w:tc>
      </w:tr>
      <w:tr w:rsidR="00CE3FDE" w:rsidRPr="00DD2185" w14:paraId="33D59AC4" w14:textId="77777777" w:rsidTr="00883ED1">
        <w:tc>
          <w:tcPr>
            <w:tcW w:w="9090" w:type="dxa"/>
            <w:tcMar>
              <w:right w:w="173" w:type="dxa"/>
            </w:tcMar>
          </w:tcPr>
          <w:p w14:paraId="7EB2FE60" w14:textId="77777777" w:rsidR="00CE3FDE" w:rsidRPr="00DD2185" w:rsidRDefault="00CE3FDE" w:rsidP="00883ED1">
            <w:pPr>
              <w:widowControl w:val="0"/>
              <w:jc w:val="both"/>
            </w:pPr>
          </w:p>
        </w:tc>
      </w:tr>
      <w:tr w:rsidR="00CE3FDE" w:rsidRPr="00DD2185" w14:paraId="09CD1077" w14:textId="77777777" w:rsidTr="00883ED1">
        <w:tc>
          <w:tcPr>
            <w:tcW w:w="9090" w:type="dxa"/>
            <w:tcMar>
              <w:right w:w="173" w:type="dxa"/>
            </w:tcMar>
          </w:tcPr>
          <w:p w14:paraId="249F2EA4" w14:textId="6FF996A7" w:rsidR="00CE3FDE" w:rsidRPr="00DD2185" w:rsidRDefault="00CE3FDE" w:rsidP="00883ED1">
            <w:pPr>
              <w:widowControl w:val="0"/>
              <w:jc w:val="both"/>
            </w:pPr>
            <w:proofErr w:type="spellStart"/>
            <w:r w:rsidRPr="00DD2185">
              <w:rPr>
                <w:u w:val="single"/>
              </w:rPr>
              <w:t>Odpovědnost</w:t>
            </w:r>
            <w:r w:rsidRPr="00DD2185">
              <w:t>.Společnost</w:t>
            </w:r>
            <w:proofErr w:type="spellEnd"/>
            <w:r w:rsidRPr="00DD2185">
              <w:t xml:space="preserve"> Pfizer nenese odpovědnost za žádný druh škod, včetně újmy na zdraví a majetkových škod vzniklých v důsledku použití vybavení společnosti Pfizer, materiálů společnosti Pfizer nebo majetku dodavatele kromě případů, kdy (1) takové škody byly způsobeny nedbalostí či záměrným pochybením společnosti Pfizer nebo dodavatele, nebo kdy (2) je újma na zdraví újmou na zdraví související s výzkumem, kterou utrpí subjekt hodnocení tak, jak je popsáno ve článku 16 této smlouvy.</w:t>
            </w:r>
          </w:p>
        </w:tc>
      </w:tr>
    </w:tbl>
    <w:p w14:paraId="2417745F" w14:textId="77777777" w:rsidR="00B16AEB" w:rsidRPr="00DD2185" w:rsidRDefault="00B16AEB" w:rsidP="00F45488">
      <w:pPr>
        <w:spacing w:after="200" w:line="276" w:lineRule="auto"/>
        <w:jc w:val="both"/>
      </w:pPr>
      <w:r w:rsidRPr="00DD218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90"/>
      </w:tblGrid>
      <w:tr w:rsidR="00B16AEB" w:rsidRPr="00DD2185" w14:paraId="2BF8A3BB" w14:textId="77777777" w:rsidTr="00F45488">
        <w:tc>
          <w:tcPr>
            <w:tcW w:w="9026" w:type="dxa"/>
            <w:tcMar>
              <w:right w:w="173" w:type="dxa"/>
            </w:tcMar>
          </w:tcPr>
          <w:p w14:paraId="32D83867" w14:textId="77777777" w:rsidR="00B16AEB" w:rsidRPr="00DD2185" w:rsidRDefault="00B16AEB" w:rsidP="00DD2185">
            <w:pPr>
              <w:widowControl w:val="0"/>
              <w:jc w:val="center"/>
              <w:rPr>
                <w:b/>
              </w:rPr>
            </w:pPr>
            <w:r w:rsidRPr="00DD2185">
              <w:rPr>
                <w:b/>
              </w:rPr>
              <w:lastRenderedPageBreak/>
              <w:t>Příloha C</w:t>
            </w:r>
          </w:p>
        </w:tc>
      </w:tr>
      <w:tr w:rsidR="00B16AEB" w:rsidRPr="00DD2185" w14:paraId="3C6A8A16" w14:textId="77777777" w:rsidTr="00F45488">
        <w:tc>
          <w:tcPr>
            <w:tcW w:w="9026" w:type="dxa"/>
            <w:tcMar>
              <w:right w:w="173" w:type="dxa"/>
            </w:tcMar>
          </w:tcPr>
          <w:p w14:paraId="7CAE0E61" w14:textId="39423BFA" w:rsidR="00B16AEB" w:rsidRPr="00DD2185" w:rsidRDefault="00B16AEB" w:rsidP="00DD2185">
            <w:pPr>
              <w:widowControl w:val="0"/>
              <w:jc w:val="center"/>
              <w:rPr>
                <w:b/>
              </w:rPr>
            </w:pPr>
            <w:r w:rsidRPr="00DD2185">
              <w:rPr>
                <w:b/>
              </w:rPr>
              <w:t>MEZINÁRODNÍ PROTIÚPLATKÁŘSKÉ A PROTIKORUPČNÍ</w:t>
            </w:r>
          </w:p>
        </w:tc>
      </w:tr>
      <w:tr w:rsidR="00B16AEB" w:rsidRPr="00DD2185" w14:paraId="632D46C1" w14:textId="77777777" w:rsidTr="00F45488">
        <w:tc>
          <w:tcPr>
            <w:tcW w:w="9026" w:type="dxa"/>
            <w:tcMar>
              <w:right w:w="173" w:type="dxa"/>
            </w:tcMar>
          </w:tcPr>
          <w:p w14:paraId="5E404894" w14:textId="3D03C701" w:rsidR="00B16AEB" w:rsidRPr="00DD2185" w:rsidRDefault="00B16AEB" w:rsidP="00DD2185">
            <w:pPr>
              <w:widowControl w:val="0"/>
              <w:jc w:val="center"/>
              <w:rPr>
                <w:b/>
              </w:rPr>
            </w:pPr>
            <w:r w:rsidRPr="00DD2185">
              <w:rPr>
                <w:b/>
              </w:rPr>
              <w:t>ZÁSADY SPOLEČNOSTI PFIZER</w:t>
            </w:r>
          </w:p>
        </w:tc>
      </w:tr>
      <w:tr w:rsidR="00B16AEB" w:rsidRPr="00DD2185" w14:paraId="37172CCA" w14:textId="77777777" w:rsidTr="00F45488">
        <w:tc>
          <w:tcPr>
            <w:tcW w:w="9026" w:type="dxa"/>
            <w:tcMar>
              <w:right w:w="173" w:type="dxa"/>
            </w:tcMar>
          </w:tcPr>
          <w:p w14:paraId="5B005704" w14:textId="77777777" w:rsidR="00B16AEB" w:rsidRPr="00DD2185" w:rsidRDefault="00B16AEB" w:rsidP="00F45488">
            <w:pPr>
              <w:widowControl w:val="0"/>
              <w:jc w:val="both"/>
            </w:pPr>
          </w:p>
        </w:tc>
      </w:tr>
      <w:tr w:rsidR="00B16AEB" w:rsidRPr="00DD2185" w14:paraId="0F637E44" w14:textId="77777777" w:rsidTr="00F45488">
        <w:tc>
          <w:tcPr>
            <w:tcW w:w="9026" w:type="dxa"/>
            <w:tcMar>
              <w:right w:w="173" w:type="dxa"/>
            </w:tcMar>
          </w:tcPr>
          <w:p w14:paraId="0F1E1049" w14:textId="77777777" w:rsidR="00B16AEB" w:rsidRPr="00DD2185" w:rsidRDefault="00B16AEB" w:rsidP="00F45488">
            <w:pPr>
              <w:widowControl w:val="0"/>
              <w:autoSpaceDE w:val="0"/>
              <w:autoSpaceDN w:val="0"/>
              <w:adjustRightInd w:val="0"/>
              <w:jc w:val="both"/>
              <w:rPr>
                <w:color w:val="000000"/>
              </w:rPr>
            </w:pPr>
            <w:r w:rsidRPr="00DD2185">
              <w:rPr>
                <w:color w:val="000000"/>
              </w:rPr>
              <w:t xml:space="preserve">Společnost Pfizer dlouhodobě prosazuje firemní politiku zakazující úplatky a korupci při obchodní činnosti v USA i v zahraničí. Společnost Pfizer se zavázala vykonávat svou obchodní činnost čestným, etickým a zákonným způsobem v souladu se všemi platnými zákony a předpisy. Stejný závazek očekáváme od našich poradců, zmocněnců, zástupců nebo dalších společností či fyzických osob jednajících naším jménem (dále jen „obchodní partneři“), i od osob jednajících jménem těchto obchodních partnerů (např. subdodavatelé) v souvislosti s prací vykonávanou pro společnost Pfizer. </w:t>
            </w:r>
          </w:p>
        </w:tc>
      </w:tr>
      <w:tr w:rsidR="00B16AEB" w:rsidRPr="00DD2185" w14:paraId="617D8E1C" w14:textId="77777777" w:rsidTr="00F45488">
        <w:tc>
          <w:tcPr>
            <w:tcW w:w="9026" w:type="dxa"/>
            <w:tcMar>
              <w:right w:w="173" w:type="dxa"/>
            </w:tcMar>
          </w:tcPr>
          <w:p w14:paraId="76EF9D96" w14:textId="77777777" w:rsidR="00B16AEB" w:rsidRPr="00DD2185" w:rsidRDefault="00B16AEB" w:rsidP="00F45488">
            <w:pPr>
              <w:widowControl w:val="0"/>
              <w:autoSpaceDE w:val="0"/>
              <w:autoSpaceDN w:val="0"/>
              <w:adjustRightInd w:val="0"/>
              <w:jc w:val="both"/>
              <w:rPr>
                <w:color w:val="000000"/>
              </w:rPr>
            </w:pPr>
          </w:p>
        </w:tc>
      </w:tr>
      <w:tr w:rsidR="00B16AEB" w:rsidRPr="00DD2185" w14:paraId="27A4DC70" w14:textId="77777777" w:rsidTr="00F45488">
        <w:tc>
          <w:tcPr>
            <w:tcW w:w="9026" w:type="dxa"/>
            <w:tcMar>
              <w:right w:w="173" w:type="dxa"/>
            </w:tcMar>
          </w:tcPr>
          <w:p w14:paraId="28C1A35D" w14:textId="77777777" w:rsidR="00B16AEB" w:rsidRPr="00DD2185" w:rsidRDefault="00B16AEB" w:rsidP="00F45488">
            <w:pPr>
              <w:widowControl w:val="0"/>
              <w:autoSpaceDE w:val="0"/>
              <w:autoSpaceDN w:val="0"/>
              <w:adjustRightInd w:val="0"/>
              <w:spacing w:after="180"/>
              <w:jc w:val="both"/>
              <w:rPr>
                <w:b/>
                <w:bCs/>
                <w:i/>
                <w:iCs/>
                <w:color w:val="000000"/>
              </w:rPr>
            </w:pPr>
            <w:r w:rsidRPr="00DD2185">
              <w:rPr>
                <w:b/>
                <w:bCs/>
                <w:i/>
                <w:iCs/>
                <w:color w:val="000000"/>
              </w:rPr>
              <w:t>Uplácení úředních osob</w:t>
            </w:r>
          </w:p>
        </w:tc>
      </w:tr>
      <w:tr w:rsidR="00B16AEB" w:rsidRPr="00DD2185" w14:paraId="505E614F" w14:textId="77777777" w:rsidTr="00F45488">
        <w:tc>
          <w:tcPr>
            <w:tcW w:w="9026" w:type="dxa"/>
            <w:tcMar>
              <w:right w:w="173" w:type="dxa"/>
            </w:tcMar>
          </w:tcPr>
          <w:p w14:paraId="7AA96A42" w14:textId="77777777" w:rsidR="00B16AEB" w:rsidRPr="00DD2185" w:rsidRDefault="00B16AEB" w:rsidP="00F45488">
            <w:pPr>
              <w:widowControl w:val="0"/>
              <w:autoSpaceDE w:val="0"/>
              <w:autoSpaceDN w:val="0"/>
              <w:adjustRightInd w:val="0"/>
              <w:jc w:val="both"/>
              <w:rPr>
                <w:color w:val="000000"/>
              </w:rPr>
            </w:pPr>
            <w:r w:rsidRPr="00DD2185">
              <w:rPr>
                <w:color w:val="000000"/>
              </w:rPr>
              <w:t>Ve většině států existují zákony zakazující (přímé či nepřímé) poskytování, nabízení nebo slibování jakýchkoli finančních částek nebo jiných hodnotných věcí úředním osobám s cílem ovlivnit úřední úkony či rozhodnutí pro získání či udržení určité obchodní příležitosti.</w:t>
            </w:r>
          </w:p>
        </w:tc>
      </w:tr>
      <w:tr w:rsidR="00B16AEB" w:rsidRPr="00DD2185" w14:paraId="43D3DA19" w14:textId="77777777" w:rsidTr="00F45488">
        <w:tc>
          <w:tcPr>
            <w:tcW w:w="9026" w:type="dxa"/>
            <w:tcMar>
              <w:right w:w="173" w:type="dxa"/>
            </w:tcMar>
          </w:tcPr>
          <w:p w14:paraId="4FC7ECCA" w14:textId="77777777" w:rsidR="00B16AEB" w:rsidRPr="00DD2185" w:rsidRDefault="00B16AEB" w:rsidP="00F45488">
            <w:pPr>
              <w:widowControl w:val="0"/>
              <w:autoSpaceDE w:val="0"/>
              <w:autoSpaceDN w:val="0"/>
              <w:adjustRightInd w:val="0"/>
              <w:jc w:val="both"/>
              <w:rPr>
                <w:color w:val="000000"/>
              </w:rPr>
            </w:pPr>
          </w:p>
        </w:tc>
      </w:tr>
      <w:tr w:rsidR="00B16AEB" w:rsidRPr="00DD2185" w14:paraId="366B8D45" w14:textId="77777777" w:rsidTr="00F45488">
        <w:tc>
          <w:tcPr>
            <w:tcW w:w="9026" w:type="dxa"/>
            <w:tcMar>
              <w:right w:w="173" w:type="dxa"/>
            </w:tcMar>
          </w:tcPr>
          <w:p w14:paraId="3162CD52" w14:textId="77777777" w:rsidR="00B16AEB" w:rsidRPr="00DD2185" w:rsidRDefault="00B16AEB" w:rsidP="00F45488">
            <w:pPr>
              <w:widowControl w:val="0"/>
              <w:autoSpaceDE w:val="0"/>
              <w:autoSpaceDN w:val="0"/>
              <w:adjustRightInd w:val="0"/>
              <w:jc w:val="both"/>
              <w:rPr>
                <w:color w:val="000000"/>
              </w:rPr>
            </w:pPr>
            <w:r w:rsidRPr="00DD2185">
              <w:rPr>
                <w:color w:val="000000"/>
              </w:rPr>
              <w:t>Pojem „úřední osoba“ je vykládán v širokém smyslu a zahrnuje:</w:t>
            </w:r>
          </w:p>
        </w:tc>
      </w:tr>
      <w:tr w:rsidR="00B16AEB" w:rsidRPr="00DD2185" w14:paraId="35B198B3" w14:textId="77777777" w:rsidTr="00F45488">
        <w:tc>
          <w:tcPr>
            <w:tcW w:w="9026" w:type="dxa"/>
            <w:tcMar>
              <w:right w:w="173" w:type="dxa"/>
            </w:tcMar>
          </w:tcPr>
          <w:p w14:paraId="571758AC" w14:textId="77777777" w:rsidR="00B16AEB" w:rsidRPr="00DD2185" w:rsidRDefault="00B16AEB" w:rsidP="00F45488">
            <w:pPr>
              <w:widowControl w:val="0"/>
              <w:autoSpaceDE w:val="0"/>
              <w:autoSpaceDN w:val="0"/>
              <w:adjustRightInd w:val="0"/>
              <w:jc w:val="both"/>
              <w:rPr>
                <w:color w:val="000000"/>
              </w:rPr>
            </w:pPr>
          </w:p>
        </w:tc>
      </w:tr>
      <w:tr w:rsidR="00B16AEB" w:rsidRPr="00DD2185" w14:paraId="08077E80" w14:textId="77777777" w:rsidTr="00F45488">
        <w:tc>
          <w:tcPr>
            <w:tcW w:w="9026" w:type="dxa"/>
            <w:tcMar>
              <w:right w:w="173" w:type="dxa"/>
            </w:tcMar>
          </w:tcPr>
          <w:p w14:paraId="793BD92D"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(i)</w:t>
            </w:r>
            <w:r w:rsidRPr="00DD2185">
              <w:rPr>
                <w:color w:val="000000"/>
              </w:rPr>
              <w:tab/>
              <w:t xml:space="preserve">každou volenou nebo jmenovanou úřední osobu (např. zákonodárce nebo pracovníka vládního ministerstva); </w:t>
            </w:r>
          </w:p>
        </w:tc>
      </w:tr>
      <w:tr w:rsidR="00B16AEB" w:rsidRPr="00DD2185" w14:paraId="079F444F" w14:textId="77777777" w:rsidTr="00F45488">
        <w:tc>
          <w:tcPr>
            <w:tcW w:w="9026" w:type="dxa"/>
            <w:tcMar>
              <w:right w:w="173" w:type="dxa"/>
            </w:tcMar>
          </w:tcPr>
          <w:p w14:paraId="228C9E3D"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w:t>
            </w:r>
            <w:proofErr w:type="spellStart"/>
            <w:r w:rsidRPr="00DD2185">
              <w:rPr>
                <w:color w:val="000000"/>
              </w:rPr>
              <w:t>ii</w:t>
            </w:r>
            <w:proofErr w:type="spellEnd"/>
            <w:r w:rsidRPr="00DD2185">
              <w:rPr>
                <w:color w:val="000000"/>
              </w:rPr>
              <w:t>)</w:t>
            </w:r>
            <w:r w:rsidRPr="00DD2185">
              <w:rPr>
                <w:color w:val="000000"/>
              </w:rPr>
              <w:tab/>
              <w:t>každého zaměstnance nebo osobu jednající jménem nebo z pověření úřední osoby, vládního orgánu nebo podniku, který vykonává vládní funkci nebo který je vlastněn či řízen státem (např. zdravotnický pracovník zaměstnaný ve státní nemocnici nebo výzkumný pracovník zaměstnaný na státní univerzitě);</w:t>
            </w:r>
          </w:p>
        </w:tc>
      </w:tr>
      <w:tr w:rsidR="00B16AEB" w:rsidRPr="00DD2185" w14:paraId="6475191F" w14:textId="77777777" w:rsidTr="00F45488">
        <w:tc>
          <w:tcPr>
            <w:tcW w:w="9026" w:type="dxa"/>
            <w:tcMar>
              <w:right w:w="173" w:type="dxa"/>
            </w:tcMar>
          </w:tcPr>
          <w:p w14:paraId="040C3C61"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w:t>
            </w:r>
            <w:proofErr w:type="spellStart"/>
            <w:r w:rsidRPr="00DD2185">
              <w:rPr>
                <w:color w:val="000000"/>
              </w:rPr>
              <w:t>iii</w:t>
            </w:r>
            <w:proofErr w:type="spellEnd"/>
            <w:r w:rsidRPr="00DD2185">
              <w:rPr>
                <w:color w:val="000000"/>
              </w:rPr>
              <w:t>)</w:t>
            </w:r>
            <w:r w:rsidRPr="00DD2185">
              <w:rPr>
                <w:color w:val="000000"/>
              </w:rPr>
              <w:tab/>
              <w:t>každého představitele politické strany, kandidáta na veřejnou funkci, úředníka, zaměstnance nebo osobu jednající jménem nebo z pověření politické strany nebo kandidáta na veřejnou funkci;</w:t>
            </w:r>
          </w:p>
        </w:tc>
      </w:tr>
      <w:tr w:rsidR="00B16AEB" w:rsidRPr="00DD2185" w14:paraId="06ED159E" w14:textId="77777777" w:rsidTr="00F45488">
        <w:tc>
          <w:tcPr>
            <w:tcW w:w="9026" w:type="dxa"/>
            <w:tcMar>
              <w:right w:w="173" w:type="dxa"/>
            </w:tcMar>
          </w:tcPr>
          <w:p w14:paraId="7B51A9D4"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w:t>
            </w:r>
            <w:proofErr w:type="spellStart"/>
            <w:r w:rsidRPr="00DD2185">
              <w:rPr>
                <w:color w:val="000000"/>
              </w:rPr>
              <w:t>iv</w:t>
            </w:r>
            <w:proofErr w:type="spellEnd"/>
            <w:r w:rsidRPr="00DD2185">
              <w:rPr>
                <w:color w:val="000000"/>
              </w:rPr>
              <w:t>)</w:t>
            </w:r>
            <w:r w:rsidRPr="00DD2185">
              <w:rPr>
                <w:color w:val="000000"/>
              </w:rPr>
              <w:tab/>
              <w:t>každého zaměstnance nebo osobu jednající jménem nebo z pověření veřejné mezinárodní organizace;</w:t>
            </w:r>
          </w:p>
        </w:tc>
      </w:tr>
      <w:tr w:rsidR="00B16AEB" w:rsidRPr="00DD2185" w14:paraId="005A4AEA" w14:textId="77777777" w:rsidTr="00F45488">
        <w:tc>
          <w:tcPr>
            <w:tcW w:w="9026" w:type="dxa"/>
            <w:tcMar>
              <w:right w:w="173" w:type="dxa"/>
            </w:tcMar>
          </w:tcPr>
          <w:p w14:paraId="5062FB94"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(v)</w:t>
            </w:r>
            <w:r w:rsidRPr="00DD2185">
              <w:rPr>
                <w:color w:val="000000"/>
              </w:rPr>
              <w:tab/>
              <w:t>každého člena královské rodiny nebo příslušníka ozbrojených sil; a</w:t>
            </w:r>
          </w:p>
        </w:tc>
      </w:tr>
      <w:tr w:rsidR="00B16AEB" w:rsidRPr="00DD2185" w14:paraId="3828F3F2" w14:textId="77777777" w:rsidTr="00F45488">
        <w:tc>
          <w:tcPr>
            <w:tcW w:w="9026" w:type="dxa"/>
            <w:tcMar>
              <w:right w:w="173" w:type="dxa"/>
            </w:tcMar>
          </w:tcPr>
          <w:p w14:paraId="22F8A6EF"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w:t>
            </w:r>
            <w:proofErr w:type="spellStart"/>
            <w:r w:rsidRPr="00DD2185">
              <w:rPr>
                <w:color w:val="000000"/>
              </w:rPr>
              <w:t>vi</w:t>
            </w:r>
            <w:proofErr w:type="spellEnd"/>
            <w:r w:rsidRPr="00DD2185">
              <w:rPr>
                <w:color w:val="000000"/>
              </w:rPr>
              <w:t>)</w:t>
            </w:r>
            <w:r w:rsidRPr="00DD2185">
              <w:rPr>
                <w:color w:val="000000"/>
              </w:rPr>
              <w:tab/>
              <w:t xml:space="preserve"> každou osobu jinak dle zákona považovanou za úřední osobu.</w:t>
            </w:r>
          </w:p>
        </w:tc>
      </w:tr>
      <w:tr w:rsidR="00B16AEB" w:rsidRPr="00DD2185" w14:paraId="653F2468" w14:textId="77777777" w:rsidTr="00F45488">
        <w:tc>
          <w:tcPr>
            <w:tcW w:w="9026" w:type="dxa"/>
            <w:tcMar>
              <w:right w:w="173" w:type="dxa"/>
            </w:tcMar>
          </w:tcPr>
          <w:p w14:paraId="162359F7" w14:textId="77777777" w:rsidR="00B16AEB" w:rsidRPr="00DD2185" w:rsidRDefault="00B16AEB" w:rsidP="00F45488">
            <w:pPr>
              <w:widowControl w:val="0"/>
              <w:autoSpaceDE w:val="0"/>
              <w:autoSpaceDN w:val="0"/>
              <w:adjustRightInd w:val="0"/>
              <w:jc w:val="both"/>
              <w:rPr>
                <w:color w:val="000000"/>
              </w:rPr>
            </w:pPr>
            <w:r w:rsidRPr="00DD2185">
              <w:rPr>
                <w:color w:val="000000"/>
              </w:rPr>
              <w:t>Pojem „vláda“ v tomto kontextu zahrnuje všechny stupně a složky vlády (tj. orgány na místní, krajské i celostátní úrovni, a to správní, zákonodárné i výkonné).</w:t>
            </w:r>
          </w:p>
        </w:tc>
      </w:tr>
      <w:tr w:rsidR="00B16AEB" w:rsidRPr="00DD2185" w14:paraId="27BADE2C" w14:textId="77777777" w:rsidTr="00F45488">
        <w:tc>
          <w:tcPr>
            <w:tcW w:w="9026" w:type="dxa"/>
            <w:tcMar>
              <w:right w:w="173" w:type="dxa"/>
            </w:tcMar>
          </w:tcPr>
          <w:p w14:paraId="42649527" w14:textId="77777777" w:rsidR="00B16AEB" w:rsidRPr="00DD2185" w:rsidRDefault="00B16AEB" w:rsidP="00F45488">
            <w:pPr>
              <w:widowControl w:val="0"/>
              <w:autoSpaceDE w:val="0"/>
              <w:autoSpaceDN w:val="0"/>
              <w:adjustRightInd w:val="0"/>
              <w:jc w:val="both"/>
              <w:rPr>
                <w:color w:val="000000"/>
              </w:rPr>
            </w:pPr>
          </w:p>
        </w:tc>
      </w:tr>
      <w:tr w:rsidR="00B16AEB" w:rsidRPr="00DD2185" w14:paraId="1CC65528" w14:textId="77777777" w:rsidTr="00F45488">
        <w:tc>
          <w:tcPr>
            <w:tcW w:w="9026" w:type="dxa"/>
            <w:tcMar>
              <w:right w:w="173" w:type="dxa"/>
            </w:tcMar>
          </w:tcPr>
          <w:p w14:paraId="46EA1221" w14:textId="77777777" w:rsidR="00B16AEB" w:rsidRPr="00DD2185" w:rsidRDefault="00B16AEB" w:rsidP="00F45488">
            <w:pPr>
              <w:widowControl w:val="0"/>
              <w:autoSpaceDE w:val="0"/>
              <w:autoSpaceDN w:val="0"/>
              <w:adjustRightInd w:val="0"/>
              <w:jc w:val="both"/>
              <w:rPr>
                <w:color w:val="000000"/>
              </w:rPr>
            </w:pPr>
            <w:r w:rsidRPr="00DD2185">
              <w:rPr>
                <w:color w:val="000000"/>
              </w:rPr>
              <w:t>Vzhledem k širokému pojetí definice úřední osoby je pravděpodobné, že obchodní partneři budou v rámci své obvyklé činnosti pro společnost Pfizer s úředními osobami běžně jednat. Například lékaři zaměstnaní ve státních nemocnicích jsou podle zásad společnosti Pfizer považováni za úřední osoby.</w:t>
            </w:r>
          </w:p>
        </w:tc>
      </w:tr>
      <w:tr w:rsidR="00B16AEB" w:rsidRPr="00DD2185" w14:paraId="279DBB50" w14:textId="77777777" w:rsidTr="00F45488">
        <w:tc>
          <w:tcPr>
            <w:tcW w:w="9026" w:type="dxa"/>
            <w:tcMar>
              <w:right w:w="173" w:type="dxa"/>
            </w:tcMar>
          </w:tcPr>
          <w:p w14:paraId="7FBD98D9" w14:textId="77777777" w:rsidR="00B16AEB" w:rsidRPr="00DD2185" w:rsidRDefault="00B16AEB" w:rsidP="00F45488">
            <w:pPr>
              <w:widowControl w:val="0"/>
              <w:autoSpaceDE w:val="0"/>
              <w:autoSpaceDN w:val="0"/>
              <w:adjustRightInd w:val="0"/>
              <w:jc w:val="both"/>
              <w:rPr>
                <w:color w:val="000000"/>
              </w:rPr>
            </w:pPr>
          </w:p>
        </w:tc>
      </w:tr>
      <w:tr w:rsidR="00B16AEB" w:rsidRPr="00DD2185" w14:paraId="33A11A75" w14:textId="77777777" w:rsidTr="00F45488">
        <w:tc>
          <w:tcPr>
            <w:tcW w:w="9026" w:type="dxa"/>
            <w:tcMar>
              <w:right w:w="173" w:type="dxa"/>
            </w:tcMar>
          </w:tcPr>
          <w:p w14:paraId="6927B6EA" w14:textId="77777777" w:rsidR="00B16AEB" w:rsidRPr="00DD2185" w:rsidRDefault="00B16AEB" w:rsidP="00F45488">
            <w:pPr>
              <w:widowControl w:val="0"/>
              <w:autoSpaceDE w:val="0"/>
              <w:autoSpaceDN w:val="0"/>
              <w:adjustRightInd w:val="0"/>
              <w:jc w:val="both"/>
              <w:rPr>
                <w:color w:val="000000"/>
              </w:rPr>
            </w:pPr>
            <w:r w:rsidRPr="00DD2185">
              <w:rPr>
                <w:color w:val="000000"/>
              </w:rPr>
              <w:t xml:space="preserve">Zákon USA o korupčních praktikách v zahraničí (dále jen „FCPA“) zakazuje poskytování, slibování nebo schvalování platby nebo poskytování čehokoli hodnotného úřední osobě jiného státu než USA za účelem nepřípustného nebo korupčního ovlivnění jednání nebo </w:t>
            </w:r>
            <w:r w:rsidRPr="00DD2185">
              <w:rPr>
                <w:color w:val="000000"/>
              </w:rPr>
              <w:lastRenderedPageBreak/>
              <w:t>rozhodování takovéto osoby s cílem pomoci společnosti získat nebo si udržet obchodní příležitost nebo získat jinou nepatřičnou výhodu. FCPA rovněž zakazuje společnostem či osobám využívat jiné společnosti nebo fyzické osoby k provádění kterékoli z takových aktivit. Společnost Pfizer je jako společnost registrovaná v USA povinna dodržovat ustanovení FCPA a může být volána k odpovědnosti za jednání, jehož se kdekoli na světě dopustí kterýkoli z jejích obchodních partnerů.</w:t>
            </w:r>
          </w:p>
        </w:tc>
      </w:tr>
      <w:tr w:rsidR="00B16AEB" w:rsidRPr="00DD2185" w14:paraId="5456E88F" w14:textId="77777777" w:rsidTr="00F45488">
        <w:tc>
          <w:tcPr>
            <w:tcW w:w="9026" w:type="dxa"/>
            <w:tcMar>
              <w:right w:w="173" w:type="dxa"/>
            </w:tcMar>
          </w:tcPr>
          <w:p w14:paraId="4680C01D" w14:textId="77777777" w:rsidR="00B16AEB" w:rsidRPr="00DD2185" w:rsidRDefault="00B16AEB" w:rsidP="00F45488">
            <w:pPr>
              <w:widowControl w:val="0"/>
              <w:autoSpaceDE w:val="0"/>
              <w:autoSpaceDN w:val="0"/>
              <w:adjustRightInd w:val="0"/>
              <w:jc w:val="both"/>
              <w:rPr>
                <w:color w:val="000000"/>
              </w:rPr>
            </w:pPr>
          </w:p>
        </w:tc>
      </w:tr>
      <w:tr w:rsidR="00B16AEB" w:rsidRPr="00DD2185" w14:paraId="06A18A93" w14:textId="77777777" w:rsidTr="00F45488">
        <w:tc>
          <w:tcPr>
            <w:tcW w:w="9026" w:type="dxa"/>
            <w:tcMar>
              <w:right w:w="173" w:type="dxa"/>
            </w:tcMar>
          </w:tcPr>
          <w:p w14:paraId="25248F7E" w14:textId="77777777" w:rsidR="00B16AEB" w:rsidRPr="00DD2185" w:rsidRDefault="00B16AEB" w:rsidP="00F45488">
            <w:pPr>
              <w:widowControl w:val="0"/>
              <w:autoSpaceDE w:val="0"/>
              <w:autoSpaceDN w:val="0"/>
              <w:adjustRightInd w:val="0"/>
              <w:jc w:val="both"/>
              <w:rPr>
                <w:b/>
                <w:bCs/>
                <w:color w:val="000000"/>
              </w:rPr>
            </w:pPr>
            <w:proofErr w:type="spellStart"/>
            <w:r w:rsidRPr="00DD2185">
              <w:rPr>
                <w:b/>
                <w:bCs/>
                <w:color w:val="000000"/>
              </w:rPr>
              <w:t>Protiúplatkářské</w:t>
            </w:r>
            <w:proofErr w:type="spellEnd"/>
            <w:r w:rsidRPr="00DD2185">
              <w:rPr>
                <w:b/>
                <w:bCs/>
                <w:color w:val="000000"/>
              </w:rPr>
              <w:t xml:space="preserve"> a protikorupční zásady upravující vztahy s vládami a úředními osobami</w:t>
            </w:r>
          </w:p>
        </w:tc>
      </w:tr>
      <w:tr w:rsidR="00B16AEB" w:rsidRPr="00DD2185" w14:paraId="0E8699BD" w14:textId="77777777" w:rsidTr="00F45488">
        <w:tc>
          <w:tcPr>
            <w:tcW w:w="9026" w:type="dxa"/>
            <w:tcMar>
              <w:right w:w="173" w:type="dxa"/>
            </w:tcMar>
          </w:tcPr>
          <w:p w14:paraId="7E4DECE9" w14:textId="77777777" w:rsidR="00B16AEB" w:rsidRPr="00DD2185" w:rsidRDefault="00B16AEB" w:rsidP="00F45488">
            <w:pPr>
              <w:widowControl w:val="0"/>
              <w:autoSpaceDE w:val="0"/>
              <w:autoSpaceDN w:val="0"/>
              <w:adjustRightInd w:val="0"/>
              <w:jc w:val="both"/>
              <w:rPr>
                <w:b/>
                <w:bCs/>
                <w:color w:val="000000"/>
              </w:rPr>
            </w:pPr>
          </w:p>
        </w:tc>
      </w:tr>
      <w:tr w:rsidR="00B16AEB" w:rsidRPr="00DD2185" w14:paraId="7D805F62" w14:textId="77777777" w:rsidTr="00F45488">
        <w:tc>
          <w:tcPr>
            <w:tcW w:w="9026" w:type="dxa"/>
            <w:tcMar>
              <w:right w:w="173" w:type="dxa"/>
            </w:tcMar>
          </w:tcPr>
          <w:p w14:paraId="5CC49B22" w14:textId="77777777" w:rsidR="00B16AEB" w:rsidRPr="00DD2185" w:rsidRDefault="00B16AEB" w:rsidP="00F45488">
            <w:pPr>
              <w:widowControl w:val="0"/>
              <w:autoSpaceDE w:val="0"/>
              <w:autoSpaceDN w:val="0"/>
              <w:adjustRightInd w:val="0"/>
              <w:jc w:val="both"/>
              <w:rPr>
                <w:color w:val="000000"/>
              </w:rPr>
            </w:pPr>
            <w:r w:rsidRPr="00DD2185">
              <w:rPr>
                <w:color w:val="000000"/>
              </w:rPr>
              <w:t>Obchodní partneři jsou povinni sdělovat a dodržovat následující zásady týkající se jejich interakce s vládami a úředními osobami:</w:t>
            </w:r>
          </w:p>
        </w:tc>
      </w:tr>
      <w:tr w:rsidR="00B16AEB" w:rsidRPr="00DD2185" w14:paraId="41109B5C" w14:textId="77777777" w:rsidTr="00F45488">
        <w:tc>
          <w:tcPr>
            <w:tcW w:w="9026" w:type="dxa"/>
            <w:tcMar>
              <w:right w:w="173" w:type="dxa"/>
            </w:tcMar>
          </w:tcPr>
          <w:p w14:paraId="40D8325B" w14:textId="77777777" w:rsidR="00B16AEB" w:rsidRPr="00DD2185" w:rsidRDefault="00B16AEB" w:rsidP="00F45488">
            <w:pPr>
              <w:widowControl w:val="0"/>
              <w:autoSpaceDE w:val="0"/>
              <w:autoSpaceDN w:val="0"/>
              <w:adjustRightInd w:val="0"/>
              <w:jc w:val="both"/>
              <w:rPr>
                <w:color w:val="000000"/>
              </w:rPr>
            </w:pPr>
          </w:p>
        </w:tc>
      </w:tr>
      <w:tr w:rsidR="00B16AEB" w:rsidRPr="00DD2185" w14:paraId="645DB24C" w14:textId="77777777" w:rsidTr="00F45488">
        <w:tc>
          <w:tcPr>
            <w:tcW w:w="9026" w:type="dxa"/>
            <w:tcMar>
              <w:right w:w="173" w:type="dxa"/>
            </w:tcMar>
          </w:tcPr>
          <w:p w14:paraId="3524EB25"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 xml:space="preserve">• </w:t>
            </w:r>
            <w:r w:rsidRPr="00DD2185">
              <w:rPr>
                <w:color w:val="000000"/>
              </w:rPr>
              <w:tab/>
              <w:t>obchodní partneři a osoby jednající jejich jménem v souvislosti s prací pro společnost Pfizer nesmí přímo ani nepřímo provést, slíbit ani schválit vyplacení jakékoli korupční platby nebo poskytnutí čehokoli hodnotného kterékoli úřední osobě za účelem přimět ji, aby učinila určitý oficiální úkon nebo přijala určité rozhodnutí pomáhající společnosti Pfizer získat obchodní příležitost nebo si ji udržet. Obchodní partneři a osoby jednající jejich jménem v souvislosti s prací pro společnost Pfizer nesmí nikdy vyplatit žádné úřední osobě finanční částku nebo jí nabídnout jakýkoli předmět či výhodu (bez ohledu na jejich hodnotu) za účelem nepřípustného motivování takové úřední osoby ke schválení, úhradě, předepsání nebo nákupu jakéhokoli výrobku společnosti Pfizer, za účelem ovlivnění výsledku klinického hodnocení nebo za účelem dosažení jakékoli jiné nepatřičné obchodní výhody pro společnost Pfizer.</w:t>
            </w:r>
          </w:p>
        </w:tc>
      </w:tr>
      <w:tr w:rsidR="00B16AEB" w:rsidRPr="00DD2185" w14:paraId="01137CCC" w14:textId="77777777" w:rsidTr="00F45488">
        <w:tc>
          <w:tcPr>
            <w:tcW w:w="9026" w:type="dxa"/>
            <w:tcMar>
              <w:right w:w="173" w:type="dxa"/>
            </w:tcMar>
          </w:tcPr>
          <w:p w14:paraId="1D27206B"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 xml:space="preserve">• </w:t>
            </w:r>
            <w:r w:rsidRPr="00DD2185">
              <w:rPr>
                <w:color w:val="000000"/>
              </w:rPr>
              <w:tab/>
              <w:t>při provádění aktivit souvisejících se společností Pfizer musejí její obchodní partneři a osoby jednající jejich jménem v souvislosti s prací pro společnost Pfizer znát a dodržovat místní zákony, předpisy nebo provozní postupy (včetně požadavků ze strany vládních subjektů, jako např. státních nemocnic nebo výzkumných ústavů), které stanoví limity, omezení nebo povinnosti informovat týkající se odměn, finanční podpory, finančních či věcných darů, jež mohou být poskytovány úředním osobám. Pokud si obchodní partner není jistý významem nebo platností kteréhokoli stanoveného limitu, omezení nebo povinnosti informovat v souvislosti s jednáním s úředními osobami, je nutné, aby se před zahájením takového jednání obrátil na svou hlavní kontaktní osobu ve společnosti Pfizer.</w:t>
            </w:r>
          </w:p>
        </w:tc>
      </w:tr>
      <w:tr w:rsidR="00B16AEB" w:rsidRPr="00DD2185" w14:paraId="12AE9559" w14:textId="77777777" w:rsidTr="00F45488">
        <w:tc>
          <w:tcPr>
            <w:tcW w:w="9026" w:type="dxa"/>
            <w:tcMar>
              <w:right w:w="173" w:type="dxa"/>
            </w:tcMar>
          </w:tcPr>
          <w:p w14:paraId="59224499"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 xml:space="preserve">• </w:t>
            </w:r>
            <w:r w:rsidRPr="00DD2185">
              <w:rPr>
                <w:color w:val="000000"/>
              </w:rPr>
              <w:tab/>
              <w:t xml:space="preserve">obchodní partneři a osoby jednající jejich jménem v souvislosti s prací pro společnost Pfizer nesmí nabízet tzv. </w:t>
            </w:r>
            <w:proofErr w:type="spellStart"/>
            <w:r w:rsidRPr="00DD2185">
              <w:rPr>
                <w:color w:val="000000"/>
              </w:rPr>
              <w:t>všimné</w:t>
            </w:r>
            <w:proofErr w:type="spellEnd"/>
            <w:r w:rsidRPr="00DD2185">
              <w:rPr>
                <w:color w:val="000000"/>
              </w:rPr>
              <w:t>. „</w:t>
            </w:r>
            <w:proofErr w:type="spellStart"/>
            <w:r w:rsidRPr="00DD2185">
              <w:rPr>
                <w:color w:val="000000"/>
              </w:rPr>
              <w:t>Všimným</w:t>
            </w:r>
            <w:proofErr w:type="spellEnd"/>
            <w:r w:rsidRPr="00DD2185">
              <w:rPr>
                <w:color w:val="000000"/>
              </w:rPr>
              <w:t xml:space="preserve">“ se rozumí nominální platba úřední osobě pro účely zajištění nebo urychlení rutinního kroku státní správy, jehož provedení nezávisí na vlastním uvážení příslušné osoby. Příkladem </w:t>
            </w:r>
            <w:proofErr w:type="spellStart"/>
            <w:r w:rsidRPr="00DD2185">
              <w:rPr>
                <w:color w:val="000000"/>
              </w:rPr>
              <w:t>všimného</w:t>
            </w:r>
            <w:proofErr w:type="spellEnd"/>
            <w:r w:rsidRPr="00DD2185">
              <w:rPr>
                <w:color w:val="000000"/>
              </w:rPr>
              <w:t xml:space="preserve"> jsou platby za urychlené vyřízení různých licencí, povolení nebo víz, k nimž byly řádně doloženy veškeré potřebné podklady. Pokud obchodní partner nebo osoba jednající jeho jménem v souvislosti s prací pro společnost Pfizer obdrží požadavek nebo se dozví o požadavku na úhradu </w:t>
            </w:r>
            <w:proofErr w:type="spellStart"/>
            <w:r w:rsidRPr="00DD2185">
              <w:rPr>
                <w:color w:val="000000"/>
              </w:rPr>
              <w:t>všimného</w:t>
            </w:r>
            <w:proofErr w:type="spellEnd"/>
            <w:r w:rsidRPr="00DD2185">
              <w:rPr>
                <w:color w:val="000000"/>
              </w:rPr>
              <w:t xml:space="preserve"> nebo úplatku v souvislosti s prací pro společnost Pfizer, je obchodní partner povinen tuto skutečnost bezodkladně nahlásit své hlavní kontaktní osobě ve společnosti Pfizer předtím, než učiní jakékoli další kroky.</w:t>
            </w:r>
          </w:p>
        </w:tc>
      </w:tr>
      <w:tr w:rsidR="00B16AEB" w:rsidRPr="00DD2185" w14:paraId="0EB14ED8" w14:textId="77777777" w:rsidTr="00F45488">
        <w:tc>
          <w:tcPr>
            <w:tcW w:w="9026" w:type="dxa"/>
            <w:tcMar>
              <w:right w:w="173" w:type="dxa"/>
            </w:tcMar>
          </w:tcPr>
          <w:p w14:paraId="16477223" w14:textId="77777777" w:rsidR="00B16AEB" w:rsidRPr="00DD2185" w:rsidRDefault="00B16AEB" w:rsidP="00F45488">
            <w:pPr>
              <w:widowControl w:val="0"/>
              <w:autoSpaceDE w:val="0"/>
              <w:autoSpaceDN w:val="0"/>
              <w:adjustRightInd w:val="0"/>
              <w:jc w:val="both"/>
              <w:rPr>
                <w:color w:val="000000"/>
              </w:rPr>
            </w:pPr>
          </w:p>
          <w:p w14:paraId="4EA44329" w14:textId="77777777" w:rsidR="00F45488" w:rsidRPr="00DD2185" w:rsidRDefault="00F45488" w:rsidP="00F45488">
            <w:pPr>
              <w:widowControl w:val="0"/>
              <w:autoSpaceDE w:val="0"/>
              <w:autoSpaceDN w:val="0"/>
              <w:adjustRightInd w:val="0"/>
              <w:jc w:val="both"/>
              <w:rPr>
                <w:color w:val="000000"/>
              </w:rPr>
            </w:pPr>
          </w:p>
        </w:tc>
      </w:tr>
      <w:tr w:rsidR="00B16AEB" w:rsidRPr="00DD2185" w14:paraId="4D529B8B" w14:textId="77777777" w:rsidTr="00F45488">
        <w:tc>
          <w:tcPr>
            <w:tcW w:w="9026" w:type="dxa"/>
            <w:tcMar>
              <w:right w:w="173" w:type="dxa"/>
            </w:tcMar>
          </w:tcPr>
          <w:p w14:paraId="432A6ADE" w14:textId="77777777" w:rsidR="00B16AEB" w:rsidRPr="00DD2185" w:rsidRDefault="00B16AEB" w:rsidP="00F45488">
            <w:pPr>
              <w:widowControl w:val="0"/>
              <w:autoSpaceDE w:val="0"/>
              <w:autoSpaceDN w:val="0"/>
              <w:adjustRightInd w:val="0"/>
              <w:jc w:val="both"/>
              <w:rPr>
                <w:b/>
                <w:bCs/>
                <w:i/>
                <w:iCs/>
                <w:color w:val="000000"/>
              </w:rPr>
            </w:pPr>
            <w:r w:rsidRPr="00DD2185">
              <w:rPr>
                <w:b/>
                <w:bCs/>
                <w:i/>
                <w:iCs/>
                <w:color w:val="000000"/>
              </w:rPr>
              <w:lastRenderedPageBreak/>
              <w:t>Uplácení v komerční sféře</w:t>
            </w:r>
          </w:p>
        </w:tc>
      </w:tr>
      <w:tr w:rsidR="00B16AEB" w:rsidRPr="00DD2185" w14:paraId="4C4C8B3C" w14:textId="77777777" w:rsidTr="00F45488">
        <w:tc>
          <w:tcPr>
            <w:tcW w:w="9026" w:type="dxa"/>
            <w:tcMar>
              <w:right w:w="173" w:type="dxa"/>
            </w:tcMar>
          </w:tcPr>
          <w:p w14:paraId="7525F59D" w14:textId="77777777" w:rsidR="00B16AEB" w:rsidRPr="00DD2185" w:rsidRDefault="00B16AEB" w:rsidP="00F45488">
            <w:pPr>
              <w:widowControl w:val="0"/>
              <w:autoSpaceDE w:val="0"/>
              <w:autoSpaceDN w:val="0"/>
              <w:adjustRightInd w:val="0"/>
              <w:jc w:val="both"/>
              <w:rPr>
                <w:b/>
                <w:bCs/>
                <w:i/>
                <w:iCs/>
                <w:color w:val="000000"/>
              </w:rPr>
            </w:pPr>
          </w:p>
        </w:tc>
      </w:tr>
      <w:tr w:rsidR="00B16AEB" w:rsidRPr="00DD2185" w14:paraId="5006F944" w14:textId="77777777" w:rsidTr="00F45488">
        <w:tc>
          <w:tcPr>
            <w:tcW w:w="9026" w:type="dxa"/>
            <w:tcMar>
              <w:right w:w="173" w:type="dxa"/>
            </w:tcMar>
          </w:tcPr>
          <w:p w14:paraId="2F8658BC" w14:textId="77777777" w:rsidR="00B16AEB" w:rsidRPr="00DD2185" w:rsidRDefault="00B16AEB" w:rsidP="00F45488">
            <w:pPr>
              <w:widowControl w:val="0"/>
              <w:autoSpaceDE w:val="0"/>
              <w:autoSpaceDN w:val="0"/>
              <w:adjustRightInd w:val="0"/>
              <w:jc w:val="both"/>
              <w:rPr>
                <w:color w:val="000000"/>
              </w:rPr>
            </w:pPr>
            <w:r w:rsidRPr="00DD2185">
              <w:rPr>
                <w:color w:val="000000"/>
              </w:rPr>
              <w:t>K uplácení a korupci může docházet i ve vztazích mezi dvěma nestátními podniky. Ve většině států existují zákony zakazující nabízení, slibování, poskytování, požadování, přijímání nebo souhlas s přijímáním jakýchkoli finančních částek nebo jiných hodnotných věcí výměnou za poskytnutí nepatřičné obchodní výhody. Mezi příklady zakázaného jednání patří zejména poskytování drahých darů nebo pohoštění, úplatků nebo investičních příležitostí za účelem nepatřičné motivace k nákupu zboží nebo služeb. Spolupracovníci společnosti Pfizer nesmí nabízet, poskytovat, požadovat nebo přijímat úplatky, a od svých obchodních partnerů a osob jednajících jejich jménem v souvislosti s prací pro společnost Pfizer očekáváme, že se budou řídit stejnými zásadami.</w:t>
            </w:r>
          </w:p>
        </w:tc>
      </w:tr>
      <w:tr w:rsidR="00B16AEB" w:rsidRPr="00DD2185" w14:paraId="202E0A77" w14:textId="77777777" w:rsidTr="00F45488">
        <w:tc>
          <w:tcPr>
            <w:tcW w:w="9026" w:type="dxa"/>
            <w:tcMar>
              <w:right w:w="173" w:type="dxa"/>
            </w:tcMar>
          </w:tcPr>
          <w:p w14:paraId="36957ECB" w14:textId="77777777" w:rsidR="00B16AEB" w:rsidRPr="00DD2185" w:rsidRDefault="00B16AEB" w:rsidP="00F45488">
            <w:pPr>
              <w:widowControl w:val="0"/>
              <w:autoSpaceDE w:val="0"/>
              <w:autoSpaceDN w:val="0"/>
              <w:adjustRightInd w:val="0"/>
              <w:jc w:val="both"/>
              <w:rPr>
                <w:color w:val="000000"/>
              </w:rPr>
            </w:pPr>
          </w:p>
        </w:tc>
      </w:tr>
      <w:tr w:rsidR="00B16AEB" w:rsidRPr="00DD2185" w14:paraId="35532F4A" w14:textId="77777777" w:rsidTr="00F45488">
        <w:tc>
          <w:tcPr>
            <w:tcW w:w="9026" w:type="dxa"/>
            <w:tcMar>
              <w:right w:w="173" w:type="dxa"/>
            </w:tcMar>
          </w:tcPr>
          <w:p w14:paraId="21542D1B" w14:textId="77777777" w:rsidR="00B16AEB" w:rsidRPr="00DD2185" w:rsidRDefault="00B16AEB" w:rsidP="00F45488">
            <w:pPr>
              <w:widowControl w:val="0"/>
              <w:autoSpaceDE w:val="0"/>
              <w:autoSpaceDN w:val="0"/>
              <w:adjustRightInd w:val="0"/>
              <w:jc w:val="both"/>
              <w:rPr>
                <w:b/>
                <w:bCs/>
                <w:color w:val="000000"/>
              </w:rPr>
            </w:pPr>
            <w:proofErr w:type="spellStart"/>
            <w:r w:rsidRPr="00DD2185">
              <w:rPr>
                <w:b/>
                <w:bCs/>
                <w:color w:val="000000"/>
              </w:rPr>
              <w:t>Protiúplatkářské</w:t>
            </w:r>
            <w:proofErr w:type="spellEnd"/>
            <w:r w:rsidRPr="00DD2185">
              <w:rPr>
                <w:b/>
                <w:bCs/>
                <w:color w:val="000000"/>
              </w:rPr>
              <w:t xml:space="preserve"> a protikorupční zásady upravující vztahy se soukromými osobami a spolupracovníky společnosti Pfizer</w:t>
            </w:r>
          </w:p>
        </w:tc>
      </w:tr>
      <w:tr w:rsidR="00B16AEB" w:rsidRPr="00DD2185" w14:paraId="56E87F9F" w14:textId="77777777" w:rsidTr="00F45488">
        <w:tc>
          <w:tcPr>
            <w:tcW w:w="9026" w:type="dxa"/>
            <w:tcMar>
              <w:right w:w="173" w:type="dxa"/>
            </w:tcMar>
          </w:tcPr>
          <w:p w14:paraId="5349F27D" w14:textId="77777777" w:rsidR="00B16AEB" w:rsidRPr="00DD2185" w:rsidRDefault="00B16AEB" w:rsidP="00F45488">
            <w:pPr>
              <w:widowControl w:val="0"/>
              <w:autoSpaceDE w:val="0"/>
              <w:autoSpaceDN w:val="0"/>
              <w:adjustRightInd w:val="0"/>
              <w:jc w:val="both"/>
              <w:rPr>
                <w:b/>
                <w:bCs/>
                <w:color w:val="000000"/>
              </w:rPr>
            </w:pPr>
          </w:p>
        </w:tc>
      </w:tr>
      <w:tr w:rsidR="00B16AEB" w:rsidRPr="00DD2185" w14:paraId="1072C795" w14:textId="77777777" w:rsidTr="00F45488">
        <w:tc>
          <w:tcPr>
            <w:tcW w:w="9026" w:type="dxa"/>
            <w:tcMar>
              <w:right w:w="173" w:type="dxa"/>
            </w:tcMar>
          </w:tcPr>
          <w:p w14:paraId="3074EB47" w14:textId="77777777" w:rsidR="00B16AEB" w:rsidRPr="00DD2185" w:rsidRDefault="00B16AEB" w:rsidP="00F45488">
            <w:pPr>
              <w:widowControl w:val="0"/>
              <w:autoSpaceDE w:val="0"/>
              <w:autoSpaceDN w:val="0"/>
              <w:adjustRightInd w:val="0"/>
              <w:jc w:val="both"/>
              <w:rPr>
                <w:color w:val="000000"/>
              </w:rPr>
            </w:pPr>
            <w:r w:rsidRPr="00DD2185">
              <w:rPr>
                <w:color w:val="000000"/>
              </w:rPr>
              <w:t xml:space="preserve">Obchodní partneři jsou povinni sdělovat a dodržovat následující zásady týkající se jejich vztahů se soukromými osobami a spolupracovníky společnosti Pfizer: </w:t>
            </w:r>
          </w:p>
        </w:tc>
      </w:tr>
      <w:tr w:rsidR="00B16AEB" w:rsidRPr="00DD2185" w14:paraId="487B26CB" w14:textId="77777777" w:rsidTr="00F45488">
        <w:tc>
          <w:tcPr>
            <w:tcW w:w="9026" w:type="dxa"/>
            <w:tcMar>
              <w:right w:w="173" w:type="dxa"/>
            </w:tcMar>
          </w:tcPr>
          <w:p w14:paraId="1E5F48DE" w14:textId="77777777" w:rsidR="00B16AEB" w:rsidRPr="00DD2185" w:rsidRDefault="00B16AEB" w:rsidP="00F45488">
            <w:pPr>
              <w:widowControl w:val="0"/>
              <w:autoSpaceDE w:val="0"/>
              <w:autoSpaceDN w:val="0"/>
              <w:adjustRightInd w:val="0"/>
              <w:jc w:val="both"/>
              <w:rPr>
                <w:color w:val="000000"/>
              </w:rPr>
            </w:pPr>
          </w:p>
        </w:tc>
      </w:tr>
      <w:tr w:rsidR="00B16AEB" w:rsidRPr="00DD2185" w14:paraId="13933645" w14:textId="77777777" w:rsidTr="00F45488">
        <w:tc>
          <w:tcPr>
            <w:tcW w:w="9026" w:type="dxa"/>
            <w:tcMar>
              <w:right w:w="173" w:type="dxa"/>
            </w:tcMar>
          </w:tcPr>
          <w:p w14:paraId="378C11CA"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 xml:space="preserve">• </w:t>
            </w:r>
            <w:r w:rsidRPr="00DD2185">
              <w:rPr>
                <w:color w:val="000000"/>
              </w:rPr>
              <w:tab/>
              <w:t>obchodní partneři a osoby jednající jejich jménem v souvislosti s prací pro společnost Pfizer nesmí přímo ani nepřímo vyplatit, slíbit ani schválit vyplacení jakékoli korupční platby nebo poskytnutí čehokoli hodnotného kterékoli osobě za účelem ovlivnit ji, aby poskytla společnosti Pfizer nezákonnou obchodní výhodu.</w:t>
            </w:r>
          </w:p>
        </w:tc>
      </w:tr>
      <w:tr w:rsidR="00B16AEB" w:rsidRPr="00DD2185" w14:paraId="38B148AA" w14:textId="77777777" w:rsidTr="00F45488">
        <w:tc>
          <w:tcPr>
            <w:tcW w:w="9026" w:type="dxa"/>
            <w:tcMar>
              <w:right w:w="173" w:type="dxa"/>
            </w:tcMar>
          </w:tcPr>
          <w:p w14:paraId="1195BE46"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 xml:space="preserve">• </w:t>
            </w:r>
            <w:r w:rsidRPr="00DD2185">
              <w:rPr>
                <w:color w:val="000000"/>
              </w:rPr>
              <w:tab/>
              <w:t>obchodní partneři a osoby jednající jejich jménem v souvislosti s prací pro společnost Pfizer nesmí přímo ani nepřímo požadovat, souhlasit s přijetím nebo přijmout platbu ani jiné hodnotné věci jako nepřípustnou motivaci v souvislosti s jejich obchodní činností prováděnou pro společnost Pfizer.</w:t>
            </w:r>
          </w:p>
        </w:tc>
      </w:tr>
      <w:tr w:rsidR="00B16AEB" w:rsidRPr="00DD2185" w14:paraId="44C9F91E" w14:textId="77777777" w:rsidTr="00F45488">
        <w:tc>
          <w:tcPr>
            <w:tcW w:w="9026" w:type="dxa"/>
            <w:tcMar>
              <w:right w:w="173" w:type="dxa"/>
            </w:tcMar>
          </w:tcPr>
          <w:p w14:paraId="043D754F" w14:textId="77777777" w:rsidR="00B16AEB" w:rsidRPr="00DD2185" w:rsidRDefault="00B16AEB" w:rsidP="00F45488">
            <w:pPr>
              <w:widowControl w:val="0"/>
              <w:autoSpaceDE w:val="0"/>
              <w:autoSpaceDN w:val="0"/>
              <w:adjustRightInd w:val="0"/>
              <w:spacing w:after="240"/>
              <w:ind w:left="720" w:hanging="720"/>
              <w:jc w:val="both"/>
              <w:rPr>
                <w:color w:val="000000"/>
              </w:rPr>
            </w:pPr>
            <w:r w:rsidRPr="00DD2185">
              <w:rPr>
                <w:color w:val="000000"/>
              </w:rPr>
              <w:t xml:space="preserve">• </w:t>
            </w:r>
            <w:r w:rsidRPr="00DD2185">
              <w:rPr>
                <w:color w:val="000000"/>
              </w:rPr>
              <w:tab/>
              <w:t>spolupracovníci společnosti Pfizer nesmí od obchodních partnerů a osob jednajících jejich jménem v souvislosti s prací pro společnost Pfizer přijímat dary, služby, pozornosti, pohoštění nebo jiné předměty s vyšší než symbolickou nebo nominální peněžitou hodnotou. Dary s nominální hodnotou jsou navíc povoleny jen v případě, že nejsou poskytovány často a jsou poskytovány pouze při vhodných příležitostech pro dávání dárků.</w:t>
            </w:r>
          </w:p>
        </w:tc>
      </w:tr>
      <w:tr w:rsidR="00B16AEB" w:rsidRPr="00DD2185" w14:paraId="6A00DC8E" w14:textId="77777777" w:rsidTr="00F45488">
        <w:tc>
          <w:tcPr>
            <w:tcW w:w="9026" w:type="dxa"/>
            <w:tcMar>
              <w:right w:w="173" w:type="dxa"/>
            </w:tcMar>
          </w:tcPr>
          <w:p w14:paraId="1366CE31" w14:textId="77777777" w:rsidR="00B16AEB" w:rsidRPr="00DD2185" w:rsidRDefault="00B16AEB" w:rsidP="00F45488">
            <w:pPr>
              <w:widowControl w:val="0"/>
              <w:autoSpaceDE w:val="0"/>
              <w:autoSpaceDN w:val="0"/>
              <w:adjustRightInd w:val="0"/>
              <w:jc w:val="both"/>
              <w:rPr>
                <w:b/>
                <w:bCs/>
                <w:i/>
                <w:iCs/>
                <w:color w:val="000000"/>
              </w:rPr>
            </w:pPr>
            <w:r w:rsidRPr="00DD2185">
              <w:rPr>
                <w:b/>
                <w:bCs/>
                <w:i/>
                <w:iCs/>
                <w:color w:val="000000"/>
              </w:rPr>
              <w:t>Hlášení podezření na porušení zásad nebo skutečného porušení zásad</w:t>
            </w:r>
          </w:p>
        </w:tc>
      </w:tr>
      <w:tr w:rsidR="00B16AEB" w:rsidRPr="00DD2185" w14:paraId="0A7BC983" w14:textId="77777777" w:rsidTr="00F45488">
        <w:tc>
          <w:tcPr>
            <w:tcW w:w="9026" w:type="dxa"/>
            <w:tcMar>
              <w:right w:w="173" w:type="dxa"/>
            </w:tcMar>
          </w:tcPr>
          <w:p w14:paraId="3E1A1A9D" w14:textId="77777777" w:rsidR="00B16AEB" w:rsidRPr="00DD2185" w:rsidRDefault="00B16AEB" w:rsidP="00F45488">
            <w:pPr>
              <w:widowControl w:val="0"/>
              <w:autoSpaceDE w:val="0"/>
              <w:autoSpaceDN w:val="0"/>
              <w:adjustRightInd w:val="0"/>
              <w:jc w:val="both"/>
              <w:rPr>
                <w:b/>
                <w:bCs/>
                <w:i/>
                <w:iCs/>
                <w:color w:val="000000"/>
              </w:rPr>
            </w:pPr>
          </w:p>
        </w:tc>
      </w:tr>
      <w:tr w:rsidR="00B16AEB" w:rsidRPr="00DD2185" w14:paraId="587ACA6A" w14:textId="77777777" w:rsidTr="00F45488">
        <w:trPr>
          <w:trHeight w:val="2142"/>
        </w:trPr>
        <w:tc>
          <w:tcPr>
            <w:tcW w:w="9026" w:type="dxa"/>
            <w:tcMar>
              <w:right w:w="173" w:type="dxa"/>
            </w:tcMar>
          </w:tcPr>
          <w:p w14:paraId="49EE5D36" w14:textId="2FE7A26E" w:rsidR="00B16AEB" w:rsidRPr="00DD2185" w:rsidRDefault="00B16AEB" w:rsidP="00F45488">
            <w:pPr>
              <w:widowControl w:val="0"/>
              <w:jc w:val="both"/>
            </w:pPr>
            <w:r w:rsidRPr="00DD2185">
              <w:rPr>
                <w:color w:val="000000"/>
              </w:rPr>
              <w:t xml:space="preserve">Od obchodních partnerů a osob jednajících jejich jménem v souvislosti s prací pro společnost Pfizer se očekává, že nahlásí své případné obavy ve vztahu k možnému porušení těchto mezinárodních </w:t>
            </w:r>
            <w:proofErr w:type="spellStart"/>
            <w:r w:rsidRPr="00DD2185">
              <w:rPr>
                <w:color w:val="000000"/>
              </w:rPr>
              <w:t>protiúplatkářských</w:t>
            </w:r>
            <w:proofErr w:type="spellEnd"/>
            <w:r w:rsidRPr="00DD2185">
              <w:rPr>
                <w:color w:val="000000"/>
              </w:rPr>
              <w:t xml:space="preserve"> a protikorupčních zásad nebo platných právních předpisů. Tato hlášení mohou být adresována hlavní kontaktní osobě obchodního partnera ve společnosti Pfizer nebo, pokud to příslušný obchodní partner upřednostňuje, skupině společnosti Pfizer pro dodržování předpisů e-mailem na adresu </w:t>
            </w:r>
            <w:proofErr w:type="spellStart"/>
            <w:r w:rsidR="00215A02" w:rsidRPr="00370702">
              <w:rPr>
                <w:highlight w:val="black"/>
              </w:rPr>
              <w:t>xxxxxx</w:t>
            </w:r>
            <w:proofErr w:type="spellEnd"/>
            <w:r w:rsidR="00215A02" w:rsidRPr="00370702">
              <w:rPr>
                <w:highlight w:val="black"/>
              </w:rPr>
              <w:t xml:space="preserve"> </w:t>
            </w:r>
            <w:proofErr w:type="spellStart"/>
            <w:r w:rsidR="00215A02" w:rsidRPr="00370702">
              <w:rPr>
                <w:highlight w:val="black"/>
              </w:rPr>
              <w:t>xxxxxx</w:t>
            </w:r>
            <w:proofErr w:type="spellEnd"/>
            <w:r w:rsidR="00215A02" w:rsidRPr="00370702">
              <w:rPr>
                <w:highlight w:val="black"/>
              </w:rPr>
              <w:t xml:space="preserve"> </w:t>
            </w:r>
            <w:proofErr w:type="spellStart"/>
            <w:r w:rsidR="00215A02" w:rsidRPr="00370702">
              <w:rPr>
                <w:highlight w:val="black"/>
              </w:rPr>
              <w:t>xxxxxx</w:t>
            </w:r>
            <w:proofErr w:type="spellEnd"/>
            <w:r w:rsidRPr="00DD2185">
              <w:rPr>
                <w:color w:val="0000FF"/>
              </w:rPr>
              <w:t xml:space="preserve"> </w:t>
            </w:r>
            <w:r w:rsidRPr="00DD2185">
              <w:rPr>
                <w:color w:val="000000"/>
              </w:rPr>
              <w:t xml:space="preserve">nebo telefonicky na číslo </w:t>
            </w:r>
            <w:proofErr w:type="spellStart"/>
            <w:r w:rsidR="00215A02" w:rsidRPr="00370702">
              <w:rPr>
                <w:highlight w:val="black"/>
              </w:rPr>
              <w:t>xxxxxx</w:t>
            </w:r>
            <w:proofErr w:type="spellEnd"/>
            <w:r w:rsidR="00215A02" w:rsidRPr="00370702">
              <w:rPr>
                <w:highlight w:val="black"/>
              </w:rPr>
              <w:t xml:space="preserve"> </w:t>
            </w:r>
            <w:proofErr w:type="spellStart"/>
            <w:r w:rsidR="00215A02" w:rsidRPr="00370702">
              <w:rPr>
                <w:highlight w:val="black"/>
              </w:rPr>
              <w:t>xxxxxx</w:t>
            </w:r>
            <w:proofErr w:type="spellEnd"/>
            <w:r w:rsidR="00215A02" w:rsidRPr="00370702">
              <w:rPr>
                <w:highlight w:val="black"/>
              </w:rPr>
              <w:t xml:space="preserve"> </w:t>
            </w:r>
            <w:proofErr w:type="spellStart"/>
            <w:r w:rsidR="00215A02" w:rsidRPr="00370702">
              <w:rPr>
                <w:highlight w:val="black"/>
              </w:rPr>
              <w:t>xxxxxx</w:t>
            </w:r>
            <w:proofErr w:type="spellEnd"/>
            <w:r w:rsidRPr="00DD2185">
              <w:rPr>
                <w:color w:val="000000"/>
              </w:rPr>
              <w:t>.</w:t>
            </w:r>
            <w:r w:rsidRPr="00DD2185">
              <w:t xml:space="preserve"> </w:t>
            </w:r>
          </w:p>
        </w:tc>
      </w:tr>
    </w:tbl>
    <w:p w14:paraId="10BA6E74" w14:textId="691BF8BA" w:rsidR="00B16AEB" w:rsidRPr="00DD2185" w:rsidRDefault="00B16AEB" w:rsidP="00B16AEB">
      <w:pPr>
        <w:spacing w:after="200" w:line="276"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173" w:type="dxa"/>
        </w:tblCellMar>
        <w:tblLook w:val="04A0" w:firstRow="1" w:lastRow="0" w:firstColumn="1" w:lastColumn="0" w:noHBand="0" w:noVBand="1"/>
      </w:tblPr>
      <w:tblGrid>
        <w:gridCol w:w="9090"/>
      </w:tblGrid>
      <w:tr w:rsidR="00B16AEB" w:rsidRPr="00DD2185" w14:paraId="427ECCD0" w14:textId="77777777" w:rsidTr="00E833DE">
        <w:tc>
          <w:tcPr>
            <w:tcW w:w="9026" w:type="dxa"/>
          </w:tcPr>
          <w:p w14:paraId="5B2C0313" w14:textId="77777777" w:rsidR="00B16AEB" w:rsidRPr="00DD2185" w:rsidRDefault="00B16AEB" w:rsidP="00474215">
            <w:bookmarkStart w:id="0" w:name="_cp_blt_2_49"/>
            <w:bookmarkEnd w:id="0"/>
          </w:p>
        </w:tc>
      </w:tr>
    </w:tbl>
    <w:p w14:paraId="1C64F928" w14:textId="5FD43051" w:rsidR="003916FD" w:rsidRPr="00DD2185" w:rsidRDefault="003916FD" w:rsidP="00B16AEB"/>
    <w:p w14:paraId="6A4E7907" w14:textId="3518F646" w:rsidR="00792CE0" w:rsidRPr="00DD2185" w:rsidRDefault="00792CE0" w:rsidP="00B16AEB"/>
    <w:p w14:paraId="19ACAD54" w14:textId="14DB730B" w:rsidR="00792CE0" w:rsidRPr="00DD2185" w:rsidRDefault="00792CE0" w:rsidP="00B16AEB"/>
    <w:p w14:paraId="15E66839" w14:textId="4CC18E91" w:rsidR="003916FD" w:rsidRPr="00DD2185" w:rsidRDefault="003916FD" w:rsidP="003916FD">
      <w:pPr>
        <w:ind w:right="-8"/>
        <w:jc w:val="center"/>
        <w:rPr>
          <w:b/>
        </w:rPr>
      </w:pPr>
      <w:r w:rsidRPr="00DD2185">
        <w:rPr>
          <w:b/>
        </w:rPr>
        <w:t xml:space="preserve">PŘÍLOHA </w:t>
      </w:r>
      <w:r w:rsidR="00792CE0" w:rsidRPr="00DD2185">
        <w:rPr>
          <w:b/>
        </w:rPr>
        <w:t>D</w:t>
      </w:r>
    </w:p>
    <w:p w14:paraId="264437DE" w14:textId="77777777" w:rsidR="003F0FB2" w:rsidRPr="00DD2185" w:rsidRDefault="003F0FB2" w:rsidP="003F0FB2">
      <w:pPr>
        <w:jc w:val="center"/>
        <w:rPr>
          <w:b/>
        </w:rPr>
      </w:pPr>
      <w:r w:rsidRPr="00DD2185">
        <w:rPr>
          <w:b/>
        </w:rPr>
        <w:t>STANDARDNÍ SMLUVNÍ DOLOŽKY</w:t>
      </w:r>
    </w:p>
    <w:p w14:paraId="221FFED1" w14:textId="77777777" w:rsidR="003F0FB2" w:rsidRPr="00DD2185" w:rsidRDefault="003F0FB2" w:rsidP="003F0FB2">
      <w:pPr>
        <w:jc w:val="center"/>
      </w:pPr>
    </w:p>
    <w:p w14:paraId="407F501F" w14:textId="77777777" w:rsidR="003F0FB2" w:rsidRPr="00DD2185" w:rsidRDefault="003F0FB2" w:rsidP="003F0FB2">
      <w:pPr>
        <w:jc w:val="center"/>
      </w:pPr>
    </w:p>
    <w:p w14:paraId="6F3197F1" w14:textId="77777777" w:rsidR="003F0FB2" w:rsidRPr="00DD2185" w:rsidRDefault="003F0FB2" w:rsidP="003F0FB2">
      <w:pPr>
        <w:shd w:val="clear" w:color="auto" w:fill="FFFFFF"/>
        <w:jc w:val="center"/>
        <w:rPr>
          <w:b/>
          <w:bCs/>
          <w:color w:val="000000"/>
        </w:rPr>
      </w:pPr>
      <w:r w:rsidRPr="00DD2185">
        <w:rPr>
          <w:b/>
          <w:bCs/>
          <w:color w:val="000000"/>
        </w:rPr>
        <w:t>PŘÍLOHA I</w:t>
      </w:r>
    </w:p>
    <w:p w14:paraId="5C9EDADB" w14:textId="77777777" w:rsidR="003F0FB2" w:rsidRPr="00DD2185" w:rsidRDefault="003F0FB2" w:rsidP="003F0FB2">
      <w:pPr>
        <w:shd w:val="clear" w:color="auto" w:fill="FFFFFF"/>
        <w:jc w:val="both"/>
        <w:rPr>
          <w:b/>
          <w:bCs/>
          <w:color w:val="000000"/>
        </w:rPr>
      </w:pPr>
    </w:p>
    <w:p w14:paraId="553EE963" w14:textId="77777777" w:rsidR="003F0FB2" w:rsidRPr="00DD2185" w:rsidRDefault="003F0FB2" w:rsidP="003F0FB2">
      <w:pPr>
        <w:shd w:val="clear" w:color="auto" w:fill="FFFFFF"/>
        <w:jc w:val="both"/>
        <w:rPr>
          <w:b/>
          <w:bCs/>
          <w:color w:val="000000"/>
        </w:rPr>
      </w:pPr>
    </w:p>
    <w:p w14:paraId="698C4F08" w14:textId="551574FC" w:rsidR="003F0FB2" w:rsidRPr="00DD2185" w:rsidRDefault="003F0FB2" w:rsidP="003F0FB2">
      <w:pPr>
        <w:shd w:val="clear" w:color="auto" w:fill="FFFFFF"/>
        <w:jc w:val="both"/>
        <w:rPr>
          <w:b/>
          <w:bCs/>
          <w:color w:val="000000"/>
        </w:rPr>
      </w:pPr>
      <w:r w:rsidRPr="00DD2185">
        <w:rPr>
          <w:b/>
          <w:bCs/>
          <w:color w:val="000000"/>
        </w:rPr>
        <w:t>A. SEZNAM SMLUVNÍCH STRAN</w:t>
      </w:r>
    </w:p>
    <w:p w14:paraId="46C0DE77" w14:textId="77777777" w:rsidR="003F0FB2" w:rsidRPr="00DD2185" w:rsidRDefault="003F0FB2" w:rsidP="003F0FB2">
      <w:pPr>
        <w:shd w:val="clear" w:color="auto" w:fill="FFFFFF"/>
        <w:jc w:val="both"/>
        <w:rPr>
          <w:b/>
          <w:bCs/>
          <w:color w:val="000000"/>
        </w:rPr>
      </w:pPr>
    </w:p>
    <w:p w14:paraId="70235F08" w14:textId="77777777" w:rsidR="003F0FB2" w:rsidRPr="00DD2185" w:rsidRDefault="003F0FB2" w:rsidP="003F0FB2">
      <w:pPr>
        <w:shd w:val="clear" w:color="auto" w:fill="FFFFFF"/>
        <w:jc w:val="both"/>
        <w:rPr>
          <w:color w:val="000000"/>
        </w:rPr>
      </w:pPr>
      <w:r w:rsidRPr="00DD2185">
        <w:rPr>
          <w:b/>
          <w:bCs/>
          <w:color w:val="000000"/>
        </w:rPr>
        <w:t>MODUL 1: Předání od správce správci</w:t>
      </w:r>
    </w:p>
    <w:p w14:paraId="1801B403" w14:textId="77777777" w:rsidR="003F0FB2" w:rsidRPr="00DD2185" w:rsidRDefault="003F0FB2" w:rsidP="003F0FB2">
      <w:pPr>
        <w:shd w:val="clear" w:color="auto" w:fill="FFFFFF"/>
        <w:jc w:val="both"/>
        <w:rPr>
          <w:color w:val="000000"/>
        </w:rPr>
      </w:pPr>
      <w:r w:rsidRPr="00DD2185">
        <w:rPr>
          <w:b/>
          <w:bCs/>
          <w:color w:val="000000"/>
        </w:rPr>
        <w:t>MODUL 2: Předání od správce zpracovateli</w:t>
      </w:r>
    </w:p>
    <w:p w14:paraId="1463A58B" w14:textId="77777777" w:rsidR="003F0FB2" w:rsidRPr="00DD2185" w:rsidRDefault="003F0FB2" w:rsidP="003F0FB2">
      <w:pPr>
        <w:shd w:val="clear" w:color="auto" w:fill="FFFFFF"/>
        <w:jc w:val="both"/>
        <w:rPr>
          <w:color w:val="000000"/>
        </w:rPr>
      </w:pPr>
      <w:r w:rsidRPr="00DD2185">
        <w:rPr>
          <w:b/>
          <w:bCs/>
          <w:color w:val="000000"/>
        </w:rPr>
        <w:t>MODUL 3: Předání od zpracovatele zpracovateli</w:t>
      </w:r>
    </w:p>
    <w:p w14:paraId="4DD27FCA" w14:textId="77777777" w:rsidR="003F0FB2" w:rsidRPr="00DD2185" w:rsidRDefault="003F0FB2" w:rsidP="003F0FB2">
      <w:pPr>
        <w:shd w:val="clear" w:color="auto" w:fill="FFFFFF"/>
        <w:jc w:val="both"/>
        <w:rPr>
          <w:b/>
          <w:bCs/>
          <w:color w:val="000000"/>
        </w:rPr>
      </w:pPr>
      <w:r w:rsidRPr="00DD2185">
        <w:rPr>
          <w:b/>
          <w:bCs/>
          <w:color w:val="000000"/>
        </w:rPr>
        <w:t>MODUL 4: Předání od zpracovatele správci</w:t>
      </w:r>
    </w:p>
    <w:p w14:paraId="1F7D4E5D" w14:textId="77777777" w:rsidR="003F0FB2" w:rsidRPr="00DD2185" w:rsidRDefault="003F0FB2" w:rsidP="003F0FB2">
      <w:pPr>
        <w:shd w:val="clear" w:color="auto" w:fill="FFFFFF"/>
        <w:jc w:val="both"/>
        <w:rPr>
          <w:color w:val="000000"/>
        </w:rPr>
      </w:pPr>
    </w:p>
    <w:p w14:paraId="2534016E" w14:textId="77777777" w:rsidR="003F0FB2" w:rsidRPr="00DD2185" w:rsidRDefault="003F0FB2" w:rsidP="003F0FB2">
      <w:pPr>
        <w:shd w:val="clear" w:color="auto" w:fill="FFFFFF"/>
        <w:jc w:val="both"/>
        <w:rPr>
          <w:color w:val="000000"/>
        </w:rPr>
      </w:pPr>
      <w:r w:rsidRPr="00DD2185">
        <w:rPr>
          <w:b/>
          <w:bCs/>
          <w:color w:val="000000"/>
        </w:rPr>
        <w:t>Vývozce (vývozci) údajů:</w:t>
      </w:r>
      <w:r w:rsidRPr="00DD2185">
        <w:rPr>
          <w:color w:val="000000"/>
        </w:rPr>
        <w:t> </w:t>
      </w:r>
    </w:p>
    <w:p w14:paraId="5727A2EA" w14:textId="77777777" w:rsidR="003F0FB2" w:rsidRPr="00DD2185" w:rsidRDefault="003F0FB2" w:rsidP="003F0FB2">
      <w:pPr>
        <w:shd w:val="clear" w:color="auto" w:fill="FFFFFF"/>
        <w:jc w:val="both"/>
        <w:rPr>
          <w:color w:val="000000"/>
        </w:rPr>
      </w:pPr>
    </w:p>
    <w:tbl>
      <w:tblPr>
        <w:tblW w:w="5000" w:type="pct"/>
        <w:tblCellMar>
          <w:left w:w="0" w:type="dxa"/>
          <w:right w:w="0" w:type="dxa"/>
        </w:tblCellMar>
        <w:tblLook w:val="04A0" w:firstRow="1" w:lastRow="0" w:firstColumn="1" w:lastColumn="0" w:noHBand="0" w:noVBand="1"/>
      </w:tblPr>
      <w:tblGrid>
        <w:gridCol w:w="6"/>
        <w:gridCol w:w="180"/>
        <w:gridCol w:w="8904"/>
      </w:tblGrid>
      <w:tr w:rsidR="003F0FB2" w:rsidRPr="00DD2185" w14:paraId="0A3405FD" w14:textId="77777777" w:rsidTr="003F0FB2">
        <w:tc>
          <w:tcPr>
            <w:tcW w:w="0" w:type="auto"/>
            <w:shd w:val="clear" w:color="auto" w:fill="auto"/>
            <w:hideMark/>
          </w:tcPr>
          <w:p w14:paraId="26A1CF90" w14:textId="77777777" w:rsidR="003F0FB2" w:rsidRPr="00DD2185" w:rsidRDefault="003F0FB2" w:rsidP="003F0FB2">
            <w:pPr>
              <w:jc w:val="both"/>
              <w:rPr>
                <w:color w:val="000000"/>
              </w:rPr>
            </w:pPr>
          </w:p>
        </w:tc>
        <w:tc>
          <w:tcPr>
            <w:tcW w:w="0" w:type="auto"/>
            <w:shd w:val="clear" w:color="auto" w:fill="auto"/>
            <w:hideMark/>
          </w:tcPr>
          <w:p w14:paraId="28A49803" w14:textId="77777777" w:rsidR="003F0FB2" w:rsidRPr="00DD2185" w:rsidRDefault="003F0FB2" w:rsidP="003F0FB2">
            <w:pPr>
              <w:jc w:val="both"/>
            </w:pPr>
            <w:r w:rsidRPr="00DD2185">
              <w:t>1.</w:t>
            </w:r>
          </w:p>
        </w:tc>
        <w:tc>
          <w:tcPr>
            <w:tcW w:w="0" w:type="auto"/>
            <w:shd w:val="clear" w:color="auto" w:fill="auto"/>
            <w:hideMark/>
          </w:tcPr>
          <w:p w14:paraId="4D68769E" w14:textId="77777777" w:rsidR="003F0FB2" w:rsidRPr="00DD2185" w:rsidRDefault="003F0FB2" w:rsidP="003F0FB2">
            <w:pPr>
              <w:jc w:val="both"/>
            </w:pPr>
            <w:r w:rsidRPr="00DD2185">
              <w:t>Jméno/název: Fakultní nemocnice Olomouc</w:t>
            </w:r>
          </w:p>
          <w:p w14:paraId="3B9B68D6" w14:textId="77777777" w:rsidR="003F0FB2" w:rsidRPr="00DD2185" w:rsidRDefault="003F0FB2" w:rsidP="003F0FB2">
            <w:pPr>
              <w:jc w:val="both"/>
            </w:pPr>
            <w:r w:rsidRPr="00DD2185">
              <w:t>Adresa: I. P. Pavlova 185/6, 779 00 Olomouc, Česká republika</w:t>
            </w:r>
          </w:p>
          <w:p w14:paraId="5411A0A0" w14:textId="08015031" w:rsidR="003F0FB2" w:rsidRPr="00DD2185" w:rsidRDefault="003F0FB2" w:rsidP="003F0FB2">
            <w:pPr>
              <w:jc w:val="both"/>
            </w:pPr>
            <w:r w:rsidRPr="00DD2185">
              <w:t xml:space="preserve">Jméno, funkce a kontaktní údaje kontaktní osoby: </w:t>
            </w:r>
            <w:proofErr w:type="spellStart"/>
            <w:r w:rsidR="00215A02" w:rsidRPr="00370702">
              <w:rPr>
                <w:highlight w:val="black"/>
              </w:rPr>
              <w:t>xxxxxx</w:t>
            </w:r>
            <w:proofErr w:type="spellEnd"/>
            <w:r w:rsidR="00215A02" w:rsidRPr="00370702">
              <w:rPr>
                <w:highlight w:val="black"/>
              </w:rPr>
              <w:t xml:space="preserve"> </w:t>
            </w:r>
            <w:proofErr w:type="spellStart"/>
            <w:r w:rsidR="00215A02" w:rsidRPr="00370702">
              <w:rPr>
                <w:highlight w:val="black"/>
              </w:rPr>
              <w:t>xxxxxx</w:t>
            </w:r>
            <w:proofErr w:type="spellEnd"/>
            <w:r w:rsidR="00215A02" w:rsidRPr="00370702">
              <w:rPr>
                <w:highlight w:val="black"/>
              </w:rPr>
              <w:t xml:space="preserve"> </w:t>
            </w:r>
            <w:proofErr w:type="spellStart"/>
            <w:r w:rsidR="00215A02" w:rsidRPr="00370702">
              <w:rPr>
                <w:highlight w:val="black"/>
              </w:rPr>
              <w:t>xxxxxx</w:t>
            </w:r>
            <w:proofErr w:type="spellEnd"/>
          </w:p>
          <w:p w14:paraId="434BED85" w14:textId="77777777" w:rsidR="003F0FB2" w:rsidRPr="00DD2185" w:rsidRDefault="003F0FB2" w:rsidP="003F0FB2">
            <w:pPr>
              <w:jc w:val="both"/>
            </w:pPr>
            <w:r w:rsidRPr="00DD2185">
              <w:t>Činnosti relevantní pro předávání údajů na základě těchto doložek: viz popis níže</w:t>
            </w:r>
          </w:p>
          <w:p w14:paraId="52E3E786" w14:textId="77777777" w:rsidR="003F0FB2" w:rsidRPr="00DD2185" w:rsidRDefault="003F0FB2" w:rsidP="003F0FB2">
            <w:pPr>
              <w:jc w:val="both"/>
            </w:pPr>
            <w:r w:rsidRPr="00DD2185">
              <w:t>Podpis a datum: platné k datu podpisu hlavní smlouvy výše</w:t>
            </w:r>
          </w:p>
          <w:p w14:paraId="0C35E237" w14:textId="77777777" w:rsidR="003F0FB2" w:rsidRPr="00DD2185" w:rsidRDefault="003F0FB2" w:rsidP="003F0FB2">
            <w:pPr>
              <w:jc w:val="both"/>
            </w:pPr>
            <w:r w:rsidRPr="00DD2185">
              <w:t>Úloha (správce/zpracovatel): zpracovatel (klinická data pro studii); správce (údaje personálu)</w:t>
            </w:r>
          </w:p>
        </w:tc>
      </w:tr>
    </w:tbl>
    <w:p w14:paraId="08D6829F" w14:textId="77777777" w:rsidR="003F0FB2" w:rsidRPr="00DD2185" w:rsidRDefault="003F0FB2" w:rsidP="003F0FB2">
      <w:pPr>
        <w:shd w:val="clear" w:color="auto" w:fill="FFFFFF"/>
        <w:jc w:val="both"/>
        <w:rPr>
          <w:color w:val="000000"/>
        </w:rPr>
      </w:pPr>
    </w:p>
    <w:p w14:paraId="285DBAB8" w14:textId="77777777" w:rsidR="003F0FB2" w:rsidRPr="00DD2185" w:rsidRDefault="003F0FB2" w:rsidP="003F0FB2">
      <w:pPr>
        <w:shd w:val="clear" w:color="auto" w:fill="FFFFFF"/>
        <w:jc w:val="both"/>
        <w:rPr>
          <w:vanish/>
          <w:color w:val="000000"/>
        </w:rPr>
      </w:pPr>
    </w:p>
    <w:p w14:paraId="2ED0FE16" w14:textId="77777777" w:rsidR="003F0FB2" w:rsidRPr="00DD2185" w:rsidRDefault="003F0FB2" w:rsidP="003F0FB2">
      <w:pPr>
        <w:shd w:val="clear" w:color="auto" w:fill="FFFFFF"/>
        <w:jc w:val="both"/>
        <w:rPr>
          <w:color w:val="000000"/>
        </w:rPr>
      </w:pPr>
      <w:r w:rsidRPr="00DD2185">
        <w:rPr>
          <w:b/>
          <w:bCs/>
          <w:color w:val="000000"/>
        </w:rPr>
        <w:t>Dovozce nebo dovozci údajů:</w:t>
      </w:r>
      <w:r w:rsidRPr="00DD2185">
        <w:rPr>
          <w:color w:val="000000"/>
        </w:rPr>
        <w:t> </w:t>
      </w:r>
    </w:p>
    <w:p w14:paraId="22B05248" w14:textId="77777777" w:rsidR="003F0FB2" w:rsidRPr="00DD2185" w:rsidRDefault="003F0FB2" w:rsidP="003F0FB2">
      <w:pPr>
        <w:shd w:val="clear" w:color="auto" w:fill="FFFFFF"/>
        <w:jc w:val="both"/>
        <w:rPr>
          <w:color w:val="000000"/>
        </w:rPr>
      </w:pPr>
    </w:p>
    <w:tbl>
      <w:tblPr>
        <w:tblW w:w="5000" w:type="pct"/>
        <w:tblCellMar>
          <w:left w:w="0" w:type="dxa"/>
          <w:right w:w="0" w:type="dxa"/>
        </w:tblCellMar>
        <w:tblLook w:val="04A0" w:firstRow="1" w:lastRow="0" w:firstColumn="1" w:lastColumn="0" w:noHBand="0" w:noVBand="1"/>
      </w:tblPr>
      <w:tblGrid>
        <w:gridCol w:w="7"/>
        <w:gridCol w:w="194"/>
        <w:gridCol w:w="8889"/>
      </w:tblGrid>
      <w:tr w:rsidR="003F0FB2" w:rsidRPr="00DD2185" w14:paraId="295A4CAE" w14:textId="77777777" w:rsidTr="003F0FB2">
        <w:tc>
          <w:tcPr>
            <w:tcW w:w="0" w:type="auto"/>
            <w:shd w:val="clear" w:color="auto" w:fill="auto"/>
            <w:hideMark/>
          </w:tcPr>
          <w:p w14:paraId="61516826" w14:textId="77777777" w:rsidR="003F0FB2" w:rsidRPr="00DD2185" w:rsidRDefault="003F0FB2" w:rsidP="003F0FB2">
            <w:pPr>
              <w:jc w:val="both"/>
              <w:rPr>
                <w:color w:val="000000"/>
              </w:rPr>
            </w:pPr>
          </w:p>
        </w:tc>
        <w:tc>
          <w:tcPr>
            <w:tcW w:w="0" w:type="auto"/>
            <w:shd w:val="clear" w:color="auto" w:fill="auto"/>
            <w:hideMark/>
          </w:tcPr>
          <w:p w14:paraId="0B156B66" w14:textId="77777777" w:rsidR="003F0FB2" w:rsidRPr="00DD2185" w:rsidRDefault="003F0FB2" w:rsidP="003F0FB2">
            <w:pPr>
              <w:jc w:val="both"/>
            </w:pPr>
            <w:r w:rsidRPr="00DD2185">
              <w:t>1.</w:t>
            </w:r>
          </w:p>
        </w:tc>
        <w:tc>
          <w:tcPr>
            <w:tcW w:w="0" w:type="auto"/>
            <w:shd w:val="clear" w:color="auto" w:fill="auto"/>
            <w:hideMark/>
          </w:tcPr>
          <w:p w14:paraId="4FC5E99E" w14:textId="77777777" w:rsidR="003F0FB2" w:rsidRPr="00DD2185" w:rsidRDefault="003F0FB2" w:rsidP="003F0FB2">
            <w:pPr>
              <w:jc w:val="both"/>
            </w:pPr>
            <w:r w:rsidRPr="00DD2185">
              <w:t xml:space="preserve">Jméno/název: </w:t>
            </w:r>
            <w:r w:rsidRPr="00DD2185">
              <w:rPr>
                <w:b/>
                <w:bCs/>
              </w:rPr>
              <w:t>Pfizer Inc.</w:t>
            </w:r>
            <w:r w:rsidRPr="00DD2185">
              <w:t xml:space="preserve"> </w:t>
            </w:r>
          </w:p>
          <w:p w14:paraId="76A029C3" w14:textId="77777777" w:rsidR="003F0FB2" w:rsidRPr="00DD2185" w:rsidRDefault="003F0FB2" w:rsidP="003F0FB2">
            <w:pPr>
              <w:jc w:val="both"/>
            </w:pPr>
            <w:r w:rsidRPr="00DD2185">
              <w:t>Adresa: se sídlem na adrese 235 East 42nd Street, New York, New York 10017, USA</w:t>
            </w:r>
          </w:p>
          <w:p w14:paraId="796F1619" w14:textId="77777777" w:rsidR="003F0FB2" w:rsidRPr="00DD2185" w:rsidRDefault="003F0FB2" w:rsidP="003F0FB2">
            <w:pPr>
              <w:jc w:val="both"/>
            </w:pPr>
            <w:r w:rsidRPr="00DD2185">
              <w:t xml:space="preserve">Jméno, funkce a kontaktní údaje kontaktní osoby: </w:t>
            </w:r>
            <w:hyperlink r:id="rId19" w:history="1">
              <w:r w:rsidRPr="00DD2185">
                <w:rPr>
                  <w:rStyle w:val="Hyperlink"/>
                </w:rPr>
                <w:t>http://dpo.pfizer/</w:t>
              </w:r>
            </w:hyperlink>
            <w:r w:rsidRPr="00DD2185">
              <w:t xml:space="preserve"> </w:t>
            </w:r>
          </w:p>
          <w:p w14:paraId="35AFAB74" w14:textId="77777777" w:rsidR="003F0FB2" w:rsidRPr="00DD2185" w:rsidRDefault="003F0FB2" w:rsidP="003F0FB2">
            <w:pPr>
              <w:jc w:val="both"/>
            </w:pPr>
            <w:r w:rsidRPr="00DD2185">
              <w:t>Činnosti relevantní pro předávání údajů na základě těchto doložek: viz popis níže</w:t>
            </w:r>
          </w:p>
          <w:p w14:paraId="2F514A0C" w14:textId="77777777" w:rsidR="003F0FB2" w:rsidRPr="00DD2185" w:rsidRDefault="003F0FB2" w:rsidP="003F0FB2">
            <w:pPr>
              <w:jc w:val="both"/>
            </w:pPr>
            <w:r w:rsidRPr="00DD2185">
              <w:t>Podpis a datum: platné k datu podpisu hlavní smlouvy výše.</w:t>
            </w:r>
          </w:p>
          <w:p w14:paraId="5C927E15" w14:textId="77777777" w:rsidR="003F0FB2" w:rsidRPr="00DD2185" w:rsidRDefault="003F0FB2" w:rsidP="003F0FB2">
            <w:pPr>
              <w:jc w:val="both"/>
            </w:pPr>
            <w:r w:rsidRPr="00DD2185">
              <w:t>Úloha (správce/zpracovatel): správce</w:t>
            </w:r>
          </w:p>
          <w:p w14:paraId="7AFBCFA8" w14:textId="77777777" w:rsidR="003F0FB2" w:rsidRPr="00DD2185" w:rsidRDefault="003F0FB2" w:rsidP="003F0FB2">
            <w:pPr>
              <w:jc w:val="both"/>
            </w:pPr>
          </w:p>
        </w:tc>
      </w:tr>
    </w:tbl>
    <w:p w14:paraId="083C7160" w14:textId="77777777" w:rsidR="003F0FB2" w:rsidRPr="00DD2185" w:rsidRDefault="003F0FB2" w:rsidP="003F0FB2">
      <w:pPr>
        <w:shd w:val="clear" w:color="auto" w:fill="FFFFFF"/>
        <w:jc w:val="both"/>
        <w:rPr>
          <w:vanish/>
          <w:color w:val="000000"/>
        </w:rPr>
      </w:pPr>
    </w:p>
    <w:p w14:paraId="11D63244" w14:textId="3335CC2D" w:rsidR="003F0FB2" w:rsidRPr="00DD2185" w:rsidRDefault="003F0FB2" w:rsidP="003F0FB2">
      <w:pPr>
        <w:shd w:val="clear" w:color="auto" w:fill="FFFFFF"/>
        <w:jc w:val="both"/>
        <w:rPr>
          <w:b/>
          <w:bCs/>
          <w:color w:val="000000"/>
        </w:rPr>
      </w:pPr>
      <w:r w:rsidRPr="00DD2185">
        <w:rPr>
          <w:b/>
          <w:bCs/>
          <w:color w:val="000000"/>
        </w:rPr>
        <w:t>B. POPIS PŘEDÁNÍ</w:t>
      </w:r>
    </w:p>
    <w:p w14:paraId="61530BA1" w14:textId="77777777" w:rsidR="003F0FB2" w:rsidRPr="00DD2185" w:rsidRDefault="003F0FB2" w:rsidP="003F0FB2">
      <w:pPr>
        <w:shd w:val="clear" w:color="auto" w:fill="FFFFFF"/>
        <w:jc w:val="both"/>
        <w:rPr>
          <w:b/>
          <w:bCs/>
          <w:color w:val="000000"/>
        </w:rPr>
      </w:pPr>
    </w:p>
    <w:p w14:paraId="49F210C8" w14:textId="77777777" w:rsidR="003F0FB2" w:rsidRPr="00DD2185" w:rsidRDefault="003F0FB2" w:rsidP="003F0FB2">
      <w:pPr>
        <w:shd w:val="clear" w:color="auto" w:fill="FFFFFF"/>
        <w:jc w:val="both"/>
        <w:rPr>
          <w:color w:val="000000"/>
        </w:rPr>
      </w:pPr>
      <w:r w:rsidRPr="00DD2185">
        <w:rPr>
          <w:b/>
          <w:bCs/>
          <w:color w:val="000000"/>
        </w:rPr>
        <w:t>MODUL 1: Předání od správce správci</w:t>
      </w:r>
    </w:p>
    <w:p w14:paraId="667A94B5" w14:textId="77777777" w:rsidR="003F0FB2" w:rsidRPr="00DD2185" w:rsidRDefault="003F0FB2" w:rsidP="003F0FB2">
      <w:pPr>
        <w:shd w:val="clear" w:color="auto" w:fill="FFFFFF"/>
        <w:jc w:val="both"/>
        <w:rPr>
          <w:color w:val="000000"/>
        </w:rPr>
      </w:pPr>
      <w:r w:rsidRPr="00DD2185">
        <w:rPr>
          <w:b/>
          <w:bCs/>
          <w:color w:val="000000"/>
        </w:rPr>
        <w:t>MODUL 2: Předání od správce zpracovateli</w:t>
      </w:r>
    </w:p>
    <w:p w14:paraId="07A7CB9C" w14:textId="77777777" w:rsidR="003F0FB2" w:rsidRPr="00DD2185" w:rsidRDefault="003F0FB2" w:rsidP="003F0FB2">
      <w:pPr>
        <w:shd w:val="clear" w:color="auto" w:fill="FFFFFF"/>
        <w:jc w:val="both"/>
        <w:rPr>
          <w:color w:val="000000"/>
        </w:rPr>
      </w:pPr>
      <w:r w:rsidRPr="00DD2185">
        <w:rPr>
          <w:b/>
          <w:bCs/>
          <w:color w:val="000000"/>
        </w:rPr>
        <w:t>MODUL 3: Předání od zpracovatele zpracovateli</w:t>
      </w:r>
    </w:p>
    <w:p w14:paraId="4B3AC9B5" w14:textId="77777777" w:rsidR="003F0FB2" w:rsidRPr="00DD2185" w:rsidRDefault="003F0FB2" w:rsidP="003F0FB2">
      <w:pPr>
        <w:shd w:val="clear" w:color="auto" w:fill="FFFFFF"/>
        <w:jc w:val="both"/>
        <w:rPr>
          <w:b/>
          <w:bCs/>
          <w:color w:val="000000"/>
        </w:rPr>
      </w:pPr>
      <w:r w:rsidRPr="00DD2185">
        <w:rPr>
          <w:b/>
          <w:bCs/>
          <w:color w:val="000000"/>
        </w:rPr>
        <w:t>MODUL 4: Předání od zpracovatele správci</w:t>
      </w:r>
    </w:p>
    <w:p w14:paraId="2958FAC6" w14:textId="77777777" w:rsidR="003F0FB2" w:rsidRPr="00DD2185" w:rsidRDefault="003F0FB2" w:rsidP="003F0FB2">
      <w:pPr>
        <w:shd w:val="clear" w:color="auto" w:fill="FFFFFF"/>
        <w:jc w:val="both"/>
        <w:rPr>
          <w:color w:val="000000"/>
        </w:rPr>
      </w:pPr>
    </w:p>
    <w:p w14:paraId="5599457C" w14:textId="77777777" w:rsidR="003F0FB2" w:rsidRPr="00DD2185" w:rsidRDefault="003F0FB2" w:rsidP="003F0FB2">
      <w:pPr>
        <w:shd w:val="clear" w:color="auto" w:fill="FFFFFF"/>
        <w:jc w:val="both"/>
        <w:rPr>
          <w:i/>
          <w:iCs/>
          <w:color w:val="000000"/>
        </w:rPr>
      </w:pPr>
      <w:r w:rsidRPr="00DD2185">
        <w:rPr>
          <w:i/>
          <w:iCs/>
          <w:color w:val="000000"/>
        </w:rPr>
        <w:t>Kategorie subjektů údajů, jejichž osobní údaje se předávají</w:t>
      </w:r>
    </w:p>
    <w:p w14:paraId="740B91CA" w14:textId="77777777" w:rsidR="003F0FB2" w:rsidRPr="00DD2185" w:rsidRDefault="003F0FB2" w:rsidP="003F0FB2">
      <w:pPr>
        <w:shd w:val="clear" w:color="auto" w:fill="FFFFFF"/>
        <w:jc w:val="both"/>
        <w:rPr>
          <w:color w:val="000000"/>
        </w:rPr>
      </w:pPr>
    </w:p>
    <w:p w14:paraId="7AE4FA39" w14:textId="77777777" w:rsidR="003F0FB2" w:rsidRPr="00DD2185" w:rsidRDefault="003F0FB2" w:rsidP="003F0FB2">
      <w:pPr>
        <w:widowControl/>
        <w:numPr>
          <w:ilvl w:val="0"/>
          <w:numId w:val="36"/>
        </w:numPr>
        <w:jc w:val="both"/>
        <w:rPr>
          <w:spacing w:val="-2"/>
        </w:rPr>
      </w:pPr>
      <w:r w:rsidRPr="00DD2185">
        <w:rPr>
          <w:lang w:val="cs"/>
        </w:rPr>
        <w:t>Subjekty vědeckého a klinického výzkumu, mimo jiné včetně účastníků klinických hodnocení nebo jiného klinického výzkumu, nebo jejich zákonní zástupci.</w:t>
      </w:r>
    </w:p>
    <w:p w14:paraId="3D60690C" w14:textId="77777777" w:rsidR="003F0FB2" w:rsidRPr="00DD2185" w:rsidRDefault="003F0FB2" w:rsidP="003F0FB2">
      <w:pPr>
        <w:widowControl/>
        <w:numPr>
          <w:ilvl w:val="0"/>
          <w:numId w:val="36"/>
        </w:numPr>
        <w:jc w:val="both"/>
        <w:rPr>
          <w:spacing w:val="-2"/>
        </w:rPr>
      </w:pPr>
      <w:r w:rsidRPr="00DD2185">
        <w:rPr>
          <w:lang w:val="cs"/>
        </w:rPr>
        <w:lastRenderedPageBreak/>
        <w:t>Osoby, které provádějí klinická hodnocení a klinický výzkum, včetně zaměstnanců vědeckých a klinických výzkumných zkoušejících a jejich pracovníků (jako jsou lékaři a jiní zdravotničtí odborníci).</w:t>
      </w:r>
    </w:p>
    <w:p w14:paraId="36AAD371" w14:textId="77777777" w:rsidR="003F0FB2" w:rsidRPr="00DD2185" w:rsidRDefault="003F0FB2" w:rsidP="003F0FB2">
      <w:pPr>
        <w:widowControl/>
        <w:numPr>
          <w:ilvl w:val="0"/>
          <w:numId w:val="36"/>
        </w:numPr>
        <w:jc w:val="both"/>
        <w:rPr>
          <w:spacing w:val="-2"/>
        </w:rPr>
      </w:pPr>
      <w:r w:rsidRPr="00DD2185">
        <w:rPr>
          <w:lang w:val="cs"/>
        </w:rPr>
        <w:t>Jednotlivci, kteří jsou členy vědeckých a etických komisí.</w:t>
      </w:r>
    </w:p>
    <w:p w14:paraId="527E66F9" w14:textId="77777777" w:rsidR="003F0FB2" w:rsidRPr="00DD2185" w:rsidRDefault="003F0FB2" w:rsidP="003F0FB2">
      <w:pPr>
        <w:widowControl w:val="0"/>
        <w:autoSpaceDE w:val="0"/>
        <w:autoSpaceDN w:val="0"/>
        <w:adjustRightInd w:val="0"/>
        <w:ind w:left="576"/>
        <w:jc w:val="both"/>
        <w:rPr>
          <w:spacing w:val="-2"/>
        </w:rPr>
      </w:pPr>
    </w:p>
    <w:p w14:paraId="56413EE4" w14:textId="77777777" w:rsidR="003F0FB2" w:rsidRPr="00DD2185" w:rsidRDefault="003F0FB2" w:rsidP="003F0FB2">
      <w:pPr>
        <w:shd w:val="clear" w:color="auto" w:fill="FFFFFF"/>
        <w:jc w:val="both"/>
        <w:rPr>
          <w:i/>
          <w:iCs/>
          <w:color w:val="000000"/>
        </w:rPr>
      </w:pPr>
      <w:r w:rsidRPr="00DD2185">
        <w:rPr>
          <w:i/>
          <w:iCs/>
          <w:color w:val="000000"/>
        </w:rPr>
        <w:t>Kategorie předávaných osobních údajů</w:t>
      </w:r>
    </w:p>
    <w:p w14:paraId="201681E7" w14:textId="77777777" w:rsidR="003F0FB2" w:rsidRPr="00DD2185" w:rsidRDefault="003F0FB2" w:rsidP="003F0FB2">
      <w:pPr>
        <w:shd w:val="clear" w:color="auto" w:fill="FFFFFF"/>
        <w:jc w:val="both"/>
        <w:rPr>
          <w:color w:val="000000"/>
        </w:rPr>
      </w:pPr>
    </w:p>
    <w:p w14:paraId="1A8242ED" w14:textId="77777777" w:rsidR="003F0FB2" w:rsidRPr="00DD2185" w:rsidRDefault="003F0FB2" w:rsidP="003F0FB2">
      <w:pPr>
        <w:pStyle w:val="BodyText"/>
        <w:numPr>
          <w:ilvl w:val="0"/>
          <w:numId w:val="37"/>
        </w:numPr>
        <w:spacing w:after="0"/>
        <w:jc w:val="both"/>
        <w:rPr>
          <w:spacing w:val="-2"/>
        </w:rPr>
      </w:pPr>
      <w:r w:rsidRPr="00DD2185">
        <w:rPr>
          <w:b/>
          <w:bCs/>
          <w:lang w:val="cs"/>
        </w:rPr>
        <w:t>Pro subjekty vědeckého a klinického výzkumu:</w:t>
      </w:r>
      <w:r w:rsidRPr="00DD2185">
        <w:rPr>
          <w:lang w:val="cs"/>
        </w:rPr>
        <w:t xml:space="preserve"> Klíčem zakódované informace, ostatní příslušné identifikátory (např. identifikační číslo pacienta), věk nebo věková kategorie (např. dospívající, dospělý, staršího věku) nebo datum narození, související zdravotní stavy, předchorobí, podstatná rodinná anamnéza, země a ostatní lékařské nebo zdravotní a bezpečnostní záznamy.</w:t>
      </w:r>
    </w:p>
    <w:p w14:paraId="124E46EE" w14:textId="77777777" w:rsidR="003F0FB2" w:rsidRPr="00DD2185" w:rsidRDefault="003F0FB2" w:rsidP="003F0FB2">
      <w:pPr>
        <w:widowControl/>
        <w:numPr>
          <w:ilvl w:val="0"/>
          <w:numId w:val="36"/>
        </w:numPr>
        <w:jc w:val="both"/>
        <w:rPr>
          <w:b/>
          <w:bCs/>
          <w:spacing w:val="-2"/>
        </w:rPr>
      </w:pPr>
      <w:r w:rsidRPr="00DD2185">
        <w:rPr>
          <w:b/>
          <w:bCs/>
          <w:lang w:val="cs"/>
        </w:rPr>
        <w:t xml:space="preserve">Pro osoby, které provádějí klinická hodnocení a klinický výzkum, včetně zaměstnanců vědeckých a klinických výzkumných zkoušejících a jejich pracovníků (jako jsou lékaři a jiní zdravotničtí odborníci): </w:t>
      </w:r>
      <w:r w:rsidRPr="00DD2185">
        <w:rPr>
          <w:lang w:val="cs"/>
        </w:rPr>
        <w:t>Kontaktní údaje a další podstatné informace, jako jsou jméno, adresa, e-mail a telefonní číslo, věk, titul, profesní oprávnění, školení a odbornosti, zdravotnické zařízení, náležitost k publikacím, dosavadní vzdělání, jazykové schopnosti, ostatní údaje obsažené v životopise, platby nebo jiné finanční informace nezbytné k zasílání úhrad za služby, informace nezbytné k zajišťování cest a informace o výkonech.</w:t>
      </w:r>
      <w:r w:rsidRPr="00DD2185">
        <w:rPr>
          <w:b/>
          <w:bCs/>
          <w:lang w:val="cs"/>
        </w:rPr>
        <w:t xml:space="preserve"> </w:t>
      </w:r>
    </w:p>
    <w:p w14:paraId="6003E137" w14:textId="77777777" w:rsidR="003F0FB2" w:rsidRPr="00DD2185" w:rsidRDefault="003F0FB2" w:rsidP="003F0FB2">
      <w:pPr>
        <w:widowControl/>
        <w:numPr>
          <w:ilvl w:val="0"/>
          <w:numId w:val="36"/>
        </w:numPr>
        <w:jc w:val="both"/>
        <w:rPr>
          <w:spacing w:val="-2"/>
        </w:rPr>
      </w:pPr>
      <w:r w:rsidRPr="00DD2185">
        <w:rPr>
          <w:b/>
          <w:bCs/>
          <w:lang w:val="cs"/>
        </w:rPr>
        <w:t>Pro jednotlivce, kteří jsou členy institucionálních hodnotících komisí a vědeckých a etických komisí:</w:t>
      </w:r>
      <w:r w:rsidRPr="00DD2185">
        <w:rPr>
          <w:lang w:val="cs"/>
        </w:rPr>
        <w:t xml:space="preserve"> Kontaktní údaje a další podstatné informace, jako jsou jméno, adresa, e-mail a telefonní číslo, věk, titul, profesní oprávnění, školení a odbornosti, zdravotnické zařízení, náležitost k publikacím, dosavadní vzdělání, jazykové schopnosti, ostatní údaje obsažené v životopise, platby nebo jiné finanční informace nezbytné k zasílání úhrad za služby, informace nezbytné k zajišťování cest a informace o výkonech.</w:t>
      </w:r>
    </w:p>
    <w:p w14:paraId="0FE3E322" w14:textId="77777777" w:rsidR="003F0FB2" w:rsidRPr="00DD2185" w:rsidRDefault="003F0FB2" w:rsidP="003F0FB2">
      <w:pPr>
        <w:shd w:val="clear" w:color="auto" w:fill="FFFFFF"/>
        <w:jc w:val="both"/>
        <w:rPr>
          <w:color w:val="000000"/>
        </w:rPr>
      </w:pPr>
    </w:p>
    <w:p w14:paraId="348D5543" w14:textId="77777777" w:rsidR="003F0FB2" w:rsidRPr="00DD2185" w:rsidRDefault="003F0FB2" w:rsidP="003F0FB2">
      <w:pPr>
        <w:shd w:val="clear" w:color="auto" w:fill="FFFFFF"/>
        <w:jc w:val="both"/>
        <w:rPr>
          <w:i/>
          <w:iCs/>
          <w:color w:val="000000"/>
        </w:rPr>
      </w:pPr>
      <w:r w:rsidRPr="00DD2185">
        <w:rPr>
          <w:i/>
          <w:iCs/>
          <w:color w:val="000000"/>
        </w:rPr>
        <w:t>Citlivé údaje, které se předávají (v příslušných případech), a uplatněná omezení nebo záruky, jež plně zohledňují povahu údajů a související rizika, například přísné účelové omezení, omezení přístupu (včetně přístupu pouze pro zaměstnance, kteří absolvovali specializované školení), vedení záznamu o přístupu k údajům, omezení pro další předávání nebo dodatečná bezpečnostní opatření.</w:t>
      </w:r>
    </w:p>
    <w:p w14:paraId="2D0CB0E0" w14:textId="77777777" w:rsidR="003F0FB2" w:rsidRPr="00DD2185" w:rsidRDefault="003F0FB2" w:rsidP="003F0FB2">
      <w:pPr>
        <w:shd w:val="clear" w:color="auto" w:fill="FFFFFF"/>
        <w:jc w:val="both"/>
        <w:rPr>
          <w:color w:val="000000"/>
        </w:rPr>
      </w:pPr>
    </w:p>
    <w:p w14:paraId="5AEA4A6E" w14:textId="77777777" w:rsidR="003F0FB2" w:rsidRPr="00DD2185" w:rsidRDefault="003F0FB2" w:rsidP="003F0FB2">
      <w:pPr>
        <w:shd w:val="clear" w:color="auto" w:fill="FFFFFF"/>
        <w:jc w:val="both"/>
        <w:rPr>
          <w:rFonts w:eastAsia="Calibri"/>
          <w:lang w:val="cs"/>
        </w:rPr>
      </w:pPr>
      <w:r w:rsidRPr="00DD2185">
        <w:rPr>
          <w:rFonts w:eastAsia="Calibri"/>
          <w:lang w:val="cs"/>
        </w:rPr>
        <w:t>Citlivé osobní údaje povolené platnými právními předpisy. U subjektů výzkumu mohou citlivé osobní údaje zahrnovat například: klíčem zakódované informace související s určitými zdravotními stavy a léčbami, předchorobí, podstatnou rodinnou anamnézu a diagnostické informace, zdravotnické informace související s nežádoucími příhodami s stížnostmi na kvalitu výrobku, informace související se sexuálními životem nebo praktikami a demografické údaje, které mohou zahrnovat rasový nebo etnický původ nebo jiné citlivé údaje, které mohou být podstatné pro nežádoucí příhodu.</w:t>
      </w:r>
    </w:p>
    <w:p w14:paraId="69363B9E" w14:textId="77777777" w:rsidR="003F0FB2" w:rsidRPr="00DD2185" w:rsidRDefault="003F0FB2" w:rsidP="003F0FB2">
      <w:pPr>
        <w:shd w:val="clear" w:color="auto" w:fill="FFFFFF"/>
        <w:jc w:val="both"/>
        <w:rPr>
          <w:color w:val="000000"/>
        </w:rPr>
      </w:pPr>
    </w:p>
    <w:p w14:paraId="609A1E8C" w14:textId="77777777" w:rsidR="003F0FB2" w:rsidRPr="00DD2185" w:rsidRDefault="003F0FB2" w:rsidP="003F0FB2">
      <w:pPr>
        <w:shd w:val="clear" w:color="auto" w:fill="FFFFFF"/>
        <w:jc w:val="both"/>
        <w:rPr>
          <w:color w:val="000000"/>
        </w:rPr>
      </w:pPr>
      <w:r w:rsidRPr="00DD2185">
        <w:rPr>
          <w:i/>
          <w:iCs/>
          <w:color w:val="000000"/>
        </w:rPr>
        <w:t>Četnost předávání (např. zda jsou údaje předávány jednorázově nebo průběžně).</w:t>
      </w:r>
    </w:p>
    <w:p w14:paraId="1392CE42" w14:textId="77777777" w:rsidR="003F0FB2" w:rsidRPr="00DD2185" w:rsidRDefault="003F0FB2" w:rsidP="003F0FB2">
      <w:pPr>
        <w:pStyle w:val="Default"/>
        <w:jc w:val="both"/>
        <w:rPr>
          <w:lang w:val="cs"/>
        </w:rPr>
      </w:pPr>
    </w:p>
    <w:p w14:paraId="01FF74F3" w14:textId="77777777" w:rsidR="003F0FB2" w:rsidRPr="00DD2185" w:rsidRDefault="003F0FB2" w:rsidP="003F0FB2">
      <w:pPr>
        <w:pStyle w:val="Default"/>
        <w:jc w:val="both"/>
        <w:rPr>
          <w:lang w:val="cs"/>
        </w:rPr>
      </w:pPr>
      <w:r w:rsidRPr="00DD2185">
        <w:rPr>
          <w:lang w:val="cs"/>
        </w:rPr>
        <w:t>Údaje budou přenášeny průběžně po dobu trvání klinického hodnocení.</w:t>
      </w:r>
    </w:p>
    <w:p w14:paraId="40363FE1" w14:textId="77777777" w:rsidR="003F0FB2" w:rsidRPr="00DD2185" w:rsidRDefault="003F0FB2" w:rsidP="003F0FB2">
      <w:pPr>
        <w:pStyle w:val="Default"/>
        <w:jc w:val="both"/>
        <w:rPr>
          <w:iCs/>
        </w:rPr>
      </w:pPr>
    </w:p>
    <w:p w14:paraId="7C3D7E04" w14:textId="77777777" w:rsidR="003F0FB2" w:rsidRPr="00DD2185" w:rsidRDefault="003F0FB2" w:rsidP="003F0FB2">
      <w:pPr>
        <w:shd w:val="clear" w:color="auto" w:fill="FFFFFF"/>
        <w:jc w:val="both"/>
        <w:rPr>
          <w:i/>
          <w:iCs/>
          <w:color w:val="000000"/>
        </w:rPr>
      </w:pPr>
      <w:r w:rsidRPr="00DD2185">
        <w:rPr>
          <w:i/>
          <w:iCs/>
          <w:color w:val="000000"/>
        </w:rPr>
        <w:t>Povaha zpracování</w:t>
      </w:r>
    </w:p>
    <w:p w14:paraId="5E186A25" w14:textId="77777777" w:rsidR="003F0FB2" w:rsidRPr="00DD2185" w:rsidRDefault="003F0FB2" w:rsidP="003F0FB2">
      <w:pPr>
        <w:shd w:val="clear" w:color="auto" w:fill="FFFFFF"/>
        <w:jc w:val="both"/>
        <w:rPr>
          <w:color w:val="000000"/>
        </w:rPr>
      </w:pPr>
    </w:p>
    <w:p w14:paraId="69ACEFAC" w14:textId="77777777" w:rsidR="003F0FB2" w:rsidRPr="00DD2185" w:rsidRDefault="003F0FB2" w:rsidP="003F0FB2">
      <w:pPr>
        <w:shd w:val="clear" w:color="auto" w:fill="FFFFFF"/>
        <w:jc w:val="both"/>
        <w:rPr>
          <w:i/>
          <w:iCs/>
          <w:color w:val="000000"/>
        </w:rPr>
      </w:pPr>
      <w:r w:rsidRPr="00DD2185">
        <w:rPr>
          <w:lang w:val="cs"/>
        </w:rPr>
        <w:t>Zpracování sestává ze shromažďování, použití, přenosu, sdělení, uskladnění a analýzy osobních údajů pro účely provádění klinické výzkumné studie.</w:t>
      </w:r>
    </w:p>
    <w:p w14:paraId="2A737858" w14:textId="77777777" w:rsidR="003F0FB2" w:rsidRPr="00DD2185" w:rsidRDefault="003F0FB2" w:rsidP="003F0FB2">
      <w:pPr>
        <w:shd w:val="clear" w:color="auto" w:fill="FFFFFF"/>
        <w:jc w:val="both"/>
        <w:rPr>
          <w:color w:val="000000"/>
        </w:rPr>
      </w:pPr>
    </w:p>
    <w:p w14:paraId="2ADCA029" w14:textId="77777777" w:rsidR="003F0FB2" w:rsidRPr="00DD2185" w:rsidRDefault="003F0FB2" w:rsidP="003F0FB2">
      <w:pPr>
        <w:shd w:val="clear" w:color="auto" w:fill="FFFFFF"/>
        <w:jc w:val="both"/>
        <w:rPr>
          <w:i/>
          <w:iCs/>
          <w:color w:val="000000"/>
        </w:rPr>
      </w:pPr>
      <w:r w:rsidRPr="00DD2185">
        <w:rPr>
          <w:i/>
          <w:iCs/>
          <w:color w:val="000000"/>
        </w:rPr>
        <w:t>Účel nebo účely předání údajů a další zpracování</w:t>
      </w:r>
    </w:p>
    <w:p w14:paraId="6CF916B7" w14:textId="77777777" w:rsidR="003F0FB2" w:rsidRPr="00DD2185" w:rsidRDefault="003F0FB2" w:rsidP="003F0FB2">
      <w:pPr>
        <w:shd w:val="clear" w:color="auto" w:fill="FFFFFF"/>
        <w:jc w:val="both"/>
        <w:rPr>
          <w:color w:val="000000"/>
        </w:rPr>
      </w:pPr>
    </w:p>
    <w:p w14:paraId="2AE951CF" w14:textId="77777777" w:rsidR="003F0FB2" w:rsidRPr="00DD2185" w:rsidRDefault="003F0FB2" w:rsidP="003F0FB2">
      <w:pPr>
        <w:pStyle w:val="BodyText"/>
        <w:numPr>
          <w:ilvl w:val="0"/>
          <w:numId w:val="39"/>
        </w:numPr>
        <w:spacing w:after="0"/>
        <w:jc w:val="both"/>
        <w:rPr>
          <w:lang w:val="it-IT"/>
        </w:rPr>
      </w:pPr>
      <w:r w:rsidRPr="00DD2185">
        <w:rPr>
          <w:b/>
          <w:bCs/>
          <w:lang w:val="cs"/>
        </w:rPr>
        <w:t>Výzkumná činnost</w:t>
      </w:r>
      <w:r w:rsidRPr="00DD2185">
        <w:rPr>
          <w:lang w:val="cs"/>
        </w:rPr>
        <w:t>: podpůrné činnosti související s vědeckým a klinickým výzkumem a studiemi, včetně provádění a analýz klinických hodnocení a výzkumu, a posuzováním bezpečnosti a účinnosti výrobků.</w:t>
      </w:r>
    </w:p>
    <w:p w14:paraId="53F43842" w14:textId="77777777" w:rsidR="003F0FB2" w:rsidRPr="00DD2185" w:rsidRDefault="003F0FB2" w:rsidP="003F0FB2">
      <w:pPr>
        <w:pStyle w:val="ListParagraph"/>
        <w:numPr>
          <w:ilvl w:val="0"/>
          <w:numId w:val="38"/>
        </w:numPr>
        <w:jc w:val="both"/>
        <w:rPr>
          <w:color w:val="000000"/>
        </w:rPr>
      </w:pPr>
      <w:proofErr w:type="spellStart"/>
      <w:r w:rsidRPr="00DD2185">
        <w:rPr>
          <w:b/>
          <w:bCs/>
          <w:color w:val="000000"/>
          <w:lang w:val="cs"/>
        </w:rPr>
        <w:t>Farmakovigilance</w:t>
      </w:r>
      <w:proofErr w:type="spellEnd"/>
      <w:r w:rsidRPr="00DD2185">
        <w:rPr>
          <w:color w:val="000000"/>
          <w:lang w:val="cs"/>
        </w:rPr>
        <w:t>:</w:t>
      </w:r>
      <w:r w:rsidRPr="00DD2185">
        <w:rPr>
          <w:b/>
          <w:bCs/>
          <w:color w:val="000000"/>
          <w:lang w:val="cs"/>
        </w:rPr>
        <w:t xml:space="preserve"> </w:t>
      </w:r>
      <w:r w:rsidRPr="00DD2185">
        <w:rPr>
          <w:color w:val="000000"/>
          <w:lang w:val="cs"/>
        </w:rPr>
        <w:t xml:space="preserve">hlášení nežádoucích příhod. </w:t>
      </w:r>
    </w:p>
    <w:p w14:paraId="5B1F0F72" w14:textId="77777777" w:rsidR="003F0FB2" w:rsidRPr="00DD2185" w:rsidRDefault="003F0FB2" w:rsidP="003F0FB2">
      <w:pPr>
        <w:pStyle w:val="Body1"/>
        <w:numPr>
          <w:ilvl w:val="0"/>
          <w:numId w:val="38"/>
        </w:numPr>
        <w:spacing w:after="0" w:line="240" w:lineRule="auto"/>
        <w:rPr>
          <w:rFonts w:ascii="Times New Roman" w:hAnsi="Times New Roman"/>
          <w:sz w:val="24"/>
          <w:szCs w:val="24"/>
        </w:rPr>
      </w:pPr>
      <w:r w:rsidRPr="00DD2185">
        <w:rPr>
          <w:rFonts w:ascii="Times New Roman" w:hAnsi="Times New Roman"/>
          <w:b/>
          <w:bCs/>
          <w:sz w:val="24"/>
          <w:szCs w:val="24"/>
          <w:lang w:val="cs"/>
        </w:rPr>
        <w:t>Realizace studie</w:t>
      </w:r>
      <w:r w:rsidRPr="00DD2185">
        <w:rPr>
          <w:rFonts w:ascii="Times New Roman" w:hAnsi="Times New Roman"/>
          <w:sz w:val="24"/>
          <w:szCs w:val="24"/>
          <w:lang w:val="cs"/>
        </w:rPr>
        <w:t>: provádění studie, včetně zařazování pacientů, plánování studie, posuzování vhodnosti pracovišť a jejich výběr, implementace studie, správa klinického hodnocení a informačních systémů, monitoring a činnosti související s platbami.</w:t>
      </w:r>
    </w:p>
    <w:p w14:paraId="51A06F97" w14:textId="77777777" w:rsidR="003F0FB2" w:rsidRPr="00DD2185" w:rsidRDefault="003F0FB2" w:rsidP="003F0FB2">
      <w:pPr>
        <w:pStyle w:val="Body1"/>
        <w:numPr>
          <w:ilvl w:val="0"/>
          <w:numId w:val="38"/>
        </w:numPr>
        <w:spacing w:after="0" w:line="240" w:lineRule="auto"/>
        <w:rPr>
          <w:rFonts w:ascii="Times New Roman" w:hAnsi="Times New Roman"/>
          <w:sz w:val="24"/>
          <w:szCs w:val="24"/>
        </w:rPr>
      </w:pPr>
      <w:r w:rsidRPr="00DD2185">
        <w:rPr>
          <w:rFonts w:ascii="Times New Roman" w:hAnsi="Times New Roman"/>
          <w:b/>
          <w:bCs/>
          <w:sz w:val="24"/>
          <w:szCs w:val="24"/>
          <w:lang w:val="cs"/>
        </w:rPr>
        <w:t>Shoda</w:t>
      </w:r>
      <w:r w:rsidRPr="00DD2185">
        <w:rPr>
          <w:rFonts w:ascii="Times New Roman" w:hAnsi="Times New Roman"/>
          <w:sz w:val="24"/>
          <w:szCs w:val="24"/>
          <w:lang w:val="cs"/>
        </w:rPr>
        <w:t>: dodržování právních a ostatních požadavků, jako jsou povinnost vést záznamy a podávat hlášení, provádění auditů, spolupráce při vládních inspekcích, dodržování kontrolních rámců, včetně závazků podle EFPIA vztahujících se na převody hodnot, a ostatních požadavků vznesených vládními a ostatními veřejnými orgány.</w:t>
      </w:r>
    </w:p>
    <w:p w14:paraId="12E5D245" w14:textId="77777777" w:rsidR="003F0FB2" w:rsidRPr="00DD2185" w:rsidRDefault="003F0FB2" w:rsidP="003F0FB2">
      <w:pPr>
        <w:shd w:val="clear" w:color="auto" w:fill="FFFFFF"/>
        <w:jc w:val="both"/>
        <w:rPr>
          <w:color w:val="000000"/>
        </w:rPr>
      </w:pPr>
    </w:p>
    <w:p w14:paraId="15C04F73" w14:textId="77777777" w:rsidR="003F0FB2" w:rsidRPr="00DD2185" w:rsidRDefault="003F0FB2" w:rsidP="003F0FB2">
      <w:pPr>
        <w:shd w:val="clear" w:color="auto" w:fill="FFFFFF"/>
        <w:jc w:val="both"/>
        <w:rPr>
          <w:color w:val="000000"/>
        </w:rPr>
      </w:pPr>
      <w:r w:rsidRPr="00DD2185">
        <w:rPr>
          <w:i/>
          <w:iCs/>
          <w:color w:val="000000"/>
        </w:rPr>
        <w:t>Doba, po kterou budou osobní údaje uchovávány, nebo není-li ji možné určit, kritéria použitá pro stanovení této doby</w:t>
      </w:r>
    </w:p>
    <w:p w14:paraId="0DB4B2F7" w14:textId="77777777" w:rsidR="003F0FB2" w:rsidRPr="00DD2185" w:rsidRDefault="003F0FB2" w:rsidP="003F0FB2">
      <w:pPr>
        <w:shd w:val="clear" w:color="auto" w:fill="FFFFFF"/>
        <w:jc w:val="both"/>
        <w:rPr>
          <w:i/>
          <w:iCs/>
          <w:color w:val="000000"/>
        </w:rPr>
      </w:pPr>
    </w:p>
    <w:p w14:paraId="68426C71" w14:textId="77777777" w:rsidR="003F0FB2" w:rsidRPr="00DD2185" w:rsidRDefault="003F0FB2" w:rsidP="003F0FB2">
      <w:pPr>
        <w:pStyle w:val="Default"/>
        <w:jc w:val="both"/>
      </w:pPr>
      <w:r w:rsidRPr="00DD2185">
        <w:rPr>
          <w:lang w:val="cs"/>
        </w:rPr>
        <w:t>Osobní údaje budou uchovávány po dobu nezbytnou k naplnění účelu přenosu údajů a podle požadavků příslušných právních předpisů.</w:t>
      </w:r>
    </w:p>
    <w:p w14:paraId="57472C87" w14:textId="77777777" w:rsidR="003F0FB2" w:rsidRPr="00DD2185" w:rsidRDefault="003F0FB2" w:rsidP="003F0FB2">
      <w:pPr>
        <w:shd w:val="clear" w:color="auto" w:fill="FFFFFF"/>
        <w:jc w:val="both"/>
        <w:rPr>
          <w:color w:val="000000"/>
        </w:rPr>
      </w:pPr>
    </w:p>
    <w:p w14:paraId="60840C16" w14:textId="77777777" w:rsidR="003F0FB2" w:rsidRPr="00DD2185" w:rsidRDefault="003F0FB2" w:rsidP="003F0FB2">
      <w:pPr>
        <w:shd w:val="clear" w:color="auto" w:fill="FFFFFF"/>
        <w:jc w:val="both"/>
        <w:rPr>
          <w:color w:val="000000"/>
        </w:rPr>
      </w:pPr>
      <w:r w:rsidRPr="00DD2185">
        <w:rPr>
          <w:i/>
          <w:iCs/>
          <w:color w:val="000000"/>
        </w:rPr>
        <w:t>Pokud jde o předávání (dílčím) zpracovatelům, rovněž uveďte předmět, povahu a trvání zpracování</w:t>
      </w:r>
    </w:p>
    <w:p w14:paraId="44D0880D" w14:textId="77777777" w:rsidR="003F0FB2" w:rsidRPr="00DD2185" w:rsidRDefault="003F0FB2" w:rsidP="003F0FB2">
      <w:pPr>
        <w:shd w:val="clear" w:color="auto" w:fill="FFFFFF"/>
        <w:jc w:val="both"/>
        <w:rPr>
          <w:i/>
          <w:iCs/>
          <w:color w:val="000000"/>
        </w:rPr>
      </w:pPr>
    </w:p>
    <w:p w14:paraId="0F002F52" w14:textId="77777777" w:rsidR="003F0FB2" w:rsidRPr="00DD2185" w:rsidRDefault="003F0FB2" w:rsidP="003F0FB2">
      <w:pPr>
        <w:pStyle w:val="BodyText"/>
        <w:spacing w:after="0"/>
        <w:jc w:val="both"/>
      </w:pPr>
      <w:r w:rsidRPr="00DD2185">
        <w:rPr>
          <w:lang w:val="cs"/>
        </w:rPr>
        <w:t>Dovozce údajů může v případě potřeby pověřit zpracovatele, který zprostředkuje činnosti dovozce údajů související s prováděním klinického hodnocení. Doba trvání zpracování je na dobu nezbytnou pro provádění klinického hodnocení po celou jeho životnost. Následuje seznam činností, do kterých jsou zpracovatelé zapojeni.</w:t>
      </w:r>
    </w:p>
    <w:p w14:paraId="1524130A" w14:textId="77777777" w:rsidR="003F0FB2" w:rsidRPr="00DD2185" w:rsidRDefault="003F0FB2" w:rsidP="003F0FB2">
      <w:pPr>
        <w:pStyle w:val="BodyText"/>
        <w:numPr>
          <w:ilvl w:val="0"/>
          <w:numId w:val="40"/>
        </w:numPr>
        <w:spacing w:after="0"/>
        <w:jc w:val="both"/>
      </w:pPr>
      <w:r w:rsidRPr="00DD2185">
        <w:rPr>
          <w:b/>
          <w:bCs/>
          <w:lang w:val="cs"/>
        </w:rPr>
        <w:t>Řízení klinických hodnocení</w:t>
      </w:r>
      <w:r w:rsidRPr="00DD2185">
        <w:rPr>
          <w:lang w:val="cs"/>
        </w:rPr>
        <w:t xml:space="preserve"> – řízení projektu činností klinického hodnocení. </w:t>
      </w:r>
    </w:p>
    <w:p w14:paraId="23FB2D98" w14:textId="77777777" w:rsidR="003F0FB2" w:rsidRPr="00DD2185" w:rsidRDefault="003F0FB2" w:rsidP="003F0FB2">
      <w:pPr>
        <w:pStyle w:val="BodyText"/>
        <w:numPr>
          <w:ilvl w:val="0"/>
          <w:numId w:val="40"/>
        </w:numPr>
        <w:spacing w:after="0"/>
        <w:jc w:val="both"/>
      </w:pPr>
      <w:r w:rsidRPr="00DD2185">
        <w:rPr>
          <w:b/>
          <w:bCs/>
          <w:lang w:val="cs"/>
        </w:rPr>
        <w:t xml:space="preserve">Řízení klinických údajů </w:t>
      </w:r>
      <w:r w:rsidRPr="00DD2185">
        <w:rPr>
          <w:lang w:val="cs"/>
        </w:rPr>
        <w:t xml:space="preserve">– shromažďování a posuzování údajů z klinických hodnocení. </w:t>
      </w:r>
    </w:p>
    <w:p w14:paraId="7610D437" w14:textId="77777777" w:rsidR="003F0FB2" w:rsidRPr="00DD2185" w:rsidRDefault="003F0FB2" w:rsidP="003F0FB2">
      <w:pPr>
        <w:pStyle w:val="BodyText"/>
        <w:numPr>
          <w:ilvl w:val="0"/>
          <w:numId w:val="40"/>
        </w:numPr>
        <w:spacing w:after="0"/>
        <w:jc w:val="both"/>
        <w:rPr>
          <w:i/>
          <w:iCs/>
          <w:color w:val="215868" w:themeColor="accent5" w:themeShade="80"/>
        </w:rPr>
      </w:pPr>
      <w:r w:rsidRPr="00DD2185">
        <w:rPr>
          <w:b/>
          <w:bCs/>
          <w:lang w:val="cs"/>
        </w:rPr>
        <w:t xml:space="preserve">Interaktivní komunikační systém </w:t>
      </w:r>
      <w:r w:rsidRPr="00DD2185">
        <w:rPr>
          <w:lang w:val="cs"/>
        </w:rPr>
        <w:t xml:space="preserve">– řízení zařazování pacientů, randomizace, správa inventáře a výdej hodnoceného léčiva. </w:t>
      </w:r>
    </w:p>
    <w:p w14:paraId="7EAA446D" w14:textId="77777777" w:rsidR="003F0FB2" w:rsidRPr="00DD2185" w:rsidRDefault="003F0FB2" w:rsidP="003F0FB2">
      <w:pPr>
        <w:pStyle w:val="BodyText"/>
        <w:numPr>
          <w:ilvl w:val="0"/>
          <w:numId w:val="40"/>
        </w:numPr>
        <w:spacing w:after="0"/>
        <w:jc w:val="both"/>
      </w:pPr>
      <w:r w:rsidRPr="00DD2185">
        <w:rPr>
          <w:b/>
          <w:bCs/>
          <w:lang w:val="cs"/>
        </w:rPr>
        <w:t xml:space="preserve">Řízení klinických dodávek </w:t>
      </w:r>
      <w:r w:rsidRPr="00DD2185">
        <w:rPr>
          <w:lang w:val="cs"/>
        </w:rPr>
        <w:t xml:space="preserve">– řešení dodavatelského řetězce pro klinické hodnocení, jako je balení a značení, tradiční balení, uskladnění a distribuce. </w:t>
      </w:r>
    </w:p>
    <w:p w14:paraId="651012F0" w14:textId="31E6B204" w:rsidR="003F0FB2" w:rsidRPr="00DD2185" w:rsidRDefault="003F0FB2" w:rsidP="003F0FB2">
      <w:pPr>
        <w:pStyle w:val="BodyText"/>
        <w:numPr>
          <w:ilvl w:val="0"/>
          <w:numId w:val="40"/>
        </w:numPr>
        <w:spacing w:after="0"/>
        <w:jc w:val="both"/>
        <w:rPr>
          <w:i/>
          <w:iCs/>
          <w:color w:val="215868" w:themeColor="accent5" w:themeShade="80"/>
        </w:rPr>
      </w:pPr>
      <w:r w:rsidRPr="00DD2185">
        <w:rPr>
          <w:b/>
          <w:bCs/>
          <w:lang w:val="cs"/>
        </w:rPr>
        <w:t xml:space="preserve">Monitoring </w:t>
      </w:r>
      <w:r w:rsidRPr="00DD2185">
        <w:rPr>
          <w:lang w:val="cs"/>
        </w:rPr>
        <w:t>– dohled na počínání pracoviště studie, včetně ujištění se, že je prováděna, zaznamenávána a hlášena v souladu s protokolem, standardními pracovními postupy (SOP) a platnými místními zákony a požadavky právních předpisů.</w:t>
      </w:r>
    </w:p>
    <w:p w14:paraId="34B37F71" w14:textId="77777777" w:rsidR="003F0FB2" w:rsidRPr="00DD2185" w:rsidRDefault="003F0FB2" w:rsidP="003F0FB2">
      <w:pPr>
        <w:pStyle w:val="BodyText"/>
        <w:numPr>
          <w:ilvl w:val="0"/>
          <w:numId w:val="40"/>
        </w:numPr>
        <w:spacing w:after="0"/>
        <w:jc w:val="both"/>
      </w:pPr>
      <w:r w:rsidRPr="00DD2185">
        <w:rPr>
          <w:b/>
          <w:bCs/>
          <w:lang w:val="cs"/>
        </w:rPr>
        <w:t xml:space="preserve">Elektronické výsledky hlášené pacienty </w:t>
      </w:r>
      <w:r w:rsidRPr="00DD2185">
        <w:rPr>
          <w:lang w:val="cs"/>
        </w:rPr>
        <w:t>– umožňuje pacientům odpovídat na otázky a podávat zprávy o zdravotním stavu prostřednictvím elektronického zařízení, jako je chytrý telefon nebo tablet.</w:t>
      </w:r>
    </w:p>
    <w:p w14:paraId="652CEE5C" w14:textId="77777777" w:rsidR="003F0FB2" w:rsidRPr="00DD2185" w:rsidRDefault="003F0FB2" w:rsidP="003F0FB2">
      <w:pPr>
        <w:pStyle w:val="BodyText"/>
        <w:numPr>
          <w:ilvl w:val="0"/>
          <w:numId w:val="40"/>
        </w:numPr>
        <w:spacing w:after="0"/>
        <w:jc w:val="both"/>
      </w:pPr>
      <w:r w:rsidRPr="00DD2185">
        <w:rPr>
          <w:b/>
          <w:bCs/>
          <w:lang w:val="cs"/>
        </w:rPr>
        <w:t xml:space="preserve">Centrální laboratoř </w:t>
      </w:r>
      <w:r w:rsidRPr="00DD2185">
        <w:rPr>
          <w:lang w:val="cs"/>
        </w:rPr>
        <w:t>– laboratoř pověřená zadavatelem k provádění hodnocení, hlášení výsledků a dodávkám laboratorních potřeb.</w:t>
      </w:r>
    </w:p>
    <w:p w14:paraId="07C1373C" w14:textId="77777777" w:rsidR="003F0FB2" w:rsidRPr="00DD2185" w:rsidRDefault="003F0FB2" w:rsidP="003F0FB2">
      <w:pPr>
        <w:pStyle w:val="BodyText"/>
        <w:numPr>
          <w:ilvl w:val="0"/>
          <w:numId w:val="40"/>
        </w:numPr>
        <w:spacing w:after="0"/>
        <w:jc w:val="both"/>
      </w:pPr>
      <w:r w:rsidRPr="00DD2185">
        <w:rPr>
          <w:b/>
          <w:bCs/>
          <w:lang w:val="cs"/>
        </w:rPr>
        <w:t xml:space="preserve">Centrální lékařské zobrazovací metody </w:t>
      </w:r>
      <w:r w:rsidRPr="00DD2185">
        <w:rPr>
          <w:lang w:val="cs"/>
        </w:rPr>
        <w:t>– zadavatelem pověřené služby lékařských zobrazovacích metod.</w:t>
      </w:r>
    </w:p>
    <w:p w14:paraId="1A70BD49" w14:textId="77777777" w:rsidR="003F0FB2" w:rsidRPr="00DD2185" w:rsidRDefault="003F0FB2" w:rsidP="003F0FB2">
      <w:pPr>
        <w:pStyle w:val="BodyText"/>
        <w:numPr>
          <w:ilvl w:val="0"/>
          <w:numId w:val="40"/>
        </w:numPr>
        <w:spacing w:after="0"/>
        <w:jc w:val="both"/>
      </w:pPr>
      <w:r w:rsidRPr="00DD2185">
        <w:rPr>
          <w:b/>
          <w:bCs/>
          <w:lang w:val="cs"/>
        </w:rPr>
        <w:t xml:space="preserve">Hlášení nežádoucích příhod </w:t>
      </w:r>
      <w:r w:rsidRPr="00DD2185">
        <w:rPr>
          <w:lang w:val="cs"/>
        </w:rPr>
        <w:t xml:space="preserve">– hlášení a analýzy příhod souvisejících s léčivými výrobky. </w:t>
      </w:r>
    </w:p>
    <w:p w14:paraId="721A4DBE" w14:textId="77777777" w:rsidR="003F0FB2" w:rsidRPr="00DD2185" w:rsidRDefault="003F0FB2" w:rsidP="003F0FB2">
      <w:pPr>
        <w:pStyle w:val="BodyText"/>
        <w:numPr>
          <w:ilvl w:val="0"/>
          <w:numId w:val="40"/>
        </w:numPr>
        <w:spacing w:after="0"/>
        <w:jc w:val="both"/>
      </w:pPr>
      <w:r w:rsidRPr="00DD2185">
        <w:rPr>
          <w:b/>
          <w:bCs/>
          <w:lang w:val="cs"/>
        </w:rPr>
        <w:t xml:space="preserve">Hlavní soubor klinického hodnocení </w:t>
      </w:r>
      <w:r w:rsidRPr="00DD2185">
        <w:rPr>
          <w:lang w:val="cs"/>
        </w:rPr>
        <w:t xml:space="preserve">– úložiště pro dokumenty klinického hodnocení na doložení dodržování správné klinické praxe (SKP). </w:t>
      </w:r>
    </w:p>
    <w:p w14:paraId="76256303" w14:textId="77777777" w:rsidR="003F0FB2" w:rsidRPr="00DD2185" w:rsidRDefault="003F0FB2" w:rsidP="003F0FB2">
      <w:pPr>
        <w:pStyle w:val="BodyText"/>
        <w:numPr>
          <w:ilvl w:val="0"/>
          <w:numId w:val="40"/>
        </w:numPr>
        <w:spacing w:after="0"/>
        <w:jc w:val="both"/>
      </w:pPr>
      <w:r w:rsidRPr="00DD2185">
        <w:rPr>
          <w:b/>
          <w:bCs/>
          <w:lang w:val="cs"/>
        </w:rPr>
        <w:lastRenderedPageBreak/>
        <w:t xml:space="preserve">Platby pracovišti klinického hodnocení </w:t>
      </w:r>
      <w:r w:rsidRPr="00DD2185">
        <w:rPr>
          <w:lang w:val="cs"/>
        </w:rPr>
        <w:t>– platby a úhrady za činnosti pracoviště klinického hodnocení.</w:t>
      </w:r>
    </w:p>
    <w:p w14:paraId="13546700" w14:textId="77777777" w:rsidR="003F0FB2" w:rsidRPr="00DD2185" w:rsidRDefault="003F0FB2" w:rsidP="003F0FB2">
      <w:pPr>
        <w:shd w:val="clear" w:color="auto" w:fill="FFFFFF"/>
        <w:jc w:val="both"/>
        <w:rPr>
          <w:i/>
          <w:iCs/>
          <w:color w:val="000000"/>
        </w:rPr>
      </w:pPr>
    </w:p>
    <w:p w14:paraId="280016AF" w14:textId="77777777" w:rsidR="003F0FB2" w:rsidRPr="00DD2185" w:rsidRDefault="003F0FB2" w:rsidP="003F0FB2">
      <w:pPr>
        <w:shd w:val="clear" w:color="auto" w:fill="FFFFFF"/>
        <w:jc w:val="both"/>
        <w:rPr>
          <w:color w:val="000000"/>
        </w:rPr>
      </w:pPr>
    </w:p>
    <w:p w14:paraId="26730D72" w14:textId="7A480ADB" w:rsidR="003F0FB2" w:rsidRPr="00DD2185" w:rsidRDefault="003F0FB2" w:rsidP="003F0FB2">
      <w:pPr>
        <w:shd w:val="clear" w:color="auto" w:fill="FFFFFF"/>
        <w:jc w:val="both"/>
        <w:rPr>
          <w:b/>
          <w:bCs/>
          <w:color w:val="000000"/>
        </w:rPr>
      </w:pPr>
      <w:r w:rsidRPr="00DD2185">
        <w:rPr>
          <w:b/>
          <w:bCs/>
          <w:color w:val="000000"/>
        </w:rPr>
        <w:t>C. PŘÍSLUŠNÝ DOZOROVÝ ÚŘAD</w:t>
      </w:r>
    </w:p>
    <w:p w14:paraId="26D78809" w14:textId="77777777" w:rsidR="003F0FB2" w:rsidRPr="00DD2185" w:rsidRDefault="003F0FB2" w:rsidP="003F0FB2">
      <w:pPr>
        <w:shd w:val="clear" w:color="auto" w:fill="FFFFFF"/>
        <w:jc w:val="both"/>
        <w:rPr>
          <w:b/>
          <w:bCs/>
          <w:color w:val="000000"/>
        </w:rPr>
      </w:pPr>
    </w:p>
    <w:p w14:paraId="358A8EE5" w14:textId="77777777" w:rsidR="003F0FB2" w:rsidRPr="00DD2185" w:rsidRDefault="003F0FB2" w:rsidP="003F0FB2">
      <w:pPr>
        <w:shd w:val="clear" w:color="auto" w:fill="FFFFFF"/>
        <w:jc w:val="both"/>
        <w:rPr>
          <w:color w:val="000000"/>
        </w:rPr>
      </w:pPr>
      <w:r w:rsidRPr="00DD2185">
        <w:rPr>
          <w:b/>
          <w:bCs/>
          <w:color w:val="000000"/>
        </w:rPr>
        <w:t>MODUL 1: Předání od správce správci</w:t>
      </w:r>
    </w:p>
    <w:p w14:paraId="1F98C7ED" w14:textId="77777777" w:rsidR="003F0FB2" w:rsidRPr="00DD2185" w:rsidRDefault="003F0FB2" w:rsidP="003F0FB2">
      <w:pPr>
        <w:shd w:val="clear" w:color="auto" w:fill="FFFFFF"/>
        <w:jc w:val="both"/>
        <w:rPr>
          <w:color w:val="000000"/>
        </w:rPr>
      </w:pPr>
      <w:r w:rsidRPr="00DD2185">
        <w:rPr>
          <w:b/>
          <w:bCs/>
          <w:color w:val="000000"/>
        </w:rPr>
        <w:t>MODUL 2: Předání od správce zpracovateli</w:t>
      </w:r>
    </w:p>
    <w:p w14:paraId="433A95AE" w14:textId="77777777" w:rsidR="003F0FB2" w:rsidRPr="00DD2185" w:rsidRDefault="003F0FB2" w:rsidP="003F0FB2">
      <w:pPr>
        <w:shd w:val="clear" w:color="auto" w:fill="FFFFFF"/>
        <w:jc w:val="both"/>
        <w:rPr>
          <w:b/>
          <w:bCs/>
          <w:color w:val="000000"/>
        </w:rPr>
      </w:pPr>
      <w:r w:rsidRPr="00DD2185">
        <w:rPr>
          <w:b/>
          <w:bCs/>
          <w:color w:val="000000"/>
        </w:rPr>
        <w:t>MODUL 3: Předání od zpracovatele zpracovateli</w:t>
      </w:r>
    </w:p>
    <w:p w14:paraId="398D1219" w14:textId="77777777" w:rsidR="003F0FB2" w:rsidRPr="00DD2185" w:rsidRDefault="003F0FB2" w:rsidP="003F0FB2">
      <w:pPr>
        <w:shd w:val="clear" w:color="auto" w:fill="FFFFFF"/>
        <w:jc w:val="both"/>
        <w:rPr>
          <w:color w:val="000000"/>
        </w:rPr>
      </w:pPr>
    </w:p>
    <w:p w14:paraId="73FC1368" w14:textId="77777777" w:rsidR="003F0FB2" w:rsidRPr="00DD2185" w:rsidRDefault="003F0FB2" w:rsidP="003F0FB2">
      <w:pPr>
        <w:shd w:val="clear" w:color="auto" w:fill="FFFFFF"/>
        <w:jc w:val="both"/>
        <w:rPr>
          <w:color w:val="000000"/>
        </w:rPr>
      </w:pPr>
      <w:r w:rsidRPr="00DD2185">
        <w:rPr>
          <w:i/>
          <w:iCs/>
          <w:color w:val="000000"/>
        </w:rPr>
        <w:t>V souladu s doložkou 13 určete příslušný dozorový úřad nebo příslušné dozorové úřady.</w:t>
      </w:r>
    </w:p>
    <w:p w14:paraId="2881842E" w14:textId="77777777" w:rsidR="003F0FB2" w:rsidRPr="00DD2185" w:rsidRDefault="003F0FB2" w:rsidP="003F0FB2">
      <w:pPr>
        <w:shd w:val="clear" w:color="auto" w:fill="FFFFFF"/>
        <w:jc w:val="both"/>
        <w:rPr>
          <w:i/>
          <w:iCs/>
          <w:color w:val="000000"/>
        </w:rPr>
      </w:pPr>
    </w:p>
    <w:p w14:paraId="0BB894E2" w14:textId="77777777" w:rsidR="003F0FB2" w:rsidRPr="00DD2185" w:rsidRDefault="003F0FB2" w:rsidP="003F0FB2">
      <w:pPr>
        <w:shd w:val="clear" w:color="auto" w:fill="FFFFFF"/>
        <w:jc w:val="both"/>
        <w:rPr>
          <w:i/>
          <w:iCs/>
          <w:color w:val="000000"/>
        </w:rPr>
      </w:pPr>
      <w:proofErr w:type="spellStart"/>
      <w:r w:rsidRPr="00DD2185">
        <w:rPr>
          <w:iCs/>
          <w:lang w:val="en-GB"/>
        </w:rPr>
        <w:t>Irský</w:t>
      </w:r>
      <w:proofErr w:type="spellEnd"/>
      <w:r w:rsidRPr="00DD2185">
        <w:rPr>
          <w:iCs/>
          <w:lang w:val="en-GB"/>
        </w:rPr>
        <w:t xml:space="preserve"> </w:t>
      </w:r>
      <w:proofErr w:type="spellStart"/>
      <w:r w:rsidRPr="00DD2185">
        <w:rPr>
          <w:iCs/>
          <w:lang w:val="en-GB"/>
        </w:rPr>
        <w:t>úřad</w:t>
      </w:r>
      <w:proofErr w:type="spellEnd"/>
      <w:r w:rsidRPr="00DD2185">
        <w:rPr>
          <w:iCs/>
          <w:lang w:val="en-GB"/>
        </w:rPr>
        <w:t xml:space="preserve"> </w:t>
      </w:r>
      <w:proofErr w:type="spellStart"/>
      <w:r w:rsidRPr="00DD2185">
        <w:rPr>
          <w:iCs/>
          <w:lang w:val="en-GB"/>
        </w:rPr>
        <w:t>na</w:t>
      </w:r>
      <w:proofErr w:type="spellEnd"/>
      <w:r w:rsidRPr="00DD2185">
        <w:rPr>
          <w:iCs/>
          <w:lang w:val="en-GB"/>
        </w:rPr>
        <w:t xml:space="preserve"> </w:t>
      </w:r>
      <w:proofErr w:type="spellStart"/>
      <w:r w:rsidRPr="00DD2185">
        <w:rPr>
          <w:iCs/>
          <w:lang w:val="en-GB"/>
        </w:rPr>
        <w:t>ochranu</w:t>
      </w:r>
      <w:proofErr w:type="spellEnd"/>
      <w:r w:rsidRPr="00DD2185">
        <w:rPr>
          <w:iCs/>
          <w:lang w:val="en-GB"/>
        </w:rPr>
        <w:t xml:space="preserve"> </w:t>
      </w:r>
      <w:proofErr w:type="spellStart"/>
      <w:r w:rsidRPr="00DD2185">
        <w:rPr>
          <w:iCs/>
          <w:lang w:val="en-GB"/>
        </w:rPr>
        <w:t>údajů</w:t>
      </w:r>
      <w:proofErr w:type="spellEnd"/>
      <w:r w:rsidRPr="00DD2185">
        <w:rPr>
          <w:iCs/>
          <w:lang w:val="en-GB"/>
        </w:rPr>
        <w:t xml:space="preserve"> (Irish Data Protection Commission) - An </w:t>
      </w:r>
      <w:proofErr w:type="spellStart"/>
      <w:r w:rsidRPr="00DD2185">
        <w:rPr>
          <w:iCs/>
          <w:lang w:val="en-GB"/>
        </w:rPr>
        <w:t>Coimisún</w:t>
      </w:r>
      <w:proofErr w:type="spellEnd"/>
      <w:r w:rsidRPr="00DD2185">
        <w:rPr>
          <w:iCs/>
          <w:lang w:val="en-GB"/>
        </w:rPr>
        <w:t xml:space="preserve"> um </w:t>
      </w:r>
      <w:proofErr w:type="spellStart"/>
      <w:r w:rsidRPr="00DD2185">
        <w:rPr>
          <w:iCs/>
          <w:lang w:val="en-GB"/>
        </w:rPr>
        <w:t>Cosanta</w:t>
      </w:r>
      <w:proofErr w:type="spellEnd"/>
      <w:r w:rsidRPr="00DD2185">
        <w:rPr>
          <w:iCs/>
          <w:lang w:val="en-GB"/>
        </w:rPr>
        <w:t xml:space="preserve"> </w:t>
      </w:r>
      <w:proofErr w:type="spellStart"/>
      <w:r w:rsidRPr="00DD2185">
        <w:rPr>
          <w:iCs/>
          <w:lang w:val="en-GB"/>
        </w:rPr>
        <w:t>Sonraí</w:t>
      </w:r>
      <w:proofErr w:type="spellEnd"/>
    </w:p>
    <w:p w14:paraId="4334501C" w14:textId="77777777" w:rsidR="003F0FB2" w:rsidRPr="00DD2185" w:rsidRDefault="003F0FB2" w:rsidP="003F0FB2">
      <w:pPr>
        <w:shd w:val="clear" w:color="auto" w:fill="FFFFFF"/>
        <w:jc w:val="both"/>
        <w:rPr>
          <w:color w:val="000000"/>
        </w:rPr>
      </w:pPr>
    </w:p>
    <w:p w14:paraId="48F209E1" w14:textId="77777777" w:rsidR="003F0FB2" w:rsidRPr="00DD2185" w:rsidRDefault="00215A02" w:rsidP="003F0FB2">
      <w:pPr>
        <w:jc w:val="both"/>
      </w:pPr>
      <w:r>
        <w:pict w14:anchorId="200BE839">
          <v:rect id="_x0000_i1025" style="width:98.4pt;height:.75pt" o:hrpct="0" o:hralign="center" o:hrstd="t" o:hrnoshade="t" o:hr="t" fillcolor="black" stroked="f"/>
        </w:pict>
      </w:r>
    </w:p>
    <w:p w14:paraId="0871D010" w14:textId="77777777" w:rsidR="003F0FB2" w:rsidRPr="00DD2185" w:rsidRDefault="003F0FB2" w:rsidP="003F0FB2">
      <w:pPr>
        <w:shd w:val="clear" w:color="auto" w:fill="FFFFFF"/>
        <w:jc w:val="both"/>
        <w:rPr>
          <w:b/>
          <w:bCs/>
          <w:color w:val="000000"/>
        </w:rPr>
      </w:pPr>
      <w:r w:rsidRPr="00DD2185">
        <w:rPr>
          <w:b/>
          <w:bCs/>
          <w:color w:val="000000"/>
        </w:rPr>
        <w:t>PŘÍLOHA II</w:t>
      </w:r>
    </w:p>
    <w:p w14:paraId="1147A8B1" w14:textId="77777777" w:rsidR="003F0FB2" w:rsidRPr="00DD2185" w:rsidRDefault="003F0FB2" w:rsidP="003F0FB2">
      <w:pPr>
        <w:shd w:val="clear" w:color="auto" w:fill="FFFFFF"/>
        <w:jc w:val="both"/>
        <w:rPr>
          <w:b/>
          <w:bCs/>
          <w:color w:val="000000"/>
        </w:rPr>
      </w:pPr>
    </w:p>
    <w:p w14:paraId="051F4E98" w14:textId="77777777" w:rsidR="003F0FB2" w:rsidRPr="00DD2185" w:rsidRDefault="003F0FB2" w:rsidP="003F0FB2">
      <w:pPr>
        <w:shd w:val="clear" w:color="auto" w:fill="FFFFFF"/>
        <w:jc w:val="both"/>
        <w:rPr>
          <w:b/>
          <w:bCs/>
          <w:color w:val="000000"/>
        </w:rPr>
      </w:pPr>
      <w:r w:rsidRPr="00DD2185">
        <w:rPr>
          <w:b/>
          <w:bCs/>
          <w:color w:val="000000"/>
        </w:rPr>
        <w:t>TECHNICKÁ A ORGANIZAČNÍ OPATŘENÍ VČETNĚ TECHNICKÝCH A ORGANIZAČNÍCH OPATŘENÍ K ZAJIŠTĚNÍ ZABEZPEČENÍ ÚDAJŮ</w:t>
      </w:r>
    </w:p>
    <w:p w14:paraId="1D16CADA" w14:textId="77777777" w:rsidR="003F0FB2" w:rsidRPr="00DD2185" w:rsidRDefault="003F0FB2" w:rsidP="003F0FB2">
      <w:pPr>
        <w:shd w:val="clear" w:color="auto" w:fill="FFFFFF"/>
        <w:jc w:val="both"/>
        <w:rPr>
          <w:b/>
          <w:bCs/>
          <w:color w:val="000000"/>
        </w:rPr>
      </w:pPr>
    </w:p>
    <w:p w14:paraId="0E70D86D" w14:textId="77777777" w:rsidR="003F0FB2" w:rsidRPr="00DD2185" w:rsidRDefault="003F0FB2" w:rsidP="003F0FB2">
      <w:pPr>
        <w:shd w:val="clear" w:color="auto" w:fill="FFFFFF"/>
        <w:jc w:val="both"/>
        <w:rPr>
          <w:color w:val="000000"/>
        </w:rPr>
      </w:pPr>
      <w:r w:rsidRPr="00DD2185">
        <w:rPr>
          <w:b/>
          <w:bCs/>
          <w:color w:val="000000"/>
        </w:rPr>
        <w:t>MODUL 1: Předání od správce správci</w:t>
      </w:r>
    </w:p>
    <w:p w14:paraId="1A2B8F2A" w14:textId="77777777" w:rsidR="003F0FB2" w:rsidRPr="00DD2185" w:rsidRDefault="003F0FB2" w:rsidP="003F0FB2">
      <w:pPr>
        <w:shd w:val="clear" w:color="auto" w:fill="FFFFFF"/>
        <w:jc w:val="both"/>
        <w:rPr>
          <w:color w:val="000000"/>
        </w:rPr>
      </w:pPr>
      <w:r w:rsidRPr="00DD2185">
        <w:rPr>
          <w:b/>
          <w:bCs/>
          <w:color w:val="000000"/>
        </w:rPr>
        <w:t>MODUL 2: Předání od správce zpracovateli</w:t>
      </w:r>
    </w:p>
    <w:p w14:paraId="141FEF44" w14:textId="77777777" w:rsidR="003F0FB2" w:rsidRPr="00DD2185" w:rsidRDefault="003F0FB2" w:rsidP="003F0FB2">
      <w:pPr>
        <w:shd w:val="clear" w:color="auto" w:fill="FFFFFF"/>
        <w:jc w:val="both"/>
        <w:rPr>
          <w:color w:val="000000"/>
        </w:rPr>
      </w:pPr>
      <w:r w:rsidRPr="00DD2185">
        <w:rPr>
          <w:b/>
          <w:bCs/>
          <w:color w:val="000000"/>
        </w:rPr>
        <w:t>MODUL 3: Předání od zpracovatele zpracovateli</w:t>
      </w:r>
    </w:p>
    <w:p w14:paraId="282AAF3D" w14:textId="77777777" w:rsidR="003F0FB2" w:rsidRPr="00DD2185" w:rsidRDefault="003F0FB2" w:rsidP="003F0FB2">
      <w:pPr>
        <w:autoSpaceDE w:val="0"/>
        <w:autoSpaceDN w:val="0"/>
        <w:adjustRightInd w:val="0"/>
        <w:jc w:val="both"/>
        <w:rPr>
          <w:rFonts w:eastAsia="MS Mincho"/>
          <w:color w:val="000000"/>
          <w:lang w:val="en-GB" w:eastAsia="it-IT"/>
        </w:rPr>
      </w:pPr>
    </w:p>
    <w:p w14:paraId="08917F18" w14:textId="77777777" w:rsidR="003F0FB2" w:rsidRPr="00DD2185" w:rsidRDefault="003F0FB2" w:rsidP="003F0FB2">
      <w:pPr>
        <w:autoSpaceDE w:val="0"/>
        <w:autoSpaceDN w:val="0"/>
        <w:adjustRightInd w:val="0"/>
        <w:jc w:val="both"/>
        <w:rPr>
          <w:rFonts w:eastAsia="MS Mincho"/>
          <w:color w:val="000000"/>
          <w:lang w:eastAsia="it-IT"/>
        </w:rPr>
      </w:pPr>
      <w:proofErr w:type="spellStart"/>
      <w:r w:rsidRPr="00DD2185">
        <w:rPr>
          <w:rFonts w:eastAsia="MS Mincho"/>
          <w:color w:val="000000"/>
          <w:lang w:val="en-GB" w:eastAsia="it-IT"/>
        </w:rPr>
        <w:t>Dovozce</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údajů</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zajistí</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bezpečnost</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zpracování</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osobních</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údajů</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osobních</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údajů</w:t>
      </w:r>
      <w:proofErr w:type="spellEnd"/>
      <w:r w:rsidRPr="00DD2185">
        <w:rPr>
          <w:rFonts w:eastAsia="MS Mincho"/>
          <w:color w:val="000000"/>
          <w:lang w:val="en-GB" w:eastAsia="it-IT"/>
        </w:rPr>
        <w:t xml:space="preserve"> v </w:t>
      </w:r>
      <w:proofErr w:type="spellStart"/>
      <w:r w:rsidRPr="00DD2185">
        <w:rPr>
          <w:rFonts w:eastAsia="MS Mincho"/>
          <w:color w:val="000000"/>
          <w:lang w:val="en-GB" w:eastAsia="it-IT"/>
        </w:rPr>
        <w:t>souladu</w:t>
      </w:r>
      <w:proofErr w:type="spellEnd"/>
      <w:r w:rsidRPr="00DD2185">
        <w:rPr>
          <w:rFonts w:eastAsia="MS Mincho"/>
          <w:color w:val="000000"/>
          <w:lang w:val="en-GB" w:eastAsia="it-IT"/>
        </w:rPr>
        <w:t xml:space="preserve"> s </w:t>
      </w:r>
      <w:proofErr w:type="spellStart"/>
      <w:r w:rsidRPr="00DD2185">
        <w:rPr>
          <w:rFonts w:eastAsia="MS Mincho"/>
          <w:color w:val="000000"/>
          <w:lang w:val="en-GB" w:eastAsia="it-IT"/>
        </w:rPr>
        <w:t>právními</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požadavky</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platných</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vnitrostátních</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zákonů</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na</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ochranu</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soukromí</w:t>
      </w:r>
      <w:proofErr w:type="spellEnd"/>
      <w:r w:rsidRPr="00DD2185">
        <w:rPr>
          <w:rFonts w:eastAsia="MS Mincho"/>
          <w:color w:val="000000"/>
          <w:lang w:val="en-GB" w:eastAsia="it-IT"/>
        </w:rPr>
        <w:t xml:space="preserve"> a </w:t>
      </w:r>
      <w:proofErr w:type="spellStart"/>
      <w:r w:rsidRPr="00DD2185">
        <w:rPr>
          <w:rFonts w:eastAsia="MS Mincho"/>
          <w:color w:val="000000"/>
          <w:lang w:val="en-GB" w:eastAsia="it-IT"/>
        </w:rPr>
        <w:t>zásad</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společnosti</w:t>
      </w:r>
      <w:proofErr w:type="spellEnd"/>
      <w:r w:rsidRPr="00DD2185">
        <w:rPr>
          <w:rFonts w:eastAsia="MS Mincho"/>
          <w:color w:val="000000"/>
          <w:lang w:val="en-GB" w:eastAsia="it-IT"/>
        </w:rPr>
        <w:t xml:space="preserve"> Pfizer. </w:t>
      </w:r>
      <w:proofErr w:type="spellStart"/>
      <w:r w:rsidRPr="00DD2185">
        <w:rPr>
          <w:rFonts w:eastAsia="MS Mincho"/>
          <w:color w:val="000000"/>
          <w:lang w:val="en-GB" w:eastAsia="it-IT"/>
        </w:rPr>
        <w:t>Dovozce</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údajů</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zavede</w:t>
      </w:r>
      <w:proofErr w:type="spellEnd"/>
      <w:r w:rsidRPr="00DD2185">
        <w:rPr>
          <w:rFonts w:eastAsia="MS Mincho"/>
          <w:color w:val="000000"/>
          <w:lang w:val="en-GB" w:eastAsia="it-IT"/>
        </w:rPr>
        <w:t xml:space="preserve"> a </w:t>
      </w:r>
      <w:proofErr w:type="spellStart"/>
      <w:r w:rsidRPr="00DD2185">
        <w:rPr>
          <w:rFonts w:eastAsia="MS Mincho"/>
          <w:color w:val="000000"/>
          <w:lang w:val="en-GB" w:eastAsia="it-IT"/>
        </w:rPr>
        <w:t>zachová</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minimálně</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následující</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bezpečnostní</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opatření</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která</w:t>
      </w:r>
      <w:proofErr w:type="spellEnd"/>
      <w:r w:rsidRPr="00DD2185">
        <w:rPr>
          <w:rFonts w:eastAsia="MS Mincho"/>
          <w:color w:val="000000"/>
          <w:lang w:val="en-GB" w:eastAsia="it-IT"/>
        </w:rPr>
        <w:t xml:space="preserve"> se </w:t>
      </w:r>
      <w:proofErr w:type="spellStart"/>
      <w:r w:rsidRPr="00DD2185">
        <w:rPr>
          <w:rFonts w:eastAsia="MS Mincho"/>
          <w:color w:val="000000"/>
          <w:lang w:val="en-GB" w:eastAsia="it-IT"/>
        </w:rPr>
        <w:t>budou</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vždy</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vztahovat</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na</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osobní</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údaje</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včetně</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jakýchkoli</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importovaných</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osobních</w:t>
      </w:r>
      <w:proofErr w:type="spellEnd"/>
      <w:r w:rsidRPr="00DD2185">
        <w:rPr>
          <w:rFonts w:eastAsia="MS Mincho"/>
          <w:color w:val="000000"/>
          <w:lang w:val="en-GB" w:eastAsia="it-IT"/>
        </w:rPr>
        <w:t xml:space="preserve"> </w:t>
      </w:r>
      <w:proofErr w:type="spellStart"/>
      <w:r w:rsidRPr="00DD2185">
        <w:rPr>
          <w:rFonts w:eastAsia="MS Mincho"/>
          <w:color w:val="000000"/>
          <w:lang w:val="en-GB" w:eastAsia="it-IT"/>
        </w:rPr>
        <w:t>údajů</w:t>
      </w:r>
      <w:proofErr w:type="spellEnd"/>
      <w:r w:rsidRPr="00DD2185">
        <w:rPr>
          <w:rFonts w:eastAsia="MS Mincho"/>
          <w:color w:val="000000"/>
          <w:lang w:val="en-GB" w:eastAsia="it-IT"/>
        </w:rPr>
        <w:t>:</w:t>
      </w:r>
      <w:r w:rsidRPr="00DD2185">
        <w:rPr>
          <w:rFonts w:eastAsia="MS Mincho"/>
          <w:color w:val="000000"/>
          <w:lang w:eastAsia="it-IT"/>
        </w:rPr>
        <w:t> </w:t>
      </w:r>
    </w:p>
    <w:p w14:paraId="50C57D94" w14:textId="77777777" w:rsidR="003F0FB2" w:rsidRPr="00DD2185" w:rsidRDefault="003F0FB2" w:rsidP="003F0FB2">
      <w:pPr>
        <w:autoSpaceDE w:val="0"/>
        <w:autoSpaceDN w:val="0"/>
        <w:adjustRightInd w:val="0"/>
        <w:jc w:val="both"/>
        <w:rPr>
          <w:rFonts w:eastAsia="MS Mincho"/>
          <w:color w:val="000000"/>
          <w:lang w:eastAsia="it-IT"/>
        </w:rPr>
      </w:pPr>
      <w:r w:rsidRPr="00DD2185">
        <w:rPr>
          <w:rFonts w:eastAsia="MS Mincho"/>
          <w:color w:val="000000"/>
          <w:lang w:eastAsia="it-IT"/>
        </w:rPr>
        <w:t> </w:t>
      </w:r>
    </w:p>
    <w:p w14:paraId="436F8A01" w14:textId="77777777" w:rsidR="003F0FB2" w:rsidRPr="00DD2185" w:rsidRDefault="003F0FB2" w:rsidP="003F0FB2">
      <w:pPr>
        <w:numPr>
          <w:ilvl w:val="0"/>
          <w:numId w:val="48"/>
        </w:numPr>
        <w:autoSpaceDE w:val="0"/>
        <w:autoSpaceDN w:val="0"/>
        <w:adjustRightInd w:val="0"/>
        <w:jc w:val="both"/>
        <w:rPr>
          <w:rFonts w:eastAsia="MS Mincho"/>
          <w:color w:val="000000"/>
          <w:lang w:eastAsia="it-IT"/>
        </w:rPr>
      </w:pPr>
      <w:r w:rsidRPr="00DD2185">
        <w:rPr>
          <w:rFonts w:eastAsia="MS Mincho"/>
          <w:b/>
          <w:bCs/>
          <w:color w:val="000000"/>
          <w:lang w:eastAsia="it-IT"/>
        </w:rPr>
        <w:t>Zásady a standardy bezpečnosti informací.</w:t>
      </w:r>
      <w:r w:rsidRPr="00DD2185">
        <w:rPr>
          <w:rFonts w:eastAsia="MS Mincho"/>
          <w:bCs/>
          <w:color w:val="000000"/>
          <w:lang w:eastAsia="it-IT"/>
        </w:rPr>
        <w:t xml:space="preserve"> Dovozce údajů zavede požadavky na zabezpečení pro zaměstnance a všechny subdodavatele, dovozce údajů nebo zástupce, kteří mají přístup k Osobním údajům, které jsou navrženy tak, aby zajistily úroveň zabezpečení odpovídající danému riziku a splnily požadavky podrobně uvedené v těchto Bezpečnostních standardech. Dovozce údajů bude provádět pravidelná hodnocení rizik a přezkoumávat a podle potřeby revidovat své postupy v oblasti zabezpečení informací alespoň jednou ročně nebo kdykoli dojde k podstatné změně v obchodních postupech dovozce údajů, která může přiměřeně ovlivnit bezpečnost, důvěrnost nebo integritu osobních údajů, za předpokladu, že Dovozce údajů nebude upravovat své postupy zabezpečení informací způsobem, který by oslabil nebo narušil důvěrnost, dostupnost nebo integritu osobních údajů. Dovozce údajů musí mít vždy k dispozici dokumenty, které jasně specifikují jeho zásady a postupy ve vztahu k Osobním údajům, které jsou přístupné jednotlivci, jako jsou online zásady ochrany osobních údajů</w:t>
      </w:r>
      <w:r w:rsidRPr="00DD2185">
        <w:rPr>
          <w:rFonts w:eastAsia="MS Mincho"/>
          <w:color w:val="000000"/>
          <w:lang w:eastAsia="it-IT"/>
        </w:rPr>
        <w:t>. </w:t>
      </w:r>
    </w:p>
    <w:p w14:paraId="290E3024" w14:textId="705F2AA8" w:rsidR="003F0FB2" w:rsidRPr="00DD2185" w:rsidRDefault="003F0FB2" w:rsidP="003F0FB2">
      <w:pPr>
        <w:numPr>
          <w:ilvl w:val="0"/>
          <w:numId w:val="48"/>
        </w:numPr>
        <w:autoSpaceDE w:val="0"/>
        <w:autoSpaceDN w:val="0"/>
        <w:adjustRightInd w:val="0"/>
        <w:jc w:val="both"/>
        <w:rPr>
          <w:rFonts w:eastAsia="MS Mincho"/>
          <w:color w:val="000000"/>
          <w:lang w:eastAsia="it-IT"/>
        </w:rPr>
      </w:pPr>
      <w:r w:rsidRPr="00DD2185">
        <w:rPr>
          <w:rFonts w:eastAsia="MS Mincho"/>
          <w:b/>
          <w:bCs/>
          <w:color w:val="000000"/>
          <w:lang w:eastAsia="it-IT"/>
        </w:rPr>
        <w:t xml:space="preserve">Fyzická </w:t>
      </w:r>
      <w:proofErr w:type="spellStart"/>
      <w:proofErr w:type="gramStart"/>
      <w:r w:rsidRPr="00DD2185">
        <w:rPr>
          <w:rFonts w:eastAsia="MS Mincho"/>
          <w:b/>
          <w:bCs/>
          <w:color w:val="000000"/>
          <w:lang w:eastAsia="it-IT"/>
        </w:rPr>
        <w:t>bezpečnost</w:t>
      </w:r>
      <w:r w:rsidRPr="00DD2185">
        <w:rPr>
          <w:rFonts w:eastAsia="MS Mincho"/>
          <w:color w:val="000000"/>
          <w:lang w:eastAsia="it-IT"/>
        </w:rPr>
        <w:t>.Dovozce</w:t>
      </w:r>
      <w:proofErr w:type="spellEnd"/>
      <w:proofErr w:type="gramEnd"/>
      <w:r w:rsidRPr="00DD2185">
        <w:rPr>
          <w:rFonts w:eastAsia="MS Mincho"/>
          <w:color w:val="000000"/>
          <w:lang w:eastAsia="it-IT"/>
        </w:rPr>
        <w:t xml:space="preserve"> údajů bude udržovat obchodně přiměřené bezpečnostní systémy na všech stránkách Dovozce údajů, na kterých se nachází informační systém, který používá nebo obsahuje osobní údaje. </w:t>
      </w:r>
    </w:p>
    <w:p w14:paraId="20599E83" w14:textId="77777777" w:rsidR="003F0FB2" w:rsidRPr="00DD2185" w:rsidRDefault="003F0FB2" w:rsidP="003F0FB2">
      <w:pPr>
        <w:numPr>
          <w:ilvl w:val="0"/>
          <w:numId w:val="48"/>
        </w:numPr>
        <w:autoSpaceDE w:val="0"/>
        <w:autoSpaceDN w:val="0"/>
        <w:adjustRightInd w:val="0"/>
        <w:jc w:val="both"/>
        <w:rPr>
          <w:rFonts w:eastAsia="MS Mincho"/>
          <w:b/>
          <w:bCs/>
          <w:color w:val="000000"/>
          <w:lang w:eastAsia="it-IT"/>
        </w:rPr>
      </w:pPr>
      <w:r w:rsidRPr="00DD2185">
        <w:rPr>
          <w:rFonts w:eastAsia="MS Mincho"/>
          <w:b/>
          <w:bCs/>
          <w:color w:val="000000"/>
          <w:lang w:eastAsia="it-IT"/>
        </w:rPr>
        <w:t>Organizační bezpečnostní opatření. </w:t>
      </w:r>
    </w:p>
    <w:p w14:paraId="2922BB5E" w14:textId="77777777" w:rsidR="003F0FB2" w:rsidRPr="00DD2185" w:rsidRDefault="003F0FB2" w:rsidP="003F0FB2">
      <w:pPr>
        <w:numPr>
          <w:ilvl w:val="0"/>
          <w:numId w:val="41"/>
        </w:numPr>
        <w:autoSpaceDE w:val="0"/>
        <w:autoSpaceDN w:val="0"/>
        <w:adjustRightInd w:val="0"/>
        <w:jc w:val="both"/>
        <w:rPr>
          <w:rFonts w:eastAsia="MS Mincho"/>
          <w:color w:val="000000"/>
          <w:lang w:eastAsia="it-IT"/>
        </w:rPr>
      </w:pPr>
      <w:r w:rsidRPr="00DD2185">
        <w:rPr>
          <w:rFonts w:eastAsia="MS Mincho"/>
          <w:color w:val="000000"/>
          <w:lang w:eastAsia="it-IT"/>
        </w:rPr>
        <w:t>Dovozce údajů bude uchovávat záznamy určující, která média se používají k ukládání osobních údajů </w:t>
      </w:r>
    </w:p>
    <w:p w14:paraId="347ACC55" w14:textId="77777777" w:rsidR="003F0FB2" w:rsidRPr="00DD2185" w:rsidRDefault="003F0FB2" w:rsidP="003F0FB2">
      <w:pPr>
        <w:numPr>
          <w:ilvl w:val="0"/>
          <w:numId w:val="41"/>
        </w:numPr>
        <w:autoSpaceDE w:val="0"/>
        <w:autoSpaceDN w:val="0"/>
        <w:adjustRightInd w:val="0"/>
        <w:jc w:val="both"/>
        <w:rPr>
          <w:rFonts w:eastAsia="MS Mincho"/>
          <w:color w:val="000000"/>
          <w:lang w:eastAsia="it-IT"/>
        </w:rPr>
      </w:pPr>
      <w:r w:rsidRPr="00DD2185">
        <w:rPr>
          <w:rFonts w:eastAsia="MS Mincho"/>
          <w:color w:val="000000"/>
          <w:lang w:eastAsia="it-IT"/>
        </w:rPr>
        <w:lastRenderedPageBreak/>
        <w:t>Mají-li být zlikvidována nebo znovu použita (paměťová) média, byly zavedeny postupy, které zabrání jakémukoli následnému opětovnému získání jakýchkoli osobních údajů na nich uložených předtím, než budou stažena z inventáře. Budou-li média v důsledku údržby prostor, ve kterých jsou umístěna, přesunuta na jiné místo, byly zavedeny postupy, které zabraňují nežádoucímu získávání osobních údajů na nich uložených. </w:t>
      </w:r>
    </w:p>
    <w:p w14:paraId="65FDA1C8" w14:textId="0DF45430" w:rsidR="003F0FB2" w:rsidRPr="00DD2185" w:rsidRDefault="003F0FB2" w:rsidP="003F0FB2">
      <w:pPr>
        <w:numPr>
          <w:ilvl w:val="0"/>
          <w:numId w:val="41"/>
        </w:numPr>
        <w:autoSpaceDE w:val="0"/>
        <w:autoSpaceDN w:val="0"/>
        <w:adjustRightInd w:val="0"/>
        <w:jc w:val="both"/>
        <w:rPr>
          <w:rFonts w:eastAsia="MS Mincho"/>
          <w:color w:val="000000"/>
          <w:lang w:eastAsia="it-IT"/>
        </w:rPr>
      </w:pPr>
      <w:r w:rsidRPr="00DD2185">
        <w:rPr>
          <w:rFonts w:eastAsia="MS Mincho"/>
          <w:color w:val="000000"/>
          <w:lang w:eastAsia="it-IT"/>
        </w:rPr>
        <w:t>Dovozce údajů zavedl bezpečnostní zásady a postupy pro klasifikaci aktiv citlivých informací, objasnění odpovědností za bezpečnost a zvýšení povědomí zaměstnanců.</w:t>
      </w:r>
    </w:p>
    <w:p w14:paraId="4E346BBE" w14:textId="714E714D" w:rsidR="003F0FB2" w:rsidRPr="00DD2185" w:rsidRDefault="003F0FB2" w:rsidP="003F0FB2">
      <w:pPr>
        <w:numPr>
          <w:ilvl w:val="0"/>
          <w:numId w:val="41"/>
        </w:numPr>
        <w:autoSpaceDE w:val="0"/>
        <w:autoSpaceDN w:val="0"/>
        <w:adjustRightInd w:val="0"/>
        <w:jc w:val="both"/>
        <w:rPr>
          <w:rFonts w:eastAsia="MS Mincho"/>
          <w:color w:val="000000"/>
          <w:lang w:eastAsia="it-IT"/>
        </w:rPr>
      </w:pPr>
      <w:r w:rsidRPr="00DD2185">
        <w:rPr>
          <w:rFonts w:eastAsia="MS Mincho"/>
          <w:color w:val="000000"/>
          <w:lang w:eastAsia="it-IT"/>
        </w:rPr>
        <w:t>Všechny bezpečnostní incidenty v souvislosti se zpracováním osobních údajů jsou řízeny v souladu s příslušnými postupy reakce na incidenty </w:t>
      </w:r>
    </w:p>
    <w:p w14:paraId="4C163C0D" w14:textId="77777777" w:rsidR="003F0FB2" w:rsidRPr="00DD2185" w:rsidRDefault="003F0FB2" w:rsidP="003F0FB2">
      <w:pPr>
        <w:numPr>
          <w:ilvl w:val="0"/>
          <w:numId w:val="41"/>
        </w:numPr>
        <w:autoSpaceDE w:val="0"/>
        <w:autoSpaceDN w:val="0"/>
        <w:adjustRightInd w:val="0"/>
        <w:jc w:val="both"/>
        <w:rPr>
          <w:rFonts w:eastAsia="MS Mincho"/>
          <w:color w:val="000000"/>
          <w:lang w:eastAsia="it-IT"/>
        </w:rPr>
      </w:pPr>
      <w:r w:rsidRPr="00DD2185">
        <w:rPr>
          <w:rFonts w:eastAsia="MS Mincho"/>
          <w:color w:val="000000"/>
          <w:lang w:eastAsia="it-IT"/>
        </w:rPr>
        <w:t>Dovozce údajů zašifruje pomocí standardních šifrovacích nástrojů všechny citlivé informace, které: (i) přenáší nebo odesílá bezdrátově nebo přes veřejné sítě; (</w:t>
      </w:r>
      <w:proofErr w:type="spellStart"/>
      <w:r w:rsidRPr="00DD2185">
        <w:rPr>
          <w:rFonts w:eastAsia="MS Mincho"/>
          <w:color w:val="000000"/>
          <w:lang w:eastAsia="it-IT"/>
        </w:rPr>
        <w:t>ii</w:t>
      </w:r>
      <w:proofErr w:type="spellEnd"/>
      <w:r w:rsidRPr="00DD2185">
        <w:rPr>
          <w:rFonts w:eastAsia="MS Mincho"/>
          <w:color w:val="000000"/>
          <w:lang w:eastAsia="it-IT"/>
        </w:rPr>
        <w:t>) ukládá na notebooky nebo paměťová média; a (</w:t>
      </w:r>
      <w:proofErr w:type="spellStart"/>
      <w:r w:rsidRPr="00DD2185">
        <w:rPr>
          <w:rFonts w:eastAsia="MS Mincho"/>
          <w:color w:val="000000"/>
          <w:lang w:eastAsia="it-IT"/>
        </w:rPr>
        <w:t>iii</w:t>
      </w:r>
      <w:proofErr w:type="spellEnd"/>
      <w:r w:rsidRPr="00DD2185">
        <w:rPr>
          <w:rFonts w:eastAsia="MS Mincho"/>
          <w:color w:val="000000"/>
          <w:lang w:eastAsia="it-IT"/>
        </w:rPr>
        <w:t>) uchovává na přenosných zařízeních v každém případě, je-li to technicky proveditelné. Dovozce údajů zajistí bezpečnost a důvěrnost všech šifrovacích klíčů spojených se zašifrovanými citlivými informacemi.</w:t>
      </w:r>
    </w:p>
    <w:p w14:paraId="0C0AAB5F" w14:textId="77777777" w:rsidR="003F0FB2" w:rsidRPr="00DD2185" w:rsidRDefault="003F0FB2" w:rsidP="003F0FB2">
      <w:pPr>
        <w:numPr>
          <w:ilvl w:val="0"/>
          <w:numId w:val="42"/>
        </w:numPr>
        <w:autoSpaceDE w:val="0"/>
        <w:autoSpaceDN w:val="0"/>
        <w:adjustRightInd w:val="0"/>
        <w:jc w:val="both"/>
        <w:rPr>
          <w:rFonts w:eastAsia="MS Mincho"/>
          <w:color w:val="000000"/>
          <w:lang w:eastAsia="it-IT"/>
        </w:rPr>
      </w:pPr>
      <w:r w:rsidRPr="00DD2185">
        <w:rPr>
          <w:rFonts w:eastAsia="MS Mincho"/>
          <w:color w:val="000000"/>
          <w:lang w:eastAsia="it-IT"/>
        </w:rPr>
        <w:t>Dovozce údajů zajistí (i) že Osobní údaje nelze bez oprávnění číst, kopírovat, upravovat nebo mazat během elektronického přenosu, přepravy nebo ukládání a (</w:t>
      </w:r>
      <w:proofErr w:type="spellStart"/>
      <w:r w:rsidRPr="00DD2185">
        <w:rPr>
          <w:rFonts w:eastAsia="MS Mincho"/>
          <w:color w:val="000000"/>
          <w:lang w:eastAsia="it-IT"/>
        </w:rPr>
        <w:t>ii</w:t>
      </w:r>
      <w:proofErr w:type="spellEnd"/>
      <w:r w:rsidRPr="00DD2185">
        <w:rPr>
          <w:rFonts w:eastAsia="MS Mincho"/>
          <w:color w:val="000000"/>
          <w:lang w:eastAsia="it-IT"/>
        </w:rPr>
        <w:t>) aby cílové subjekty pro jakýkoli přenos Osobních údajů prostřednictvím zařízení pro přenos údajů mohly být stanovena a ověřena. </w:t>
      </w:r>
    </w:p>
    <w:p w14:paraId="105D1D87" w14:textId="695D9C31" w:rsidR="003F0FB2" w:rsidRPr="00DD2185" w:rsidRDefault="003F0FB2" w:rsidP="003F0FB2">
      <w:pPr>
        <w:numPr>
          <w:ilvl w:val="0"/>
          <w:numId w:val="42"/>
        </w:numPr>
        <w:autoSpaceDE w:val="0"/>
        <w:autoSpaceDN w:val="0"/>
        <w:adjustRightInd w:val="0"/>
        <w:jc w:val="both"/>
        <w:rPr>
          <w:rFonts w:eastAsia="MS Mincho"/>
          <w:color w:val="000000"/>
          <w:lang w:eastAsia="it-IT"/>
        </w:rPr>
      </w:pPr>
      <w:r w:rsidRPr="00DD2185">
        <w:rPr>
          <w:rFonts w:eastAsia="MS Mincho"/>
          <w:color w:val="000000"/>
          <w:lang w:eastAsia="it-IT"/>
        </w:rPr>
        <w:t>Dovozce údajů zajistí, aby osobní údaje shromážděné pro různé účely mohly být zpracovány samostatně. </w:t>
      </w:r>
    </w:p>
    <w:p w14:paraId="5F42787E" w14:textId="473E0281" w:rsidR="003F0FB2" w:rsidRPr="00DD2185" w:rsidRDefault="003F0FB2" w:rsidP="003F0FB2">
      <w:pPr>
        <w:numPr>
          <w:ilvl w:val="0"/>
          <w:numId w:val="48"/>
        </w:numPr>
        <w:autoSpaceDE w:val="0"/>
        <w:autoSpaceDN w:val="0"/>
        <w:adjustRightInd w:val="0"/>
        <w:jc w:val="both"/>
        <w:rPr>
          <w:rFonts w:eastAsia="MS Mincho"/>
          <w:b/>
          <w:bCs/>
          <w:color w:val="000000"/>
          <w:lang w:eastAsia="it-IT"/>
        </w:rPr>
      </w:pPr>
      <w:r w:rsidRPr="00DD2185">
        <w:rPr>
          <w:rFonts w:eastAsia="MS Mincho"/>
          <w:b/>
          <w:bCs/>
          <w:color w:val="000000"/>
          <w:lang w:eastAsia="it-IT"/>
        </w:rPr>
        <w:t xml:space="preserve">Zabezpečení </w:t>
      </w:r>
      <w:proofErr w:type="spellStart"/>
      <w:proofErr w:type="gramStart"/>
      <w:r w:rsidRPr="00DD2185">
        <w:rPr>
          <w:rFonts w:eastAsia="MS Mincho"/>
          <w:b/>
          <w:bCs/>
          <w:color w:val="000000"/>
          <w:lang w:eastAsia="it-IT"/>
        </w:rPr>
        <w:t>sítě</w:t>
      </w:r>
      <w:r w:rsidRPr="00DD2185">
        <w:rPr>
          <w:rFonts w:eastAsia="MS Mincho"/>
          <w:color w:val="000000"/>
          <w:lang w:eastAsia="it-IT"/>
        </w:rPr>
        <w:t>.Dovozce</w:t>
      </w:r>
      <w:proofErr w:type="spellEnd"/>
      <w:proofErr w:type="gramEnd"/>
      <w:r w:rsidRPr="00DD2185">
        <w:rPr>
          <w:rFonts w:eastAsia="MS Mincho"/>
          <w:color w:val="000000"/>
          <w:lang w:eastAsia="it-IT"/>
        </w:rPr>
        <w:t xml:space="preserve"> údajů udržuje zabezpečení sítě pomocí komerčně dostupného vybavení a průmyslových standardních technik, včetně firewallů, systémů detekce a prevence narušení, seznamů řízení přístupu a směrovacích protokolů.</w:t>
      </w:r>
      <w:r w:rsidRPr="00DD2185">
        <w:rPr>
          <w:rFonts w:eastAsia="MS Mincho"/>
          <w:b/>
          <w:bCs/>
          <w:color w:val="000000"/>
          <w:lang w:eastAsia="it-IT"/>
        </w:rPr>
        <w:t> </w:t>
      </w:r>
    </w:p>
    <w:p w14:paraId="1415594F" w14:textId="77777777" w:rsidR="003F0FB2" w:rsidRPr="00DD2185" w:rsidRDefault="003F0FB2" w:rsidP="003F0FB2">
      <w:pPr>
        <w:numPr>
          <w:ilvl w:val="0"/>
          <w:numId w:val="48"/>
        </w:numPr>
        <w:autoSpaceDE w:val="0"/>
        <w:autoSpaceDN w:val="0"/>
        <w:adjustRightInd w:val="0"/>
        <w:jc w:val="both"/>
        <w:rPr>
          <w:rFonts w:eastAsia="MS Mincho"/>
          <w:b/>
          <w:bCs/>
          <w:color w:val="000000"/>
          <w:lang w:eastAsia="it-IT"/>
        </w:rPr>
      </w:pPr>
      <w:r w:rsidRPr="00DD2185">
        <w:rPr>
          <w:rFonts w:eastAsia="MS Mincho"/>
          <w:b/>
          <w:bCs/>
          <w:color w:val="000000"/>
          <w:lang w:eastAsia="it-IT"/>
        </w:rPr>
        <w:t>Kontrola přístupu. </w:t>
      </w:r>
    </w:p>
    <w:p w14:paraId="120FF5E2" w14:textId="77777777" w:rsidR="003F0FB2" w:rsidRPr="00DD2185" w:rsidRDefault="003F0FB2" w:rsidP="003F0FB2">
      <w:pPr>
        <w:numPr>
          <w:ilvl w:val="0"/>
          <w:numId w:val="43"/>
        </w:numPr>
        <w:autoSpaceDE w:val="0"/>
        <w:autoSpaceDN w:val="0"/>
        <w:adjustRightInd w:val="0"/>
        <w:jc w:val="both"/>
        <w:rPr>
          <w:rFonts w:eastAsia="MS Mincho"/>
          <w:color w:val="000000"/>
          <w:lang w:eastAsia="it-IT"/>
        </w:rPr>
      </w:pPr>
      <w:r w:rsidRPr="00DD2185">
        <w:rPr>
          <w:rFonts w:eastAsia="MS Mincho"/>
          <w:color w:val="000000"/>
          <w:lang w:eastAsia="it-IT"/>
        </w:rPr>
        <w:t>Dovozce údajů bude udržovat vhodné kontroly přístupu, mimo jiné včetně omezení přístupu k osobním údajům na minimální počet zaměstnanců dovozce údajů, kteří takový přístup vyžadují.</w:t>
      </w:r>
    </w:p>
    <w:p w14:paraId="09588BD6" w14:textId="77777777" w:rsidR="003F0FB2" w:rsidRPr="00DD2185" w:rsidRDefault="003F0FB2" w:rsidP="003F0FB2">
      <w:pPr>
        <w:numPr>
          <w:ilvl w:val="0"/>
          <w:numId w:val="44"/>
        </w:numPr>
        <w:autoSpaceDE w:val="0"/>
        <w:autoSpaceDN w:val="0"/>
        <w:adjustRightInd w:val="0"/>
        <w:jc w:val="both"/>
        <w:rPr>
          <w:rFonts w:eastAsia="MS Mincho"/>
          <w:color w:val="000000"/>
          <w:lang w:eastAsia="it-IT"/>
        </w:rPr>
      </w:pPr>
      <w:r w:rsidRPr="00DD2185">
        <w:rPr>
          <w:rFonts w:eastAsia="MS Mincho"/>
          <w:color w:val="000000"/>
          <w:lang w:eastAsia="it-IT"/>
        </w:rPr>
        <w:t>Pouze oprávněný personál může udělit, upravit nebo zrušit přístup k informačnímu systému, který používá nebo uchovává Osobní údaje. Dovozce údajů bude udržovat auditní záznam, aby zdokumentoval, zda a kdo osobní údaje zpřístupnil, zadal, upravil, přenesl nebo odstranil ze zpracování osobních údajů, který musí být na žádost vývozce údajů předložen vývozci údajů. </w:t>
      </w:r>
    </w:p>
    <w:p w14:paraId="24F95514" w14:textId="77777777" w:rsidR="003F0FB2" w:rsidRPr="00DD2185" w:rsidRDefault="003F0FB2" w:rsidP="003F0FB2">
      <w:pPr>
        <w:numPr>
          <w:ilvl w:val="0"/>
          <w:numId w:val="44"/>
        </w:numPr>
        <w:autoSpaceDE w:val="0"/>
        <w:autoSpaceDN w:val="0"/>
        <w:adjustRightInd w:val="0"/>
        <w:jc w:val="both"/>
        <w:rPr>
          <w:rFonts w:eastAsia="MS Mincho"/>
          <w:color w:val="000000"/>
          <w:lang w:eastAsia="it-IT"/>
        </w:rPr>
      </w:pPr>
      <w:r w:rsidRPr="00DD2185">
        <w:rPr>
          <w:rFonts w:eastAsia="MS Mincho"/>
          <w:color w:val="000000"/>
          <w:lang w:eastAsia="it-IT"/>
        </w:rPr>
        <w:t>Postupy správy uživatelů definují uživatelské role a jejich oprávnění a způsob, jakým je přístup udělován, měněn a ukončován; řešit vhodné oddělení povinností; a definovat požadavky a mechanismy protokolování/monitorování. </w:t>
      </w:r>
    </w:p>
    <w:p w14:paraId="0C41ACEC" w14:textId="77777777" w:rsidR="003F0FB2" w:rsidRPr="00DD2185" w:rsidRDefault="003F0FB2" w:rsidP="003F0FB2">
      <w:pPr>
        <w:numPr>
          <w:ilvl w:val="0"/>
          <w:numId w:val="44"/>
        </w:numPr>
        <w:autoSpaceDE w:val="0"/>
        <w:autoSpaceDN w:val="0"/>
        <w:adjustRightInd w:val="0"/>
        <w:jc w:val="both"/>
        <w:rPr>
          <w:rFonts w:eastAsia="MS Mincho"/>
          <w:color w:val="000000"/>
          <w:lang w:eastAsia="it-IT"/>
        </w:rPr>
      </w:pPr>
      <w:r w:rsidRPr="00DD2185">
        <w:rPr>
          <w:rFonts w:eastAsia="MS Mincho"/>
          <w:color w:val="000000"/>
          <w:lang w:eastAsia="it-IT"/>
        </w:rPr>
        <w:t>Všem zaměstnancům Dovozce údajů jsou přidělena jedinečná ID uživatelů. </w:t>
      </w:r>
    </w:p>
    <w:p w14:paraId="4E93863E" w14:textId="77777777" w:rsidR="003F0FB2" w:rsidRPr="00DD2185" w:rsidRDefault="003F0FB2" w:rsidP="003F0FB2">
      <w:pPr>
        <w:numPr>
          <w:ilvl w:val="0"/>
          <w:numId w:val="44"/>
        </w:numPr>
        <w:autoSpaceDE w:val="0"/>
        <w:autoSpaceDN w:val="0"/>
        <w:adjustRightInd w:val="0"/>
        <w:jc w:val="both"/>
        <w:rPr>
          <w:rFonts w:eastAsia="MS Mincho"/>
          <w:color w:val="000000"/>
          <w:lang w:eastAsia="it-IT"/>
        </w:rPr>
      </w:pPr>
      <w:r w:rsidRPr="00DD2185">
        <w:rPr>
          <w:rFonts w:eastAsia="MS Mincho"/>
          <w:color w:val="000000"/>
          <w:lang w:eastAsia="it-IT"/>
        </w:rPr>
        <w:t>Přístupová práva jsou implementována v souladu s přístupem „nejméně privilegií“. </w:t>
      </w:r>
    </w:p>
    <w:p w14:paraId="0C91CE52" w14:textId="77777777" w:rsidR="003F0FB2" w:rsidRPr="00DD2185" w:rsidRDefault="003F0FB2" w:rsidP="003F0FB2">
      <w:pPr>
        <w:numPr>
          <w:ilvl w:val="0"/>
          <w:numId w:val="44"/>
        </w:numPr>
        <w:autoSpaceDE w:val="0"/>
        <w:autoSpaceDN w:val="0"/>
        <w:adjustRightInd w:val="0"/>
        <w:jc w:val="both"/>
        <w:rPr>
          <w:rFonts w:eastAsia="MS Mincho"/>
          <w:color w:val="000000"/>
          <w:lang w:eastAsia="it-IT"/>
        </w:rPr>
      </w:pPr>
      <w:r w:rsidRPr="00DD2185">
        <w:rPr>
          <w:rFonts w:eastAsia="MS Mincho"/>
          <w:color w:val="000000"/>
          <w:lang w:eastAsia="it-IT"/>
        </w:rPr>
        <w:t>Dovozce údajů implementuje komerčně přiměřené fyzické a elektronické zabezpečení pro vytváření a ochranu hesel. </w:t>
      </w:r>
    </w:p>
    <w:p w14:paraId="50A4D271" w14:textId="77777777" w:rsidR="003F0FB2" w:rsidRPr="00DD2185" w:rsidRDefault="003F0FB2" w:rsidP="003F0FB2">
      <w:pPr>
        <w:numPr>
          <w:ilvl w:val="0"/>
          <w:numId w:val="45"/>
        </w:numPr>
        <w:autoSpaceDE w:val="0"/>
        <w:autoSpaceDN w:val="0"/>
        <w:adjustRightInd w:val="0"/>
        <w:jc w:val="both"/>
        <w:rPr>
          <w:rFonts w:eastAsia="MS Mincho"/>
          <w:color w:val="000000"/>
          <w:lang w:eastAsia="it-IT"/>
        </w:rPr>
      </w:pPr>
      <w:r w:rsidRPr="00DD2185">
        <w:rPr>
          <w:rFonts w:eastAsia="MS Mincho"/>
          <w:color w:val="000000"/>
          <w:lang w:eastAsia="it-IT"/>
        </w:rPr>
        <w:t>Dovozce údajů vytvoří systémy, které zabrání náhodnému nebo neoprávněnému použití systémů zpracování osobních údajů, například prostřednictvím logických kontrol přístupu. </w:t>
      </w:r>
    </w:p>
    <w:p w14:paraId="5E2A0ACC" w14:textId="77777777" w:rsidR="003F0FB2" w:rsidRPr="00DD2185" w:rsidRDefault="003F0FB2" w:rsidP="003F0FB2">
      <w:pPr>
        <w:numPr>
          <w:ilvl w:val="0"/>
          <w:numId w:val="48"/>
        </w:numPr>
        <w:autoSpaceDE w:val="0"/>
        <w:autoSpaceDN w:val="0"/>
        <w:adjustRightInd w:val="0"/>
        <w:jc w:val="both"/>
        <w:rPr>
          <w:rFonts w:eastAsia="MS Mincho"/>
          <w:b/>
          <w:bCs/>
          <w:color w:val="000000"/>
          <w:lang w:eastAsia="it-IT"/>
        </w:rPr>
      </w:pPr>
      <w:r w:rsidRPr="00DD2185">
        <w:rPr>
          <w:rFonts w:eastAsia="MS Mincho"/>
          <w:b/>
          <w:bCs/>
          <w:color w:val="000000"/>
          <w:lang w:eastAsia="it-IT"/>
        </w:rPr>
        <w:t>Kontrola virů a malwaru. </w:t>
      </w:r>
      <w:r w:rsidRPr="00DD2185">
        <w:rPr>
          <w:rFonts w:eastAsia="MS Mincho"/>
          <w:color w:val="000000"/>
          <w:lang w:eastAsia="it-IT"/>
        </w:rPr>
        <w:t xml:space="preserve">Dovozce údajů nainstaluje a bude udržovat nejnovější antivirový a </w:t>
      </w:r>
      <w:proofErr w:type="spellStart"/>
      <w:r w:rsidRPr="00DD2185">
        <w:rPr>
          <w:rFonts w:eastAsia="MS Mincho"/>
          <w:color w:val="000000"/>
          <w:lang w:eastAsia="it-IT"/>
        </w:rPr>
        <w:t>malwarový</w:t>
      </w:r>
      <w:proofErr w:type="spellEnd"/>
      <w:r w:rsidRPr="00DD2185">
        <w:rPr>
          <w:rFonts w:eastAsia="MS Mincho"/>
          <w:color w:val="000000"/>
          <w:lang w:eastAsia="it-IT"/>
        </w:rPr>
        <w:t xml:space="preserve"> ochranný software v systému a zavedl plánované monitorování malwaru a skenování systému, aby chránil osobní údaje před očekávanými hrozbami nebo nebezpečími a chránil před neoprávněným přístupem k osobním údajům nebo jejich použitím.</w:t>
      </w:r>
      <w:r w:rsidRPr="00DD2185">
        <w:rPr>
          <w:rFonts w:eastAsia="MS Mincho"/>
          <w:b/>
          <w:bCs/>
          <w:color w:val="000000"/>
          <w:lang w:eastAsia="it-IT"/>
        </w:rPr>
        <w:t> </w:t>
      </w:r>
    </w:p>
    <w:p w14:paraId="0DED1478" w14:textId="77777777" w:rsidR="003F0FB2" w:rsidRPr="00DD2185" w:rsidRDefault="003F0FB2" w:rsidP="003F0FB2">
      <w:pPr>
        <w:numPr>
          <w:ilvl w:val="0"/>
          <w:numId w:val="48"/>
        </w:numPr>
        <w:autoSpaceDE w:val="0"/>
        <w:autoSpaceDN w:val="0"/>
        <w:adjustRightInd w:val="0"/>
        <w:jc w:val="both"/>
        <w:rPr>
          <w:rFonts w:eastAsia="MS Mincho"/>
          <w:b/>
          <w:bCs/>
          <w:color w:val="000000"/>
          <w:lang w:eastAsia="it-IT"/>
        </w:rPr>
      </w:pPr>
      <w:r w:rsidRPr="00DD2185">
        <w:rPr>
          <w:rFonts w:eastAsia="MS Mincho"/>
          <w:b/>
          <w:bCs/>
          <w:color w:val="000000"/>
          <w:lang w:eastAsia="it-IT"/>
        </w:rPr>
        <w:t>Personál. </w:t>
      </w:r>
    </w:p>
    <w:p w14:paraId="5B3709B2" w14:textId="77777777" w:rsidR="003F0FB2" w:rsidRPr="00DD2185" w:rsidRDefault="003F0FB2" w:rsidP="003F0FB2">
      <w:pPr>
        <w:numPr>
          <w:ilvl w:val="0"/>
          <w:numId w:val="46"/>
        </w:numPr>
        <w:autoSpaceDE w:val="0"/>
        <w:autoSpaceDN w:val="0"/>
        <w:adjustRightInd w:val="0"/>
        <w:jc w:val="both"/>
        <w:rPr>
          <w:rFonts w:eastAsia="MS Mincho"/>
          <w:color w:val="000000"/>
          <w:lang w:eastAsia="it-IT"/>
        </w:rPr>
      </w:pPr>
      <w:r w:rsidRPr="00DD2185">
        <w:rPr>
          <w:rFonts w:eastAsia="MS Mincho"/>
          <w:color w:val="000000"/>
          <w:lang w:eastAsia="it-IT"/>
        </w:rPr>
        <w:lastRenderedPageBreak/>
        <w:t>Před poskytnutím přístupu k osobním údajům pracovníkům Dovozce údajů bude Dovozce údajů vyžadovat, aby jeho zaměstnanci dodržovali jeho Program zabezpečení informací. </w:t>
      </w:r>
    </w:p>
    <w:p w14:paraId="697BE427" w14:textId="77777777" w:rsidR="003F0FB2" w:rsidRPr="00DD2185" w:rsidRDefault="003F0FB2" w:rsidP="003F0FB2">
      <w:pPr>
        <w:numPr>
          <w:ilvl w:val="0"/>
          <w:numId w:val="46"/>
        </w:numPr>
        <w:autoSpaceDE w:val="0"/>
        <w:autoSpaceDN w:val="0"/>
        <w:adjustRightInd w:val="0"/>
        <w:jc w:val="both"/>
        <w:rPr>
          <w:rFonts w:eastAsia="MS Mincho"/>
          <w:color w:val="000000"/>
          <w:lang w:eastAsia="it-IT"/>
        </w:rPr>
      </w:pPr>
      <w:r w:rsidRPr="00DD2185">
        <w:rPr>
          <w:rFonts w:eastAsia="MS Mincho"/>
          <w:color w:val="000000"/>
          <w:lang w:eastAsia="it-IT"/>
        </w:rPr>
        <w:t>Dovozce údajů zavádí program na zvyšování povědomí o bezpečnosti, aby proškolil personál o jejich bezpečnostních povinnostech. Tento program zahrnuje školení o povinnostech klasifikace dat; fyzické bezpečnostní kontroly; bezpečnostní postupy a hlášení bezpečnostních incidentů. </w:t>
      </w:r>
    </w:p>
    <w:p w14:paraId="50EC9AFC" w14:textId="30F2EE9F" w:rsidR="003F0FB2" w:rsidRPr="00DD2185" w:rsidRDefault="003F0FB2" w:rsidP="003F0FB2">
      <w:pPr>
        <w:numPr>
          <w:ilvl w:val="0"/>
          <w:numId w:val="47"/>
        </w:numPr>
        <w:autoSpaceDE w:val="0"/>
        <w:autoSpaceDN w:val="0"/>
        <w:adjustRightInd w:val="0"/>
        <w:jc w:val="both"/>
        <w:rPr>
          <w:rFonts w:eastAsia="MS Mincho"/>
          <w:color w:val="000000"/>
          <w:lang w:eastAsia="it-IT"/>
        </w:rPr>
      </w:pPr>
      <w:r w:rsidRPr="00DD2185">
        <w:rPr>
          <w:rFonts w:eastAsia="MS Mincho"/>
          <w:color w:val="000000"/>
          <w:lang w:eastAsia="it-IT"/>
        </w:rPr>
        <w:t>Zaměstnanci Dovozce údajů přísně dodržují zavedené bezpečnostní zásady a postupy. </w:t>
      </w:r>
    </w:p>
    <w:p w14:paraId="2002A830" w14:textId="4460D390" w:rsidR="003F0FB2" w:rsidRPr="00DD2185" w:rsidRDefault="003F0FB2" w:rsidP="003F0FB2">
      <w:pPr>
        <w:numPr>
          <w:ilvl w:val="0"/>
          <w:numId w:val="48"/>
        </w:numPr>
        <w:autoSpaceDE w:val="0"/>
        <w:autoSpaceDN w:val="0"/>
        <w:adjustRightInd w:val="0"/>
        <w:jc w:val="both"/>
        <w:rPr>
          <w:rFonts w:eastAsia="MS Mincho"/>
          <w:color w:val="000000"/>
          <w:lang w:eastAsia="it-IT"/>
        </w:rPr>
      </w:pPr>
      <w:r w:rsidRPr="00DD2185">
        <w:rPr>
          <w:rFonts w:eastAsia="MS Mincho"/>
          <w:b/>
          <w:bCs/>
          <w:color w:val="000000"/>
          <w:lang w:eastAsia="it-IT"/>
        </w:rPr>
        <w:t xml:space="preserve">Obchodní </w:t>
      </w:r>
      <w:proofErr w:type="spellStart"/>
      <w:proofErr w:type="gramStart"/>
      <w:r w:rsidRPr="00DD2185">
        <w:rPr>
          <w:rFonts w:eastAsia="MS Mincho"/>
          <w:b/>
          <w:bCs/>
          <w:color w:val="000000"/>
          <w:lang w:eastAsia="it-IT"/>
        </w:rPr>
        <w:t>kontinuita.</w:t>
      </w:r>
      <w:r w:rsidRPr="00DD2185">
        <w:rPr>
          <w:rFonts w:eastAsia="MS Mincho"/>
          <w:color w:val="000000"/>
          <w:lang w:eastAsia="it-IT"/>
        </w:rPr>
        <w:t>Dovozce</w:t>
      </w:r>
      <w:proofErr w:type="spellEnd"/>
      <w:proofErr w:type="gramEnd"/>
      <w:r w:rsidRPr="00DD2185">
        <w:rPr>
          <w:rFonts w:eastAsia="MS Mincho"/>
          <w:color w:val="000000"/>
          <w:lang w:eastAsia="it-IT"/>
        </w:rPr>
        <w:t xml:space="preserve"> údajů implementuje vhodné plány zálohování a obnovy provozu po havárii. Tyto plány budou zahrnovat procesy zajišťující obnovu Osobních údajů, které byly změněny nebo zničeny v důsledku neoprávněného přístupu. Importér dat pravidelně kontroluje plán kontinuity podnikání a hodnocení rizik.</w:t>
      </w:r>
    </w:p>
    <w:p w14:paraId="20FB0FD5" w14:textId="51A12722" w:rsidR="003F0FB2" w:rsidRPr="00DD2185" w:rsidRDefault="003F0FB2" w:rsidP="003F0FB2">
      <w:pPr>
        <w:numPr>
          <w:ilvl w:val="0"/>
          <w:numId w:val="48"/>
        </w:numPr>
        <w:autoSpaceDE w:val="0"/>
        <w:autoSpaceDN w:val="0"/>
        <w:adjustRightInd w:val="0"/>
        <w:jc w:val="both"/>
        <w:rPr>
          <w:rFonts w:eastAsia="MS Mincho"/>
          <w:color w:val="000000"/>
          <w:lang w:eastAsia="it-IT"/>
        </w:rPr>
      </w:pPr>
      <w:r w:rsidRPr="00DD2185">
        <w:rPr>
          <w:rFonts w:eastAsia="MS Mincho"/>
          <w:b/>
          <w:bCs/>
          <w:color w:val="000000"/>
          <w:lang w:eastAsia="it-IT"/>
        </w:rPr>
        <w:t xml:space="preserve">Manažer pro </w:t>
      </w:r>
      <w:proofErr w:type="spellStart"/>
      <w:proofErr w:type="gramStart"/>
      <w:r w:rsidRPr="00DD2185">
        <w:rPr>
          <w:rFonts w:eastAsia="MS Mincho"/>
          <w:b/>
          <w:bCs/>
          <w:color w:val="000000"/>
          <w:lang w:eastAsia="it-IT"/>
        </w:rPr>
        <w:t>zabezpečení.</w:t>
      </w:r>
      <w:r w:rsidRPr="00DD2185">
        <w:rPr>
          <w:rFonts w:eastAsia="MS Mincho"/>
          <w:color w:val="000000"/>
          <w:lang w:eastAsia="it-IT"/>
        </w:rPr>
        <w:t>Dovozce</w:t>
      </w:r>
      <w:proofErr w:type="spellEnd"/>
      <w:proofErr w:type="gramEnd"/>
      <w:r w:rsidRPr="00DD2185">
        <w:rPr>
          <w:rFonts w:eastAsia="MS Mincho"/>
          <w:color w:val="000000"/>
          <w:lang w:eastAsia="it-IT"/>
        </w:rPr>
        <w:t xml:space="preserve"> údajů oznámí Exportérovi dat svého určeného primárního manažera pro zabezpečení. Ten bude odpovědný za řízení a koordinaci plnění povinností Dovozce údajů stanovených v jeho Programu zabezpečení informací a v této Smlouvě.</w:t>
      </w:r>
    </w:p>
    <w:p w14:paraId="5A9B226A" w14:textId="77777777" w:rsidR="003F0FB2" w:rsidRPr="00DD2185" w:rsidRDefault="003F0FB2" w:rsidP="003F0FB2">
      <w:pPr>
        <w:shd w:val="clear" w:color="auto" w:fill="FFFFFF"/>
        <w:jc w:val="both"/>
        <w:rPr>
          <w:color w:val="000000"/>
        </w:rPr>
      </w:pPr>
    </w:p>
    <w:p w14:paraId="0C8413A7" w14:textId="77777777" w:rsidR="003F0FB2" w:rsidRPr="00DD2185" w:rsidRDefault="00215A02" w:rsidP="003F0FB2">
      <w:pPr>
        <w:jc w:val="both"/>
      </w:pPr>
      <w:r>
        <w:pict w14:anchorId="03D89120">
          <v:rect id="_x0000_i1026" style="width:98.4pt;height:.75pt" o:hrpct="0" o:hralign="center" o:hrstd="t" o:hrnoshade="t" o:hr="t" fillcolor="black" stroked="f"/>
        </w:pict>
      </w:r>
    </w:p>
    <w:p w14:paraId="41F2AAA9" w14:textId="77777777" w:rsidR="003F0FB2" w:rsidRPr="00DD2185" w:rsidRDefault="003F0FB2" w:rsidP="003F0FB2">
      <w:pPr>
        <w:jc w:val="both"/>
      </w:pPr>
    </w:p>
    <w:p w14:paraId="06454813" w14:textId="2D4685A1" w:rsidR="001D7549" w:rsidRPr="00DD2185" w:rsidRDefault="001D7549" w:rsidP="003F0FB2">
      <w:pPr>
        <w:jc w:val="center"/>
        <w:rPr>
          <w:sz w:val="18"/>
          <w:szCs w:val="18"/>
        </w:rPr>
      </w:pPr>
    </w:p>
    <w:p w14:paraId="05813B4C" w14:textId="5014D463" w:rsidR="001D7549" w:rsidRPr="00DD2185" w:rsidRDefault="001D7549">
      <w:pPr>
        <w:spacing w:after="200" w:line="276" w:lineRule="auto"/>
        <w:rPr>
          <w:sz w:val="18"/>
          <w:szCs w:val="18"/>
        </w:rPr>
      </w:pPr>
      <w:r w:rsidRPr="00DD2185">
        <w:rPr>
          <w:sz w:val="18"/>
          <w:szCs w:val="18"/>
        </w:rPr>
        <w:br w:type="page"/>
      </w:r>
    </w:p>
    <w:p w14:paraId="1AF1CE82" w14:textId="77777777" w:rsidR="004D5A65" w:rsidRDefault="00EE365C" w:rsidP="003F0FB2">
      <w:pPr>
        <w:jc w:val="center"/>
        <w:rPr>
          <w:b/>
        </w:rPr>
      </w:pPr>
      <w:r w:rsidRPr="00DD2185">
        <w:rPr>
          <w:b/>
        </w:rPr>
        <w:lastRenderedPageBreak/>
        <w:t>PŘÍLOHA E</w:t>
      </w:r>
    </w:p>
    <w:p w14:paraId="28D090BD" w14:textId="010335A9" w:rsidR="00EE365C" w:rsidRPr="00DD2185" w:rsidRDefault="004D5A65" w:rsidP="003F0FB2">
      <w:pPr>
        <w:jc w:val="center"/>
        <w:rPr>
          <w:b/>
        </w:rPr>
      </w:pPr>
      <w:r>
        <w:rPr>
          <w:b/>
        </w:rPr>
        <w:t>Z</w:t>
      </w:r>
      <w:r w:rsidR="00EE365C" w:rsidRPr="00DD2185">
        <w:rPr>
          <w:b/>
        </w:rPr>
        <w:t xml:space="preserve">PLNOMOCNĚNÍ </w:t>
      </w:r>
      <w:r w:rsidR="003F0FB2" w:rsidRPr="00DD2185">
        <w:rPr>
          <w:b/>
        </w:rPr>
        <w:t>K PODPISU</w:t>
      </w:r>
      <w:r w:rsidR="003C2FA8" w:rsidRPr="00DD2185">
        <w:rPr>
          <w:b/>
          <w:caps/>
        </w:rPr>
        <w:t xml:space="preserve">, Schválení EK, </w:t>
      </w:r>
      <w:proofErr w:type="spellStart"/>
      <w:r w:rsidR="003C2FA8" w:rsidRPr="00DD2185">
        <w:rPr>
          <w:b/>
          <w:caps/>
        </w:rPr>
        <w:t>SÚKL</w:t>
      </w:r>
      <w:r w:rsidR="003C2FA8" w:rsidRPr="00DD2185">
        <w:rPr>
          <w:b/>
        </w:rPr>
        <w:t>u</w:t>
      </w:r>
      <w:proofErr w:type="spellEnd"/>
    </w:p>
    <w:sectPr w:rsidR="00EE365C" w:rsidRPr="00DD2185" w:rsidSect="007E4E0E">
      <w:footerReference w:type="default" r:id="rId20"/>
      <w:pgSz w:w="11906" w:h="16838"/>
      <w:pgMar w:top="1260" w:right="13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1633" w14:textId="77777777" w:rsidR="00B84723" w:rsidRDefault="00B84723" w:rsidP="001876B9">
      <w:r>
        <w:separator/>
      </w:r>
    </w:p>
  </w:endnote>
  <w:endnote w:type="continuationSeparator" w:id="0">
    <w:p w14:paraId="44448514" w14:textId="77777777" w:rsidR="00B84723" w:rsidRDefault="00B84723" w:rsidP="0018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3168" w14:textId="7D5D6AF4" w:rsidR="005975A3" w:rsidRPr="00BB6A55" w:rsidRDefault="005975A3" w:rsidP="00B16AEB">
    <w:pPr>
      <w:pStyle w:val="Footer"/>
      <w:rPr>
        <w:sz w:val="20"/>
        <w:szCs w:val="20"/>
      </w:rPr>
    </w:pPr>
    <w:r>
      <w:rPr>
        <w:sz w:val="20"/>
        <w:szCs w:val="20"/>
        <w:lang w:val="cs"/>
      </w:rPr>
      <w:t xml:space="preserve">Vzorová trojstranná smlouva (Česká </w:t>
    </w:r>
    <w:proofErr w:type="gramStart"/>
    <w:r>
      <w:rPr>
        <w:sz w:val="20"/>
        <w:szCs w:val="20"/>
        <w:lang w:val="cs"/>
      </w:rPr>
      <w:t xml:space="preserve">republika)   </w:t>
    </w:r>
    <w:proofErr w:type="gramEnd"/>
    <w:r>
      <w:rPr>
        <w:sz w:val="20"/>
        <w:szCs w:val="20"/>
        <w:lang w:val="cs"/>
      </w:rPr>
      <w:t xml:space="preserve">                                               Verze vzorového textu: květen 2018, revidovaná v červnu 2021</w:t>
    </w:r>
  </w:p>
  <w:sdt>
    <w:sdtPr>
      <w:id w:val="-1049606486"/>
      <w:docPartObj>
        <w:docPartGallery w:val="Page Numbers (Bottom of Page)"/>
        <w:docPartUnique/>
      </w:docPartObj>
    </w:sdtPr>
    <w:sdtEndPr>
      <w:rPr>
        <w:noProof/>
        <w:sz w:val="20"/>
        <w:szCs w:val="20"/>
      </w:rPr>
    </w:sdtEndPr>
    <w:sdtContent>
      <w:p w14:paraId="3F847885" w14:textId="3E24E0AF" w:rsidR="0032669D" w:rsidRDefault="0032669D" w:rsidP="0032669D">
        <w:pPr>
          <w:pStyle w:val="Footer"/>
          <w:jc w:val="both"/>
        </w:pPr>
        <w:r>
          <w:rPr>
            <w:sz w:val="20"/>
            <w:szCs w:val="20"/>
          </w:rPr>
          <w:t xml:space="preserve">C1071007_CZ </w:t>
        </w:r>
        <w:proofErr w:type="spellStart"/>
        <w:r>
          <w:rPr>
            <w:sz w:val="20"/>
            <w:szCs w:val="20"/>
          </w:rPr>
          <w:t>Site</w:t>
        </w:r>
        <w:proofErr w:type="spellEnd"/>
        <w:r>
          <w:rPr>
            <w:sz w:val="20"/>
            <w:szCs w:val="20"/>
          </w:rPr>
          <w:t xml:space="preserve"> 1119_FN </w:t>
        </w:r>
        <w:proofErr w:type="spellStart"/>
        <w:r>
          <w:rPr>
            <w:sz w:val="20"/>
            <w:szCs w:val="20"/>
          </w:rPr>
          <w:t>Olomouc_</w:t>
        </w:r>
        <w:r w:rsidR="00212BD2" w:rsidRPr="00212BD2">
          <w:rPr>
            <w:sz w:val="20"/>
            <w:szCs w:val="20"/>
            <w:highlight w:val="black"/>
          </w:rPr>
          <w:t>xxxxxxxxxxx</w:t>
        </w:r>
        <w:r>
          <w:rPr>
            <w:sz w:val="20"/>
            <w:szCs w:val="20"/>
          </w:rPr>
          <w:t>_CSA_Final</w:t>
        </w:r>
        <w:proofErr w:type="spellEnd"/>
        <w:r>
          <w:rPr>
            <w:sz w:val="20"/>
            <w:szCs w:val="20"/>
          </w:rPr>
          <w:t xml:space="preserve"> Clean_04AUG2022_</w:t>
        </w:r>
        <w:r w:rsidR="00212BD2" w:rsidRPr="00212BD2">
          <w:rPr>
            <w:sz w:val="20"/>
            <w:szCs w:val="20"/>
            <w:highlight w:val="black"/>
          </w:rPr>
          <w:t>xxxxxxxxxxxxx</w:t>
        </w:r>
      </w:p>
      <w:p w14:paraId="01CCEA7D" w14:textId="39DBC795" w:rsidR="005975A3" w:rsidRPr="00BB6A55" w:rsidRDefault="005975A3">
        <w:pPr>
          <w:pStyle w:val="Footer"/>
          <w:jc w:val="center"/>
          <w:rPr>
            <w:sz w:val="20"/>
            <w:szCs w:val="20"/>
          </w:rPr>
        </w:pPr>
        <w:r>
          <w:rPr>
            <w:sz w:val="20"/>
            <w:szCs w:val="20"/>
            <w:lang w:val="cs"/>
          </w:rPr>
          <w:fldChar w:fldCharType="begin"/>
        </w:r>
        <w:r>
          <w:rPr>
            <w:sz w:val="20"/>
            <w:szCs w:val="20"/>
            <w:lang w:val="cs"/>
          </w:rPr>
          <w:instrText xml:space="preserve"> PAGE   \* MERGEFORMAT </w:instrText>
        </w:r>
        <w:r>
          <w:rPr>
            <w:sz w:val="20"/>
            <w:szCs w:val="20"/>
            <w:lang w:val="cs"/>
          </w:rPr>
          <w:fldChar w:fldCharType="separate"/>
        </w:r>
        <w:r w:rsidR="001A75D3">
          <w:rPr>
            <w:noProof/>
            <w:sz w:val="20"/>
            <w:szCs w:val="20"/>
            <w:lang w:val="cs"/>
          </w:rPr>
          <w:t>1</w:t>
        </w:r>
        <w:r>
          <w:rPr>
            <w:noProof/>
            <w:sz w:val="20"/>
            <w:szCs w:val="20"/>
            <w:lang w:val="cs"/>
          </w:rPr>
          <w:fldChar w:fldCharType="end"/>
        </w:r>
      </w:p>
    </w:sdtContent>
  </w:sdt>
  <w:p w14:paraId="01CCEA7E" w14:textId="77777777" w:rsidR="005975A3" w:rsidRPr="001876B9" w:rsidRDefault="005975A3" w:rsidP="00BB6A5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BABD" w14:textId="77777777" w:rsidR="00B84723" w:rsidRDefault="00B84723" w:rsidP="001876B9">
      <w:r>
        <w:separator/>
      </w:r>
    </w:p>
  </w:footnote>
  <w:footnote w:type="continuationSeparator" w:id="0">
    <w:p w14:paraId="460B1C03" w14:textId="77777777" w:rsidR="00B84723" w:rsidRDefault="00B84723" w:rsidP="0018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60308D58"/>
    <w:lvl w:ilvl="0" w:tplc="FFFFFFFF">
      <w:start w:val="1"/>
      <w:numFmt w:val="decimal"/>
      <w:lvlText w:val="%1."/>
      <w:lvlJc w:val="left"/>
      <w:pPr>
        <w:ind w:hanging="360"/>
      </w:pPr>
      <w:rPr>
        <w:color w:val="auto"/>
      </w:rPr>
    </w:lvl>
    <w:lvl w:ilvl="1" w:tplc="FFFFFFFF">
      <w:start w:val="1"/>
      <w:numFmt w:val="lowerLetter"/>
      <w:lvlText w:val="(%2)"/>
      <w:lvlJc w:val="left"/>
      <w:pPr>
        <w:ind w:hanging="360"/>
      </w:pPr>
      <w:rPr>
        <w:color w:val="auto"/>
      </w:rPr>
    </w:lvl>
    <w:lvl w:ilvl="2" w:tplc="FFFFFFFF">
      <w:start w:val="1"/>
      <w:numFmt w:val="lowerRoman"/>
      <w:lvlText w:val="(%3)"/>
      <w:lvlJc w:val="left"/>
      <w:pPr>
        <w:ind w:hanging="720"/>
      </w:pPr>
      <w:rPr>
        <w:rFonts w:ascii="Times New Roman" w:hAnsi="Times New Roman" w:cs="Times New Roman" w:hint="cs"/>
        <w:color w:val="auto"/>
        <w:sz w:val="19"/>
        <w:rtl w:val="0"/>
      </w:rPr>
    </w:lvl>
    <w:lvl w:ilvl="3" w:tplc="FFFFFFFF">
      <w:start w:val="1"/>
      <w:numFmt w:val="decimal"/>
      <w:lvlText w:val="%4."/>
      <w:lvlJc w:val="left"/>
      <w:pPr>
        <w:ind w:hanging="360"/>
      </w:pPr>
    </w:lvl>
    <w:lvl w:ilvl="4" w:tplc="FFFFFFFF">
      <w:start w:val="1"/>
      <w:numFmt w:val="lowerLetter"/>
      <w:lvlText w:val="%5."/>
      <w:lvlJc w:val="left"/>
      <w:pPr>
        <w:ind w:hanging="360"/>
      </w:pPr>
    </w:lvl>
    <w:lvl w:ilvl="5" w:tplc="FFFFFFFF">
      <w:start w:val="1"/>
      <w:numFmt w:val="lowerRoman"/>
      <w:lvlText w:val="%6."/>
      <w:lvlJc w:val="right"/>
      <w:pPr>
        <w:ind w:hanging="180"/>
      </w:pPr>
    </w:lvl>
    <w:lvl w:ilvl="6" w:tplc="FFFFFFFF">
      <w:start w:val="1"/>
      <w:numFmt w:val="decimal"/>
      <w:lvlText w:val="%7."/>
      <w:lvlJc w:val="left"/>
      <w:pPr>
        <w:ind w:hanging="360"/>
      </w:pPr>
    </w:lvl>
    <w:lvl w:ilvl="7" w:tplc="FFFFFFFF">
      <w:start w:val="1"/>
      <w:numFmt w:val="lowerLetter"/>
      <w:lvlText w:val="%8."/>
      <w:lvlJc w:val="left"/>
      <w:pPr>
        <w:ind w:hanging="360"/>
      </w:pPr>
    </w:lvl>
    <w:lvl w:ilvl="8" w:tplc="FFFFFFFF">
      <w:start w:val="1"/>
      <w:numFmt w:val="lowerRoman"/>
      <w:lvlText w:val="%9."/>
      <w:lvlJc w:val="right"/>
      <w:pPr>
        <w:ind w:hanging="180"/>
      </w:pPr>
    </w:lvl>
  </w:abstractNum>
  <w:abstractNum w:abstractNumId="1" w15:restartNumberingAfterBreak="0">
    <w:nsid w:val="00000024"/>
    <w:multiLevelType w:val="hybridMultilevel"/>
    <w:tmpl w:val="01EAE174"/>
    <w:lvl w:ilvl="0" w:tplc="FFFFFFFF">
      <w:start w:val="1"/>
      <w:numFmt w:val="bullet"/>
      <w:lvlText w:val=""/>
      <w:lvlJc w:val="left"/>
      <w:pPr>
        <w:widowControl w:val="0"/>
        <w:tabs>
          <w:tab w:val="num" w:pos="576"/>
        </w:tabs>
        <w:autoSpaceDE w:val="0"/>
        <w:autoSpaceDN w:val="0"/>
        <w:adjustRightInd w:val="0"/>
        <w:ind w:left="576" w:hanging="288"/>
      </w:pPr>
      <w:rPr>
        <w:rFonts w:ascii="Symbol" w:hAnsi="Symbol" w:cs="Symbol"/>
        <w:sz w:val="24"/>
        <w:szCs w:val="24"/>
      </w:rPr>
    </w:lvl>
    <w:lvl w:ilvl="1" w:tplc="FFFFFFFF">
      <w:start w:val="1"/>
      <w:numFmt w:val="bullet"/>
      <w:lvlText w:val="o"/>
      <w:lvlJc w:val="left"/>
      <w:pPr>
        <w:widowControl w:val="0"/>
        <w:tabs>
          <w:tab w:val="num" w:pos="1728"/>
        </w:tabs>
        <w:autoSpaceDE w:val="0"/>
        <w:autoSpaceDN w:val="0"/>
        <w:adjustRightInd w:val="0"/>
        <w:ind w:left="1728" w:hanging="360"/>
      </w:pPr>
      <w:rPr>
        <w:rFonts w:ascii="Courier New" w:hAnsi="Courier New" w:cs="Courier New"/>
        <w:sz w:val="24"/>
        <w:szCs w:val="24"/>
      </w:rPr>
    </w:lvl>
    <w:lvl w:ilvl="2" w:tplc="FFFFFFFF">
      <w:start w:val="1"/>
      <w:numFmt w:val="bullet"/>
      <w:lvlText w:val=""/>
      <w:lvlJc w:val="left"/>
      <w:pPr>
        <w:widowControl w:val="0"/>
        <w:tabs>
          <w:tab w:val="num" w:pos="2448"/>
        </w:tabs>
        <w:autoSpaceDE w:val="0"/>
        <w:autoSpaceDN w:val="0"/>
        <w:adjustRightInd w:val="0"/>
        <w:ind w:left="2448" w:hanging="360"/>
      </w:pPr>
      <w:rPr>
        <w:rFonts w:ascii="Wingdings" w:hAnsi="Wingdings" w:cs="Wingdings"/>
        <w:sz w:val="24"/>
        <w:szCs w:val="24"/>
      </w:rPr>
    </w:lvl>
    <w:lvl w:ilvl="3" w:tplc="FFFFFFFF">
      <w:start w:val="1"/>
      <w:numFmt w:val="bullet"/>
      <w:lvlText w:val=""/>
      <w:lvlJc w:val="left"/>
      <w:pPr>
        <w:widowControl w:val="0"/>
        <w:tabs>
          <w:tab w:val="num" w:pos="3168"/>
        </w:tabs>
        <w:autoSpaceDE w:val="0"/>
        <w:autoSpaceDN w:val="0"/>
        <w:adjustRightInd w:val="0"/>
        <w:ind w:left="3168" w:hanging="360"/>
      </w:pPr>
      <w:rPr>
        <w:rFonts w:ascii="Symbol" w:hAnsi="Symbol" w:cs="Symbol"/>
        <w:sz w:val="24"/>
        <w:szCs w:val="24"/>
      </w:rPr>
    </w:lvl>
    <w:lvl w:ilvl="4" w:tplc="FFFFFFFF">
      <w:start w:val="1"/>
      <w:numFmt w:val="bullet"/>
      <w:lvlText w:val="o"/>
      <w:lvlJc w:val="left"/>
      <w:pPr>
        <w:widowControl w:val="0"/>
        <w:tabs>
          <w:tab w:val="num" w:pos="3888"/>
        </w:tabs>
        <w:autoSpaceDE w:val="0"/>
        <w:autoSpaceDN w:val="0"/>
        <w:adjustRightInd w:val="0"/>
        <w:ind w:left="3888" w:hanging="360"/>
      </w:pPr>
      <w:rPr>
        <w:rFonts w:ascii="Courier New" w:hAnsi="Courier New" w:cs="Courier New"/>
        <w:sz w:val="24"/>
        <w:szCs w:val="24"/>
      </w:rPr>
    </w:lvl>
    <w:lvl w:ilvl="5" w:tplc="FFFFFFFF">
      <w:start w:val="1"/>
      <w:numFmt w:val="bullet"/>
      <w:lvlText w:val=""/>
      <w:lvlJc w:val="left"/>
      <w:pPr>
        <w:widowControl w:val="0"/>
        <w:tabs>
          <w:tab w:val="num" w:pos="4608"/>
        </w:tabs>
        <w:autoSpaceDE w:val="0"/>
        <w:autoSpaceDN w:val="0"/>
        <w:adjustRightInd w:val="0"/>
        <w:ind w:left="4608" w:hanging="360"/>
      </w:pPr>
      <w:rPr>
        <w:rFonts w:ascii="Wingdings" w:hAnsi="Wingdings" w:cs="Wingdings"/>
        <w:sz w:val="24"/>
        <w:szCs w:val="24"/>
      </w:rPr>
    </w:lvl>
    <w:lvl w:ilvl="6" w:tplc="FFFFFFFF">
      <w:start w:val="1"/>
      <w:numFmt w:val="bullet"/>
      <w:lvlText w:val=""/>
      <w:lvlJc w:val="left"/>
      <w:pPr>
        <w:widowControl w:val="0"/>
        <w:tabs>
          <w:tab w:val="num" w:pos="5328"/>
        </w:tabs>
        <w:autoSpaceDE w:val="0"/>
        <w:autoSpaceDN w:val="0"/>
        <w:adjustRightInd w:val="0"/>
        <w:ind w:left="5328" w:hanging="360"/>
      </w:pPr>
      <w:rPr>
        <w:rFonts w:ascii="Symbol" w:hAnsi="Symbol" w:cs="Symbol"/>
        <w:sz w:val="24"/>
        <w:szCs w:val="24"/>
      </w:rPr>
    </w:lvl>
    <w:lvl w:ilvl="7" w:tplc="FFFFFFFF">
      <w:start w:val="1"/>
      <w:numFmt w:val="bullet"/>
      <w:lvlText w:val="o"/>
      <w:lvlJc w:val="left"/>
      <w:pPr>
        <w:widowControl w:val="0"/>
        <w:tabs>
          <w:tab w:val="num" w:pos="6048"/>
        </w:tabs>
        <w:autoSpaceDE w:val="0"/>
        <w:autoSpaceDN w:val="0"/>
        <w:adjustRightInd w:val="0"/>
        <w:ind w:left="6048" w:hanging="360"/>
      </w:pPr>
      <w:rPr>
        <w:rFonts w:ascii="Courier New" w:hAnsi="Courier New" w:cs="Courier New"/>
        <w:sz w:val="24"/>
        <w:szCs w:val="24"/>
      </w:rPr>
    </w:lvl>
    <w:lvl w:ilvl="8" w:tplc="FFFFFFFF">
      <w:start w:val="1"/>
      <w:numFmt w:val="bullet"/>
      <w:lvlText w:val=""/>
      <w:lvlJc w:val="left"/>
      <w:pPr>
        <w:widowControl w:val="0"/>
        <w:tabs>
          <w:tab w:val="num" w:pos="6768"/>
        </w:tabs>
        <w:autoSpaceDE w:val="0"/>
        <w:autoSpaceDN w:val="0"/>
        <w:adjustRightInd w:val="0"/>
        <w:ind w:left="6768" w:hanging="360"/>
      </w:pPr>
      <w:rPr>
        <w:rFonts w:ascii="Wingdings" w:hAnsi="Wingdings" w:cs="Wingdings"/>
        <w:sz w:val="24"/>
        <w:szCs w:val="24"/>
      </w:rPr>
    </w:lvl>
  </w:abstractNum>
  <w:abstractNum w:abstractNumId="2" w15:restartNumberingAfterBreak="0">
    <w:nsid w:val="03E63F7A"/>
    <w:multiLevelType w:val="hybridMultilevel"/>
    <w:tmpl w:val="BECC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643D5"/>
    <w:multiLevelType w:val="multilevel"/>
    <w:tmpl w:val="E50C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B6A41"/>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1C44C03"/>
    <w:multiLevelType w:val="hybridMultilevel"/>
    <w:tmpl w:val="93383696"/>
    <w:lvl w:ilvl="0" w:tplc="A4AAA06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10DF0"/>
    <w:multiLevelType w:val="hybridMultilevel"/>
    <w:tmpl w:val="47946462"/>
    <w:lvl w:ilvl="0" w:tplc="08090017">
      <w:start w:val="1"/>
      <w:numFmt w:val="lowerLetter"/>
      <w:lvlText w:val="%1)"/>
      <w:lvlJc w:val="left"/>
      <w:pPr>
        <w:ind w:left="720" w:hanging="360"/>
      </w:pPr>
    </w:lvl>
    <w:lvl w:ilvl="1" w:tplc="6414D384">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A6514"/>
    <w:multiLevelType w:val="hybridMultilevel"/>
    <w:tmpl w:val="E58CBCD8"/>
    <w:lvl w:ilvl="0" w:tplc="C0D8CC7A">
      <w:start w:val="1"/>
      <w:numFmt w:val="bullet"/>
      <w:lvlText w:val="o"/>
      <w:lvlJc w:val="left"/>
      <w:pPr>
        <w:tabs>
          <w:tab w:val="num" w:pos="144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5A262B"/>
    <w:multiLevelType w:val="hybridMultilevel"/>
    <w:tmpl w:val="EFECE25C"/>
    <w:lvl w:ilvl="0" w:tplc="0C50AA0A">
      <w:start w:val="1"/>
      <w:numFmt w:val="lowerLetter"/>
      <w:lvlText w:val="%1."/>
      <w:lvlJc w:val="left"/>
      <w:pPr>
        <w:ind w:left="1800" w:hanging="360"/>
      </w:pPr>
      <w:rPr>
        <w:rFonts w:hint="default"/>
        <w:b/>
        <w:i/>
        <w:color w:val="0000FF"/>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EB531AC"/>
    <w:multiLevelType w:val="hybridMultilevel"/>
    <w:tmpl w:val="AAC6E5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45E4E"/>
    <w:multiLevelType w:val="hybridMultilevel"/>
    <w:tmpl w:val="7E54052A"/>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217CA3"/>
    <w:multiLevelType w:val="hybridMultilevel"/>
    <w:tmpl w:val="93827BB8"/>
    <w:lvl w:ilvl="0" w:tplc="FA3C64C4">
      <w:start w:val="13"/>
      <w:numFmt w:val="decimal"/>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74F54"/>
    <w:multiLevelType w:val="hybridMultilevel"/>
    <w:tmpl w:val="2216F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43CAB"/>
    <w:multiLevelType w:val="multilevel"/>
    <w:tmpl w:val="B4FC957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E32EF3"/>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041E94"/>
    <w:multiLevelType w:val="hybridMultilevel"/>
    <w:tmpl w:val="A5BA39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205CA8"/>
    <w:multiLevelType w:val="multilevel"/>
    <w:tmpl w:val="01C4FA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E996EA7"/>
    <w:multiLevelType w:val="hybridMultilevel"/>
    <w:tmpl w:val="891EA4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FC8480D"/>
    <w:multiLevelType w:val="multilevel"/>
    <w:tmpl w:val="D3EC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F441E7"/>
    <w:multiLevelType w:val="hybridMultilevel"/>
    <w:tmpl w:val="19C0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F200C"/>
    <w:multiLevelType w:val="multilevel"/>
    <w:tmpl w:val="2BFCD5E6"/>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4A02893"/>
    <w:multiLevelType w:val="multilevel"/>
    <w:tmpl w:val="7CC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73157F"/>
    <w:multiLevelType w:val="multilevel"/>
    <w:tmpl w:val="CB0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2C1862"/>
    <w:multiLevelType w:val="hybridMultilevel"/>
    <w:tmpl w:val="42D43BD2"/>
    <w:lvl w:ilvl="0" w:tplc="51D0F8EC">
      <w:start w:val="1"/>
      <w:numFmt w:val="decimal"/>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F020E"/>
    <w:multiLevelType w:val="hybridMultilevel"/>
    <w:tmpl w:val="16BEBA94"/>
    <w:lvl w:ilvl="0" w:tplc="36E077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804E8"/>
    <w:multiLevelType w:val="hybridMultilevel"/>
    <w:tmpl w:val="DFE4CB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5D82617"/>
    <w:multiLevelType w:val="multilevel"/>
    <w:tmpl w:val="1A14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455003"/>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570"/>
        </w:tabs>
        <w:ind w:left="157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A2121DA"/>
    <w:multiLevelType w:val="multilevel"/>
    <w:tmpl w:val="C7F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9108C6"/>
    <w:multiLevelType w:val="multilevel"/>
    <w:tmpl w:val="CBBA4A5C"/>
    <w:lvl w:ilvl="0">
      <w:start w:val="11"/>
      <w:numFmt w:val="decimal"/>
      <w:lvlText w:val="%1"/>
      <w:lvlJc w:val="left"/>
      <w:pPr>
        <w:ind w:left="420" w:hanging="420"/>
      </w:pPr>
      <w:rPr>
        <w:rFonts w:hint="default"/>
        <w:i w:val="0"/>
      </w:rPr>
    </w:lvl>
    <w:lvl w:ilvl="1">
      <w:start w:val="4"/>
      <w:numFmt w:val="decimal"/>
      <w:lvlText w:val="%1.%2"/>
      <w:lvlJc w:val="left"/>
      <w:pPr>
        <w:ind w:left="1860" w:hanging="42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0" w15:restartNumberingAfterBreak="0">
    <w:nsid w:val="4DC9704C"/>
    <w:multiLevelType w:val="hybridMultilevel"/>
    <w:tmpl w:val="D368E97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53995AA6"/>
    <w:multiLevelType w:val="multilevel"/>
    <w:tmpl w:val="AD8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C4B3F"/>
    <w:multiLevelType w:val="hybridMultilevel"/>
    <w:tmpl w:val="91E22B82"/>
    <w:lvl w:ilvl="0" w:tplc="020AB9A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458F2"/>
    <w:multiLevelType w:val="multilevel"/>
    <w:tmpl w:val="01C4FA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82691C"/>
    <w:multiLevelType w:val="hybridMultilevel"/>
    <w:tmpl w:val="07E8ACB4"/>
    <w:lvl w:ilvl="0" w:tplc="459A947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E0E56"/>
    <w:multiLevelType w:val="multilevel"/>
    <w:tmpl w:val="7792B710"/>
    <w:lvl w:ilvl="0">
      <w:start w:val="12"/>
      <w:numFmt w:val="decimal"/>
      <w:lvlText w:val="%1"/>
      <w:lvlJc w:val="left"/>
      <w:pPr>
        <w:ind w:left="420" w:hanging="420"/>
      </w:pPr>
      <w:rPr>
        <w:rFonts w:hint="default"/>
        <w:u w:val="single"/>
      </w:rPr>
    </w:lvl>
    <w:lvl w:ilvl="1">
      <w:start w:val="2"/>
      <w:numFmt w:val="decimal"/>
      <w:lvlText w:val="%1.%2"/>
      <w:lvlJc w:val="left"/>
      <w:pPr>
        <w:ind w:left="1860" w:hanging="420"/>
      </w:pPr>
      <w:rPr>
        <w:rFonts w:hint="default"/>
        <w:u w:val="non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36" w15:restartNumberingAfterBreak="0">
    <w:nsid w:val="603F0BF3"/>
    <w:multiLevelType w:val="hybridMultilevel"/>
    <w:tmpl w:val="353E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625B2"/>
    <w:multiLevelType w:val="hybridMultilevel"/>
    <w:tmpl w:val="552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742FD"/>
    <w:multiLevelType w:val="hybridMultilevel"/>
    <w:tmpl w:val="15AA5C76"/>
    <w:lvl w:ilvl="0" w:tplc="41EAF8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A74661"/>
    <w:multiLevelType w:val="hybridMultilevel"/>
    <w:tmpl w:val="7A1CE010"/>
    <w:lvl w:ilvl="0" w:tplc="08090017">
      <w:start w:val="1"/>
      <w:numFmt w:val="lowerLetter"/>
      <w:lvlText w:val="%1)"/>
      <w:lvlJc w:val="left"/>
      <w:pPr>
        <w:ind w:left="720" w:hanging="360"/>
      </w:pPr>
    </w:lvl>
    <w:lvl w:ilvl="1" w:tplc="604E23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787814"/>
    <w:multiLevelType w:val="hybridMultilevel"/>
    <w:tmpl w:val="BC78D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B721E9"/>
    <w:multiLevelType w:val="multilevel"/>
    <w:tmpl w:val="B48AA56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6C47C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79C13678"/>
    <w:multiLevelType w:val="hybridMultilevel"/>
    <w:tmpl w:val="268410E8"/>
    <w:lvl w:ilvl="0" w:tplc="1A8CC39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23E08"/>
    <w:multiLevelType w:val="hybridMultilevel"/>
    <w:tmpl w:val="E57A0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E83B41"/>
    <w:multiLevelType w:val="hybridMultilevel"/>
    <w:tmpl w:val="D3306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2A2809"/>
    <w:multiLevelType w:val="multilevel"/>
    <w:tmpl w:val="B382FFA8"/>
    <w:lvl w:ilvl="0">
      <w:start w:val="6"/>
      <w:numFmt w:val="decimal"/>
      <w:lvlText w:val="%1"/>
      <w:lvlJc w:val="left"/>
      <w:pPr>
        <w:tabs>
          <w:tab w:val="num" w:pos="360"/>
        </w:tabs>
        <w:ind w:left="360" w:hanging="360"/>
      </w:pPr>
      <w:rPr>
        <w:rFonts w:hint="default"/>
        <w:u w:val="single"/>
      </w:rPr>
    </w:lvl>
    <w:lvl w:ilvl="1">
      <w:start w:val="1"/>
      <w:numFmt w:val="decimal"/>
      <w:lvlText w:val="%1.%2"/>
      <w:lvlJc w:val="left"/>
      <w:pPr>
        <w:tabs>
          <w:tab w:val="num" w:pos="1440"/>
        </w:tabs>
        <w:ind w:left="1440" w:hanging="360"/>
      </w:pPr>
      <w:rPr>
        <w:rFonts w:hint="default"/>
        <w:u w:val="none"/>
      </w:rPr>
    </w:lvl>
    <w:lvl w:ilvl="2">
      <w:start w:val="1"/>
      <w:numFmt w:val="decimal"/>
      <w:lvlText w:val="%1.%2.%3"/>
      <w:lvlJc w:val="left"/>
      <w:pPr>
        <w:tabs>
          <w:tab w:val="num" w:pos="2880"/>
        </w:tabs>
        <w:ind w:left="2880" w:hanging="720"/>
      </w:pPr>
      <w:rPr>
        <w:rFonts w:hint="default"/>
        <w:u w:val="single"/>
      </w:rPr>
    </w:lvl>
    <w:lvl w:ilvl="3">
      <w:start w:val="1"/>
      <w:numFmt w:val="decimal"/>
      <w:lvlText w:val="%1.%2.%3.%4"/>
      <w:lvlJc w:val="left"/>
      <w:pPr>
        <w:tabs>
          <w:tab w:val="num" w:pos="3960"/>
        </w:tabs>
        <w:ind w:left="3960" w:hanging="720"/>
      </w:pPr>
      <w:rPr>
        <w:rFonts w:hint="default"/>
        <w:u w:val="single"/>
      </w:rPr>
    </w:lvl>
    <w:lvl w:ilvl="4">
      <w:start w:val="1"/>
      <w:numFmt w:val="decimal"/>
      <w:lvlText w:val="%1.%2.%3.%4.%5"/>
      <w:lvlJc w:val="left"/>
      <w:pPr>
        <w:tabs>
          <w:tab w:val="num" w:pos="5040"/>
        </w:tabs>
        <w:ind w:left="5040" w:hanging="720"/>
      </w:pPr>
      <w:rPr>
        <w:rFonts w:hint="default"/>
        <w:u w:val="single"/>
      </w:rPr>
    </w:lvl>
    <w:lvl w:ilvl="5">
      <w:start w:val="1"/>
      <w:numFmt w:val="decimal"/>
      <w:lvlText w:val="%1.%2.%3.%4.%5.%6"/>
      <w:lvlJc w:val="left"/>
      <w:pPr>
        <w:tabs>
          <w:tab w:val="num" w:pos="6480"/>
        </w:tabs>
        <w:ind w:left="6480" w:hanging="1080"/>
      </w:pPr>
      <w:rPr>
        <w:rFonts w:hint="default"/>
        <w:u w:val="single"/>
      </w:rPr>
    </w:lvl>
    <w:lvl w:ilvl="6">
      <w:start w:val="1"/>
      <w:numFmt w:val="decimal"/>
      <w:lvlText w:val="%1.%2.%3.%4.%5.%6.%7"/>
      <w:lvlJc w:val="left"/>
      <w:pPr>
        <w:tabs>
          <w:tab w:val="num" w:pos="7560"/>
        </w:tabs>
        <w:ind w:left="7560" w:hanging="1080"/>
      </w:pPr>
      <w:rPr>
        <w:rFonts w:hint="default"/>
        <w:u w:val="single"/>
      </w:rPr>
    </w:lvl>
    <w:lvl w:ilvl="7">
      <w:start w:val="1"/>
      <w:numFmt w:val="decimal"/>
      <w:lvlText w:val="%1.%2.%3.%4.%5.%6.%7.%8"/>
      <w:lvlJc w:val="left"/>
      <w:pPr>
        <w:tabs>
          <w:tab w:val="num" w:pos="9000"/>
        </w:tabs>
        <w:ind w:left="9000" w:hanging="1440"/>
      </w:pPr>
      <w:rPr>
        <w:rFonts w:hint="default"/>
        <w:u w:val="single"/>
      </w:rPr>
    </w:lvl>
    <w:lvl w:ilvl="8">
      <w:start w:val="1"/>
      <w:numFmt w:val="decimal"/>
      <w:lvlText w:val="%1.%2.%3.%4.%5.%6.%7.%8.%9"/>
      <w:lvlJc w:val="left"/>
      <w:pPr>
        <w:tabs>
          <w:tab w:val="num" w:pos="10080"/>
        </w:tabs>
        <w:ind w:left="10080" w:hanging="1440"/>
      </w:pPr>
      <w:rPr>
        <w:rFonts w:hint="default"/>
        <w:u w:val="single"/>
      </w:rPr>
    </w:lvl>
  </w:abstractNum>
  <w:abstractNum w:abstractNumId="47" w15:restartNumberingAfterBreak="0">
    <w:nsid w:val="7CAB10B4"/>
    <w:multiLevelType w:val="hybridMultilevel"/>
    <w:tmpl w:val="C3DE90AA"/>
    <w:lvl w:ilvl="0" w:tplc="9252E398">
      <w:start w:val="1"/>
      <w:numFmt w:val="lowerLetter"/>
      <w:lvlText w:val="%1."/>
      <w:lvlJc w:val="left"/>
      <w:pPr>
        <w:ind w:left="2146" w:hanging="360"/>
      </w:pPr>
      <w:rPr>
        <w:rFonts w:hint="default"/>
      </w:rPr>
    </w:lvl>
    <w:lvl w:ilvl="1" w:tplc="08090019" w:tentative="1">
      <w:start w:val="1"/>
      <w:numFmt w:val="lowerLetter"/>
      <w:lvlText w:val="%2."/>
      <w:lvlJc w:val="left"/>
      <w:pPr>
        <w:ind w:left="2866" w:hanging="360"/>
      </w:pPr>
    </w:lvl>
    <w:lvl w:ilvl="2" w:tplc="0809001B" w:tentative="1">
      <w:start w:val="1"/>
      <w:numFmt w:val="lowerRoman"/>
      <w:lvlText w:val="%3."/>
      <w:lvlJc w:val="right"/>
      <w:pPr>
        <w:ind w:left="3586" w:hanging="180"/>
      </w:pPr>
    </w:lvl>
    <w:lvl w:ilvl="3" w:tplc="0809000F" w:tentative="1">
      <w:start w:val="1"/>
      <w:numFmt w:val="decimal"/>
      <w:lvlText w:val="%4."/>
      <w:lvlJc w:val="left"/>
      <w:pPr>
        <w:ind w:left="4306" w:hanging="360"/>
      </w:pPr>
    </w:lvl>
    <w:lvl w:ilvl="4" w:tplc="08090019" w:tentative="1">
      <w:start w:val="1"/>
      <w:numFmt w:val="lowerLetter"/>
      <w:lvlText w:val="%5."/>
      <w:lvlJc w:val="left"/>
      <w:pPr>
        <w:ind w:left="5026" w:hanging="360"/>
      </w:pPr>
    </w:lvl>
    <w:lvl w:ilvl="5" w:tplc="0809001B" w:tentative="1">
      <w:start w:val="1"/>
      <w:numFmt w:val="lowerRoman"/>
      <w:lvlText w:val="%6."/>
      <w:lvlJc w:val="right"/>
      <w:pPr>
        <w:ind w:left="5746" w:hanging="180"/>
      </w:pPr>
    </w:lvl>
    <w:lvl w:ilvl="6" w:tplc="0809000F" w:tentative="1">
      <w:start w:val="1"/>
      <w:numFmt w:val="decimal"/>
      <w:lvlText w:val="%7."/>
      <w:lvlJc w:val="left"/>
      <w:pPr>
        <w:ind w:left="6466" w:hanging="360"/>
      </w:pPr>
    </w:lvl>
    <w:lvl w:ilvl="7" w:tplc="08090019" w:tentative="1">
      <w:start w:val="1"/>
      <w:numFmt w:val="lowerLetter"/>
      <w:lvlText w:val="%8."/>
      <w:lvlJc w:val="left"/>
      <w:pPr>
        <w:ind w:left="7186" w:hanging="360"/>
      </w:pPr>
    </w:lvl>
    <w:lvl w:ilvl="8" w:tplc="0809001B" w:tentative="1">
      <w:start w:val="1"/>
      <w:numFmt w:val="lowerRoman"/>
      <w:lvlText w:val="%9."/>
      <w:lvlJc w:val="right"/>
      <w:pPr>
        <w:ind w:left="7906" w:hanging="180"/>
      </w:pPr>
    </w:lvl>
  </w:abstractNum>
  <w:abstractNum w:abstractNumId="48" w15:restartNumberingAfterBreak="0">
    <w:nsid w:val="7F6104F1"/>
    <w:multiLevelType w:val="hybridMultilevel"/>
    <w:tmpl w:val="64BAA0E4"/>
    <w:lvl w:ilvl="0" w:tplc="35381716">
      <w:start w:val="12"/>
      <w:numFmt w:val="decimal"/>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20"/>
  </w:num>
  <w:num w:numId="4">
    <w:abstractNumId w:val="8"/>
  </w:num>
  <w:num w:numId="5">
    <w:abstractNumId w:val="47"/>
  </w:num>
  <w:num w:numId="6">
    <w:abstractNumId w:val="16"/>
  </w:num>
  <w:num w:numId="7">
    <w:abstractNumId w:val="33"/>
  </w:num>
  <w:num w:numId="8">
    <w:abstractNumId w:val="0"/>
  </w:num>
  <w:num w:numId="9">
    <w:abstractNumId w:val="0"/>
    <w:lvlOverride w:ilvl="0">
      <w:lvl w:ilvl="0" w:tplc="FFFFFFFF">
        <w:start w:val="1"/>
        <w:numFmt w:val="decimal"/>
        <w:lvlText w:val="%1."/>
        <w:lvlJc w:val="left"/>
        <w:pPr>
          <w:ind w:hanging="360"/>
        </w:pPr>
      </w:lvl>
    </w:lvlOverride>
    <w:lvlOverride w:ilvl="1">
      <w:lvl w:ilvl="1" w:tplc="FFFFFFFF">
        <w:start w:val="1"/>
        <w:numFmt w:val="lowerLetter"/>
        <w:lvlText w:val="(%2)"/>
        <w:lvlJc w:val="left"/>
        <w:pPr>
          <w:ind w:hanging="360"/>
        </w:pPr>
        <w:rPr>
          <w:color w:val="auto"/>
        </w:rPr>
      </w:lvl>
    </w:lvlOverride>
    <w:lvlOverride w:ilvl="2">
      <w:lvl w:ilvl="2" w:tplc="FFFFFFFF">
        <w:start w:val="1"/>
        <w:numFmt w:val="lowerRoman"/>
        <w:lvlText w:val="(%3)"/>
        <w:lvlJc w:val="left"/>
        <w:pPr>
          <w:ind w:hanging="720"/>
        </w:pPr>
        <w:rPr>
          <w:rFonts w:ascii="Times New Roman" w:hAnsi="Times New Roman" w:cs="Times New Roman" w:hint="cs"/>
          <w:sz w:val="19"/>
          <w:rtl w:val="0"/>
        </w:rPr>
      </w:lvl>
    </w:lvlOverride>
    <w:lvlOverride w:ilvl="3">
      <w:lvl w:ilvl="3" w:tplc="FFFFFFFF">
        <w:start w:val="1"/>
        <w:numFmt w:val="decimal"/>
        <w:lvlText w:val="%4."/>
        <w:lvlJc w:val="left"/>
        <w:pPr>
          <w:ind w:hanging="360"/>
        </w:pPr>
      </w:lvl>
    </w:lvlOverride>
    <w:lvlOverride w:ilvl="4">
      <w:lvl w:ilvl="4" w:tplc="FFFFFFFF">
        <w:start w:val="1"/>
        <w:numFmt w:val="lowerLetter"/>
        <w:lvlText w:val="%5."/>
        <w:lvlJc w:val="left"/>
        <w:pPr>
          <w:ind w:hanging="360"/>
        </w:pPr>
      </w:lvl>
    </w:lvlOverride>
    <w:lvlOverride w:ilvl="5">
      <w:lvl w:ilvl="5" w:tplc="FFFFFFFF">
        <w:start w:val="1"/>
        <w:numFmt w:val="lowerRoman"/>
        <w:lvlText w:val="%6."/>
        <w:lvlJc w:val="right"/>
        <w:pPr>
          <w:ind w:hanging="180"/>
        </w:pPr>
      </w:lvl>
    </w:lvlOverride>
    <w:lvlOverride w:ilvl="6">
      <w:lvl w:ilvl="6" w:tplc="FFFFFFFF">
        <w:start w:val="1"/>
        <w:numFmt w:val="decimal"/>
        <w:lvlText w:val="%7."/>
        <w:lvlJc w:val="left"/>
        <w:pPr>
          <w:ind w:hanging="360"/>
        </w:pPr>
      </w:lvl>
    </w:lvlOverride>
    <w:lvlOverride w:ilvl="7">
      <w:lvl w:ilvl="7" w:tplc="FFFFFFFF">
        <w:start w:val="1"/>
        <w:numFmt w:val="lowerLetter"/>
        <w:lvlText w:val="%8."/>
        <w:lvlJc w:val="left"/>
        <w:pPr>
          <w:ind w:hanging="360"/>
        </w:pPr>
      </w:lvl>
    </w:lvlOverride>
    <w:lvlOverride w:ilvl="8">
      <w:lvl w:ilvl="8" w:tplc="FFFFFFFF">
        <w:start w:val="1"/>
        <w:numFmt w:val="lowerRoman"/>
        <w:lvlText w:val="%9."/>
        <w:lvlJc w:val="right"/>
        <w:pPr>
          <w:ind w:hanging="180"/>
        </w:pPr>
      </w:lvl>
    </w:lvlOverride>
  </w:num>
  <w:num w:numId="10">
    <w:abstractNumId w:val="46"/>
  </w:num>
  <w:num w:numId="11">
    <w:abstractNumId w:val="41"/>
  </w:num>
  <w:num w:numId="12">
    <w:abstractNumId w:val="27"/>
  </w:num>
  <w:num w:numId="13">
    <w:abstractNumId w:val="4"/>
  </w:num>
  <w:num w:numId="14">
    <w:abstractNumId w:val="6"/>
  </w:num>
  <w:num w:numId="15">
    <w:abstractNumId w:val="10"/>
  </w:num>
  <w:num w:numId="16">
    <w:abstractNumId w:val="40"/>
  </w:num>
  <w:num w:numId="17">
    <w:abstractNumId w:val="45"/>
  </w:num>
  <w:num w:numId="18">
    <w:abstractNumId w:val="17"/>
  </w:num>
  <w:num w:numId="19">
    <w:abstractNumId w:val="15"/>
  </w:num>
  <w:num w:numId="20">
    <w:abstractNumId w:val="9"/>
  </w:num>
  <w:num w:numId="21">
    <w:abstractNumId w:val="12"/>
  </w:num>
  <w:num w:numId="22">
    <w:abstractNumId w:val="39"/>
  </w:num>
  <w:num w:numId="23">
    <w:abstractNumId w:val="25"/>
  </w:num>
  <w:num w:numId="24">
    <w:abstractNumId w:val="44"/>
  </w:num>
  <w:num w:numId="25">
    <w:abstractNumId w:val="37"/>
  </w:num>
  <w:num w:numId="26">
    <w:abstractNumId w:val="19"/>
  </w:num>
  <w:num w:numId="27">
    <w:abstractNumId w:val="42"/>
  </w:num>
  <w:num w:numId="28">
    <w:abstractNumId w:val="7"/>
  </w:num>
  <w:num w:numId="29">
    <w:abstractNumId w:val="23"/>
  </w:num>
  <w:num w:numId="30">
    <w:abstractNumId w:val="11"/>
  </w:num>
  <w:num w:numId="31">
    <w:abstractNumId w:val="38"/>
  </w:num>
  <w:num w:numId="32">
    <w:abstractNumId w:val="43"/>
  </w:num>
  <w:num w:numId="33">
    <w:abstractNumId w:val="48"/>
  </w:num>
  <w:num w:numId="34">
    <w:abstractNumId w:val="13"/>
  </w:num>
  <w:num w:numId="35">
    <w:abstractNumId w:val="32"/>
  </w:num>
  <w:num w:numId="36">
    <w:abstractNumId w:val="1"/>
  </w:num>
  <w:num w:numId="37">
    <w:abstractNumId w:val="30"/>
  </w:num>
  <w:num w:numId="38">
    <w:abstractNumId w:val="36"/>
  </w:num>
  <w:num w:numId="39">
    <w:abstractNumId w:val="2"/>
  </w:num>
  <w:num w:numId="40">
    <w:abstractNumId w:val="24"/>
  </w:num>
  <w:num w:numId="41">
    <w:abstractNumId w:val="31"/>
  </w:num>
  <w:num w:numId="42">
    <w:abstractNumId w:val="22"/>
  </w:num>
  <w:num w:numId="43">
    <w:abstractNumId w:val="28"/>
  </w:num>
  <w:num w:numId="44">
    <w:abstractNumId w:val="18"/>
  </w:num>
  <w:num w:numId="45">
    <w:abstractNumId w:val="21"/>
  </w:num>
  <w:num w:numId="46">
    <w:abstractNumId w:val="3"/>
  </w:num>
  <w:num w:numId="47">
    <w:abstractNumId w:val="26"/>
  </w:num>
  <w:num w:numId="48">
    <w:abstractNumId w:val="5"/>
  </w:num>
  <w:num w:numId="49">
    <w:abstractNumId w:val="3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cumentProtection w:edit="trackedChange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B9"/>
    <w:rsid w:val="000322D0"/>
    <w:rsid w:val="00034E2C"/>
    <w:rsid w:val="000357E1"/>
    <w:rsid w:val="000463C0"/>
    <w:rsid w:val="000728C1"/>
    <w:rsid w:val="00083763"/>
    <w:rsid w:val="000853F9"/>
    <w:rsid w:val="000867B5"/>
    <w:rsid w:val="000A421F"/>
    <w:rsid w:val="000A64CD"/>
    <w:rsid w:val="000B2BAE"/>
    <w:rsid w:val="000B5A9F"/>
    <w:rsid w:val="000C1125"/>
    <w:rsid w:val="000C2A43"/>
    <w:rsid w:val="000C5EA4"/>
    <w:rsid w:val="000D5FC6"/>
    <w:rsid w:val="00104B76"/>
    <w:rsid w:val="00105BC7"/>
    <w:rsid w:val="00116CE4"/>
    <w:rsid w:val="00157693"/>
    <w:rsid w:val="00157E33"/>
    <w:rsid w:val="00164852"/>
    <w:rsid w:val="00174329"/>
    <w:rsid w:val="001876B9"/>
    <w:rsid w:val="00191118"/>
    <w:rsid w:val="001A75D3"/>
    <w:rsid w:val="001B6D46"/>
    <w:rsid w:val="001C260F"/>
    <w:rsid w:val="001C77C6"/>
    <w:rsid w:val="001D7549"/>
    <w:rsid w:val="001D7D17"/>
    <w:rsid w:val="001F43B7"/>
    <w:rsid w:val="002108E0"/>
    <w:rsid w:val="00212BD2"/>
    <w:rsid w:val="00215A02"/>
    <w:rsid w:val="00224A11"/>
    <w:rsid w:val="0024109E"/>
    <w:rsid w:val="00243F2A"/>
    <w:rsid w:val="00246A0E"/>
    <w:rsid w:val="00250C4A"/>
    <w:rsid w:val="002516CA"/>
    <w:rsid w:val="00275102"/>
    <w:rsid w:val="002A769C"/>
    <w:rsid w:val="002B6F6F"/>
    <w:rsid w:val="002D355A"/>
    <w:rsid w:val="002D5BE3"/>
    <w:rsid w:val="002D7970"/>
    <w:rsid w:val="002F361E"/>
    <w:rsid w:val="00317460"/>
    <w:rsid w:val="00323865"/>
    <w:rsid w:val="0032669D"/>
    <w:rsid w:val="00336DDE"/>
    <w:rsid w:val="00360D2F"/>
    <w:rsid w:val="003801BB"/>
    <w:rsid w:val="0038445B"/>
    <w:rsid w:val="003916FD"/>
    <w:rsid w:val="003B4132"/>
    <w:rsid w:val="003C2FA8"/>
    <w:rsid w:val="003E1C7D"/>
    <w:rsid w:val="003F0FB2"/>
    <w:rsid w:val="00433787"/>
    <w:rsid w:val="00454D0D"/>
    <w:rsid w:val="00472030"/>
    <w:rsid w:val="00474215"/>
    <w:rsid w:val="00477166"/>
    <w:rsid w:val="00481F11"/>
    <w:rsid w:val="00490FAB"/>
    <w:rsid w:val="004A52AB"/>
    <w:rsid w:val="004B28C8"/>
    <w:rsid w:val="004B2F76"/>
    <w:rsid w:val="004C7EE3"/>
    <w:rsid w:val="004D5A65"/>
    <w:rsid w:val="004F1CB1"/>
    <w:rsid w:val="004F3CFE"/>
    <w:rsid w:val="004F7E55"/>
    <w:rsid w:val="00500D5B"/>
    <w:rsid w:val="00502C62"/>
    <w:rsid w:val="00503440"/>
    <w:rsid w:val="005159C0"/>
    <w:rsid w:val="00517FA6"/>
    <w:rsid w:val="0052078C"/>
    <w:rsid w:val="00565E04"/>
    <w:rsid w:val="00567D31"/>
    <w:rsid w:val="00572E4C"/>
    <w:rsid w:val="00582577"/>
    <w:rsid w:val="005975A3"/>
    <w:rsid w:val="005A224B"/>
    <w:rsid w:val="005A26B6"/>
    <w:rsid w:val="005A613B"/>
    <w:rsid w:val="005A79B7"/>
    <w:rsid w:val="005F4666"/>
    <w:rsid w:val="005F667E"/>
    <w:rsid w:val="00641462"/>
    <w:rsid w:val="006610E3"/>
    <w:rsid w:val="00667809"/>
    <w:rsid w:val="00675EBF"/>
    <w:rsid w:val="006870A6"/>
    <w:rsid w:val="00692FB8"/>
    <w:rsid w:val="00693117"/>
    <w:rsid w:val="0069706C"/>
    <w:rsid w:val="006B13F5"/>
    <w:rsid w:val="006E0175"/>
    <w:rsid w:val="00704C50"/>
    <w:rsid w:val="007241D8"/>
    <w:rsid w:val="00734306"/>
    <w:rsid w:val="00737144"/>
    <w:rsid w:val="007533D5"/>
    <w:rsid w:val="00764104"/>
    <w:rsid w:val="00781B57"/>
    <w:rsid w:val="00792CE0"/>
    <w:rsid w:val="007C2605"/>
    <w:rsid w:val="007D451C"/>
    <w:rsid w:val="007E4E0E"/>
    <w:rsid w:val="007F3FDD"/>
    <w:rsid w:val="00804B53"/>
    <w:rsid w:val="00806852"/>
    <w:rsid w:val="008146C1"/>
    <w:rsid w:val="008221ED"/>
    <w:rsid w:val="0083062F"/>
    <w:rsid w:val="008355E3"/>
    <w:rsid w:val="0084658E"/>
    <w:rsid w:val="00846D99"/>
    <w:rsid w:val="00852558"/>
    <w:rsid w:val="00860B8F"/>
    <w:rsid w:val="00863726"/>
    <w:rsid w:val="00883ED1"/>
    <w:rsid w:val="00884CDA"/>
    <w:rsid w:val="00892B82"/>
    <w:rsid w:val="00894213"/>
    <w:rsid w:val="008A51AF"/>
    <w:rsid w:val="008B2E96"/>
    <w:rsid w:val="008C1F5E"/>
    <w:rsid w:val="008F35A3"/>
    <w:rsid w:val="00906930"/>
    <w:rsid w:val="009122D6"/>
    <w:rsid w:val="00927BFD"/>
    <w:rsid w:val="00956ACF"/>
    <w:rsid w:val="00980525"/>
    <w:rsid w:val="009958F0"/>
    <w:rsid w:val="009A01B1"/>
    <w:rsid w:val="009A56B4"/>
    <w:rsid w:val="009A67F7"/>
    <w:rsid w:val="009B57AE"/>
    <w:rsid w:val="009C0C42"/>
    <w:rsid w:val="009C58ED"/>
    <w:rsid w:val="009C72C5"/>
    <w:rsid w:val="009E0413"/>
    <w:rsid w:val="009E4259"/>
    <w:rsid w:val="009E493E"/>
    <w:rsid w:val="00A03C98"/>
    <w:rsid w:val="00A257FC"/>
    <w:rsid w:val="00A56861"/>
    <w:rsid w:val="00A82E65"/>
    <w:rsid w:val="00A83051"/>
    <w:rsid w:val="00A867EF"/>
    <w:rsid w:val="00A9079A"/>
    <w:rsid w:val="00A93A36"/>
    <w:rsid w:val="00AA044E"/>
    <w:rsid w:val="00AA5CB1"/>
    <w:rsid w:val="00AC1E41"/>
    <w:rsid w:val="00AE4270"/>
    <w:rsid w:val="00B07274"/>
    <w:rsid w:val="00B07411"/>
    <w:rsid w:val="00B16AEB"/>
    <w:rsid w:val="00B21CF1"/>
    <w:rsid w:val="00B3126B"/>
    <w:rsid w:val="00B415C5"/>
    <w:rsid w:val="00B4762E"/>
    <w:rsid w:val="00B5090E"/>
    <w:rsid w:val="00B56389"/>
    <w:rsid w:val="00B65757"/>
    <w:rsid w:val="00B829A8"/>
    <w:rsid w:val="00B838F7"/>
    <w:rsid w:val="00B84723"/>
    <w:rsid w:val="00B849C9"/>
    <w:rsid w:val="00BA0D9B"/>
    <w:rsid w:val="00BA7C9D"/>
    <w:rsid w:val="00BB6A55"/>
    <w:rsid w:val="00BE3E33"/>
    <w:rsid w:val="00BE5557"/>
    <w:rsid w:val="00BF12C7"/>
    <w:rsid w:val="00BF1B42"/>
    <w:rsid w:val="00BF1D5C"/>
    <w:rsid w:val="00C04610"/>
    <w:rsid w:val="00C244E0"/>
    <w:rsid w:val="00C30D83"/>
    <w:rsid w:val="00C34066"/>
    <w:rsid w:val="00C34363"/>
    <w:rsid w:val="00C45482"/>
    <w:rsid w:val="00C47246"/>
    <w:rsid w:val="00C640ED"/>
    <w:rsid w:val="00C6723F"/>
    <w:rsid w:val="00C72B14"/>
    <w:rsid w:val="00C730A5"/>
    <w:rsid w:val="00C7778D"/>
    <w:rsid w:val="00C91E30"/>
    <w:rsid w:val="00C97378"/>
    <w:rsid w:val="00CA05DB"/>
    <w:rsid w:val="00CB1056"/>
    <w:rsid w:val="00CD7EB7"/>
    <w:rsid w:val="00CE2D5D"/>
    <w:rsid w:val="00CE3FDE"/>
    <w:rsid w:val="00CE42B8"/>
    <w:rsid w:val="00D36A1B"/>
    <w:rsid w:val="00D40B3B"/>
    <w:rsid w:val="00D40EE6"/>
    <w:rsid w:val="00D414A2"/>
    <w:rsid w:val="00D44C36"/>
    <w:rsid w:val="00D45556"/>
    <w:rsid w:val="00D6186A"/>
    <w:rsid w:val="00D725CD"/>
    <w:rsid w:val="00D900C0"/>
    <w:rsid w:val="00DA7CC0"/>
    <w:rsid w:val="00DD2185"/>
    <w:rsid w:val="00DD4000"/>
    <w:rsid w:val="00DF0ADB"/>
    <w:rsid w:val="00E45013"/>
    <w:rsid w:val="00E45CA1"/>
    <w:rsid w:val="00E468EB"/>
    <w:rsid w:val="00E607F5"/>
    <w:rsid w:val="00E65916"/>
    <w:rsid w:val="00E833DE"/>
    <w:rsid w:val="00E866D0"/>
    <w:rsid w:val="00E87087"/>
    <w:rsid w:val="00EB1204"/>
    <w:rsid w:val="00EB469D"/>
    <w:rsid w:val="00ED426A"/>
    <w:rsid w:val="00EE365C"/>
    <w:rsid w:val="00EE4BE8"/>
    <w:rsid w:val="00EF195D"/>
    <w:rsid w:val="00F04B4D"/>
    <w:rsid w:val="00F3502D"/>
    <w:rsid w:val="00F45488"/>
    <w:rsid w:val="00F71135"/>
    <w:rsid w:val="00F84532"/>
    <w:rsid w:val="00F94CD7"/>
    <w:rsid w:val="00FA10AB"/>
    <w:rsid w:val="00FA62D5"/>
    <w:rsid w:val="00FB70FF"/>
    <w:rsid w:val="00FE0B67"/>
    <w:rsid w:val="00FE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CE602"/>
  <w15:docId w15:val="{F54A9C87-F221-41AB-BBB0-8CC9C36B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6B9"/>
    <w:pPr>
      <w:spacing w:after="0" w:line="240" w:lineRule="auto"/>
    </w:pPr>
    <w:rPr>
      <w:rFonts w:ascii="Times New Roman" w:eastAsia="Times New Roman" w:hAnsi="Times New Roman" w:cs="Times New Roman"/>
      <w:sz w:val="24"/>
      <w:szCs w:val="24"/>
      <w:lang w:val="cs-CZ"/>
    </w:rPr>
  </w:style>
  <w:style w:type="paragraph" w:styleId="Heading3">
    <w:name w:val="heading 3"/>
    <w:basedOn w:val="Normal"/>
    <w:next w:val="Normal"/>
    <w:link w:val="Heading3Char"/>
    <w:uiPriority w:val="9"/>
    <w:semiHidden/>
    <w:unhideWhenUsed/>
    <w:qFormat/>
    <w:rsid w:val="00BB6A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6A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876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6B9"/>
    <w:pPr>
      <w:jc w:val="center"/>
    </w:pPr>
    <w:rPr>
      <w:b/>
      <w:bCs/>
    </w:rPr>
  </w:style>
  <w:style w:type="character" w:customStyle="1" w:styleId="TitleChar">
    <w:name w:val="Title Char"/>
    <w:basedOn w:val="DefaultParagraphFont"/>
    <w:link w:val="Title"/>
    <w:rsid w:val="001876B9"/>
    <w:rPr>
      <w:rFonts w:ascii="Times New Roman" w:eastAsia="Times New Roman" w:hAnsi="Times New Roman" w:cs="Times New Roman"/>
      <w:b/>
      <w:bCs/>
      <w:sz w:val="24"/>
      <w:szCs w:val="24"/>
      <w:lang w:val="en-US"/>
    </w:rPr>
  </w:style>
  <w:style w:type="paragraph" w:styleId="EndnoteText">
    <w:name w:val="endnote text"/>
    <w:basedOn w:val="Normal"/>
    <w:link w:val="EndnoteTextChar"/>
    <w:semiHidden/>
    <w:rsid w:val="001876B9"/>
    <w:rPr>
      <w:rFonts w:ascii="NewCenturySchlbk" w:hAnsi="NewCenturySchlbk"/>
      <w:szCs w:val="20"/>
    </w:rPr>
  </w:style>
  <w:style w:type="character" w:customStyle="1" w:styleId="EndnoteTextChar">
    <w:name w:val="Endnote Text Char"/>
    <w:basedOn w:val="DefaultParagraphFont"/>
    <w:link w:val="EndnoteText"/>
    <w:semiHidden/>
    <w:rsid w:val="001876B9"/>
    <w:rPr>
      <w:rFonts w:ascii="NewCenturySchlbk" w:eastAsia="Times New Roman" w:hAnsi="NewCenturySchlbk" w:cs="Times New Roman"/>
      <w:sz w:val="24"/>
      <w:szCs w:val="20"/>
      <w:lang w:val="en-US"/>
    </w:rPr>
  </w:style>
  <w:style w:type="table" w:styleId="TableGrid">
    <w:name w:val="Table Grid"/>
    <w:basedOn w:val="TableNormal"/>
    <w:rsid w:val="00187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76B9"/>
    <w:pPr>
      <w:ind w:left="720"/>
    </w:pPr>
  </w:style>
  <w:style w:type="character" w:customStyle="1" w:styleId="BodyTextIndentChar">
    <w:name w:val="Body Text Indent Char"/>
    <w:basedOn w:val="DefaultParagraphFont"/>
    <w:link w:val="BodyTextIndent"/>
    <w:rsid w:val="001876B9"/>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1876B9"/>
    <w:rPr>
      <w:rFonts w:ascii="Times New Roman" w:eastAsia="Times New Roman" w:hAnsi="Times New Roman" w:cs="Times New Roman"/>
      <w:b/>
      <w:bCs/>
      <w:i/>
      <w:iCs/>
      <w:sz w:val="26"/>
      <w:szCs w:val="26"/>
      <w:lang w:val="en-US"/>
    </w:rPr>
  </w:style>
  <w:style w:type="paragraph" w:styleId="Footer">
    <w:name w:val="footer"/>
    <w:basedOn w:val="Normal"/>
    <w:link w:val="FooterChar"/>
    <w:uiPriority w:val="99"/>
    <w:rsid w:val="001876B9"/>
    <w:pPr>
      <w:tabs>
        <w:tab w:val="center" w:pos="4320"/>
        <w:tab w:val="right" w:pos="8640"/>
      </w:tabs>
    </w:pPr>
  </w:style>
  <w:style w:type="character" w:customStyle="1" w:styleId="FooterChar">
    <w:name w:val="Footer Char"/>
    <w:basedOn w:val="DefaultParagraphFont"/>
    <w:link w:val="Footer"/>
    <w:uiPriority w:val="99"/>
    <w:rsid w:val="001876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1876B9"/>
    <w:rPr>
      <w:color w:val="0000FF"/>
      <w:u w:val="single"/>
    </w:rPr>
  </w:style>
  <w:style w:type="paragraph" w:styleId="ListParagraph">
    <w:name w:val="List Paragraph"/>
    <w:basedOn w:val="Normal"/>
    <w:link w:val="ListParagraphChar"/>
    <w:uiPriority w:val="34"/>
    <w:qFormat/>
    <w:rsid w:val="001876B9"/>
    <w:pPr>
      <w:ind w:left="720"/>
    </w:pPr>
  </w:style>
  <w:style w:type="paragraph" w:styleId="BodyTextIndent2">
    <w:name w:val="Body Text Indent 2"/>
    <w:basedOn w:val="Normal"/>
    <w:link w:val="BodyTextIndent2Char"/>
    <w:uiPriority w:val="99"/>
    <w:unhideWhenUsed/>
    <w:rsid w:val="001876B9"/>
    <w:pPr>
      <w:spacing w:after="120" w:line="480" w:lineRule="auto"/>
      <w:ind w:left="283"/>
    </w:pPr>
  </w:style>
  <w:style w:type="character" w:customStyle="1" w:styleId="BodyTextIndent2Char">
    <w:name w:val="Body Text Indent 2 Char"/>
    <w:basedOn w:val="DefaultParagraphFont"/>
    <w:link w:val="BodyTextIndent2"/>
    <w:uiPriority w:val="99"/>
    <w:rsid w:val="001876B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876B9"/>
    <w:rPr>
      <w:rFonts w:ascii="Tahoma" w:hAnsi="Tahoma" w:cs="Tahoma"/>
      <w:sz w:val="16"/>
      <w:szCs w:val="16"/>
    </w:rPr>
  </w:style>
  <w:style w:type="character" w:customStyle="1" w:styleId="BalloonTextChar">
    <w:name w:val="Balloon Text Char"/>
    <w:basedOn w:val="DefaultParagraphFont"/>
    <w:link w:val="BalloonText"/>
    <w:uiPriority w:val="99"/>
    <w:semiHidden/>
    <w:rsid w:val="001876B9"/>
    <w:rPr>
      <w:rFonts w:ascii="Tahoma" w:eastAsia="Times New Roman" w:hAnsi="Tahoma" w:cs="Tahoma"/>
      <w:sz w:val="16"/>
      <w:szCs w:val="16"/>
      <w:lang w:val="en-US"/>
    </w:rPr>
  </w:style>
  <w:style w:type="paragraph" w:styleId="Header">
    <w:name w:val="header"/>
    <w:basedOn w:val="Normal"/>
    <w:link w:val="HeaderChar"/>
    <w:uiPriority w:val="99"/>
    <w:unhideWhenUsed/>
    <w:rsid w:val="001876B9"/>
    <w:pPr>
      <w:tabs>
        <w:tab w:val="center" w:pos="4513"/>
        <w:tab w:val="right" w:pos="9026"/>
      </w:tabs>
    </w:pPr>
  </w:style>
  <w:style w:type="character" w:customStyle="1" w:styleId="HeaderChar">
    <w:name w:val="Header Char"/>
    <w:basedOn w:val="DefaultParagraphFont"/>
    <w:link w:val="Header"/>
    <w:uiPriority w:val="99"/>
    <w:rsid w:val="001876B9"/>
    <w:rPr>
      <w:rFonts w:ascii="Times New Roman" w:eastAsia="Times New Roman" w:hAnsi="Times New Roman" w:cs="Times New Roman"/>
      <w:sz w:val="24"/>
      <w:szCs w:val="24"/>
      <w:lang w:val="en-US"/>
    </w:rPr>
  </w:style>
  <w:style w:type="paragraph" w:customStyle="1" w:styleId="Normal1">
    <w:name w:val="Normal1"/>
    <w:basedOn w:val="Normal"/>
    <w:rsid w:val="00BB6A55"/>
    <w:pPr>
      <w:ind w:left="720" w:hanging="720"/>
      <w:jc w:val="both"/>
    </w:pPr>
    <w:rPr>
      <w:rFonts w:ascii="Arial" w:hAnsi="Arial"/>
      <w:sz w:val="20"/>
      <w:szCs w:val="20"/>
    </w:rPr>
  </w:style>
  <w:style w:type="character" w:styleId="CommentReference">
    <w:name w:val="annotation reference"/>
    <w:aliases w:val="Heading 6 Char1,Überschrift 6 Zchn Char,Heading 6 Char Char,Comment Text Char1,Body Text Char Znak,b Char Znak Znak"/>
    <w:basedOn w:val="DefaultParagraphFont"/>
    <w:uiPriority w:val="99"/>
    <w:unhideWhenUsed/>
    <w:qFormat/>
    <w:rsid w:val="00BB6A55"/>
    <w:rPr>
      <w:sz w:val="16"/>
      <w:szCs w:val="16"/>
    </w:rPr>
  </w:style>
  <w:style w:type="paragraph" w:styleId="CommentText">
    <w:name w:val="annotation text"/>
    <w:aliases w:val="Style 7,Style 22,Heading 2 level 1,Znak,Char Char Char,Char,Style 5,Char Char Char1,JV,Comments,註解文字,FooterText,Comment Text Char Char,Comment Text Char1 Char Char,Comment Text Char Char Char Char,Comment Text Char Char1,Annotationtext"/>
    <w:basedOn w:val="Normal"/>
    <w:link w:val="CommentTextChar"/>
    <w:uiPriority w:val="99"/>
    <w:unhideWhenUsed/>
    <w:qFormat/>
    <w:rsid w:val="00BB6A55"/>
    <w:rPr>
      <w:sz w:val="20"/>
      <w:szCs w:val="20"/>
    </w:rPr>
  </w:style>
  <w:style w:type="character" w:customStyle="1" w:styleId="CommentTextChar">
    <w:name w:val="Comment Text Char"/>
    <w:aliases w:val="Style 7 Char,Style 22 Char,Heading 2 level 1 Char,Znak Char,Char Char Char Char,Char Char,Style 5 Char,Char Char Char1 Char,JV Char,Comments Char,註解文字 Char,FooterText Char,Comment Text Char Char Char,Comment Text Char1 Char Char Char"/>
    <w:basedOn w:val="DefaultParagraphFont"/>
    <w:link w:val="CommentText"/>
    <w:uiPriority w:val="99"/>
    <w:qFormat/>
    <w:rsid w:val="00BB6A5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6A55"/>
    <w:rPr>
      <w:b/>
      <w:bCs/>
    </w:rPr>
  </w:style>
  <w:style w:type="character" w:customStyle="1" w:styleId="CommentSubjectChar">
    <w:name w:val="Comment Subject Char"/>
    <w:basedOn w:val="CommentTextChar"/>
    <w:link w:val="CommentSubject"/>
    <w:uiPriority w:val="99"/>
    <w:semiHidden/>
    <w:rsid w:val="00BB6A55"/>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BB6A55"/>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BB6A55"/>
    <w:rPr>
      <w:rFonts w:asciiTheme="majorHAnsi" w:eastAsiaTheme="majorEastAsia" w:hAnsiTheme="majorHAnsi" w:cstheme="majorBidi"/>
      <w:b/>
      <w:bCs/>
      <w:i/>
      <w:iCs/>
      <w:color w:val="4F81BD" w:themeColor="accent1"/>
      <w:sz w:val="24"/>
      <w:szCs w:val="24"/>
      <w:lang w:val="en-US"/>
    </w:rPr>
  </w:style>
  <w:style w:type="paragraph" w:styleId="BodyText2">
    <w:name w:val="Body Text 2"/>
    <w:basedOn w:val="Normal"/>
    <w:link w:val="BodyText2Char"/>
    <w:uiPriority w:val="99"/>
    <w:unhideWhenUsed/>
    <w:rsid w:val="00BB6A55"/>
    <w:pPr>
      <w:spacing w:after="120" w:line="480" w:lineRule="auto"/>
    </w:pPr>
  </w:style>
  <w:style w:type="character" w:customStyle="1" w:styleId="BodyText2Char">
    <w:name w:val="Body Text 2 Char"/>
    <w:basedOn w:val="DefaultParagraphFont"/>
    <w:link w:val="BodyText2"/>
    <w:uiPriority w:val="99"/>
    <w:rsid w:val="00BB6A55"/>
    <w:rPr>
      <w:rFonts w:ascii="Times New Roman" w:eastAsia="Times New Roman" w:hAnsi="Times New Roman" w:cs="Times New Roman"/>
      <w:sz w:val="24"/>
      <w:szCs w:val="24"/>
      <w:lang w:val="en-US"/>
    </w:rPr>
  </w:style>
  <w:style w:type="character" w:styleId="Emphasis">
    <w:name w:val="Emphasis"/>
    <w:basedOn w:val="DefaultParagraphFont"/>
    <w:qFormat/>
    <w:rsid w:val="00BB6A55"/>
    <w:rPr>
      <w:i/>
      <w:iCs/>
    </w:rPr>
  </w:style>
  <w:style w:type="character" w:customStyle="1" w:styleId="ListParagraphChar">
    <w:name w:val="List Paragraph Char"/>
    <w:basedOn w:val="DefaultParagraphFont"/>
    <w:link w:val="ListParagraph"/>
    <w:uiPriority w:val="34"/>
    <w:locked/>
    <w:rsid w:val="00B415C5"/>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3916FD"/>
    <w:rPr>
      <w:sz w:val="20"/>
      <w:szCs w:val="20"/>
    </w:rPr>
  </w:style>
  <w:style w:type="character" w:customStyle="1" w:styleId="FootnoteTextChar">
    <w:name w:val="Footnote Text Char"/>
    <w:basedOn w:val="DefaultParagraphFont"/>
    <w:link w:val="FootnoteText"/>
    <w:semiHidden/>
    <w:rsid w:val="003916FD"/>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3916FD"/>
    <w:rPr>
      <w:vertAlign w:val="superscript"/>
    </w:rPr>
  </w:style>
  <w:style w:type="paragraph" w:customStyle="1" w:styleId="ZCom">
    <w:name w:val="Z_Com"/>
    <w:basedOn w:val="Normal"/>
    <w:next w:val="ZDGName"/>
    <w:uiPriority w:val="99"/>
    <w:rsid w:val="003916FD"/>
    <w:pPr>
      <w:widowControl w:val="0"/>
      <w:autoSpaceDE w:val="0"/>
      <w:autoSpaceDN w:val="0"/>
      <w:ind w:right="85"/>
      <w:jc w:val="both"/>
    </w:pPr>
    <w:rPr>
      <w:rFonts w:ascii="Arial" w:hAnsi="Arial" w:cs="Arial"/>
      <w:lang w:val="en-GB" w:eastAsia="en-GB"/>
    </w:rPr>
  </w:style>
  <w:style w:type="paragraph" w:customStyle="1" w:styleId="ZDGName">
    <w:name w:val="Z_DGName"/>
    <w:basedOn w:val="Normal"/>
    <w:uiPriority w:val="99"/>
    <w:rsid w:val="003916FD"/>
    <w:pPr>
      <w:widowControl w:val="0"/>
      <w:autoSpaceDE w:val="0"/>
      <w:autoSpaceDN w:val="0"/>
      <w:ind w:right="85"/>
    </w:pPr>
    <w:rPr>
      <w:rFonts w:ascii="Arial" w:hAnsi="Arial" w:cs="Arial"/>
      <w:sz w:val="16"/>
      <w:szCs w:val="16"/>
      <w:lang w:val="en-GB" w:eastAsia="en-GB"/>
    </w:rPr>
  </w:style>
  <w:style w:type="paragraph" w:customStyle="1" w:styleId="Default">
    <w:name w:val="Default"/>
    <w:rsid w:val="003916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qFormat/>
    <w:rsid w:val="007E4E0E"/>
    <w:rPr>
      <w:b/>
      <w:bCs/>
    </w:rPr>
  </w:style>
  <w:style w:type="paragraph" w:styleId="Revision">
    <w:name w:val="Revision"/>
    <w:hidden/>
    <w:uiPriority w:val="99"/>
    <w:semiHidden/>
    <w:rsid w:val="00191118"/>
    <w:pPr>
      <w:spacing w:after="0" w:line="240" w:lineRule="auto"/>
    </w:pPr>
    <w:rPr>
      <w:rFonts w:ascii="Times New Roman" w:eastAsia="Times New Roman" w:hAnsi="Times New Roman" w:cs="Times New Roman"/>
      <w:sz w:val="24"/>
      <w:szCs w:val="24"/>
      <w:lang w:val="cs-CZ"/>
    </w:rPr>
  </w:style>
  <w:style w:type="paragraph" w:styleId="BodyText">
    <w:name w:val="Body Text"/>
    <w:basedOn w:val="Normal"/>
    <w:link w:val="BodyTextChar"/>
    <w:uiPriority w:val="99"/>
    <w:semiHidden/>
    <w:unhideWhenUsed/>
    <w:rsid w:val="003F0FB2"/>
    <w:pPr>
      <w:spacing w:after="120"/>
    </w:pPr>
  </w:style>
  <w:style w:type="character" w:customStyle="1" w:styleId="BodyTextChar">
    <w:name w:val="Body Text Char"/>
    <w:basedOn w:val="DefaultParagraphFont"/>
    <w:link w:val="BodyText"/>
    <w:uiPriority w:val="99"/>
    <w:semiHidden/>
    <w:rsid w:val="003F0FB2"/>
    <w:rPr>
      <w:rFonts w:ascii="Times New Roman" w:eastAsia="Times New Roman" w:hAnsi="Times New Roman" w:cs="Times New Roman"/>
      <w:sz w:val="24"/>
      <w:szCs w:val="24"/>
      <w:lang w:val="cs-CZ"/>
    </w:rPr>
  </w:style>
  <w:style w:type="paragraph" w:customStyle="1" w:styleId="Body1">
    <w:name w:val="Body 1"/>
    <w:basedOn w:val="Normal"/>
    <w:link w:val="Body1Char"/>
    <w:qFormat/>
    <w:rsid w:val="003F0FB2"/>
    <w:pPr>
      <w:spacing w:after="210" w:line="264" w:lineRule="auto"/>
      <w:jc w:val="both"/>
    </w:pPr>
    <w:rPr>
      <w:rFonts w:ascii="Arial" w:eastAsia="Arial Unicode MS" w:hAnsi="Arial"/>
      <w:sz w:val="21"/>
      <w:szCs w:val="21"/>
      <w:lang w:val="en-GB" w:eastAsia="en-GB"/>
    </w:rPr>
  </w:style>
  <w:style w:type="character" w:customStyle="1" w:styleId="Body1Char">
    <w:name w:val="Body 1 Char"/>
    <w:basedOn w:val="DefaultParagraphFont"/>
    <w:link w:val="Body1"/>
    <w:rsid w:val="003F0FB2"/>
    <w:rPr>
      <w:rFonts w:ascii="Arial" w:eastAsia="Arial Unicode MS" w:hAnsi="Arial" w:cs="Times New Roman"/>
      <w:sz w:val="21"/>
      <w:szCs w:val="21"/>
      <w:lang w:eastAsia="en-GB"/>
    </w:rPr>
  </w:style>
  <w:style w:type="character" w:styleId="FollowedHyperlink">
    <w:name w:val="FollowedHyperlink"/>
    <w:basedOn w:val="DefaultParagraphFont"/>
    <w:uiPriority w:val="99"/>
    <w:semiHidden/>
    <w:unhideWhenUsed/>
    <w:rsid w:val="008C1F5E"/>
    <w:rPr>
      <w:color w:val="800080"/>
      <w:u w:val="single"/>
    </w:rPr>
  </w:style>
  <w:style w:type="paragraph" w:customStyle="1" w:styleId="msonormal0">
    <w:name w:val="msonormal"/>
    <w:basedOn w:val="Normal"/>
    <w:rsid w:val="008C1F5E"/>
    <w:pPr>
      <w:spacing w:before="100" w:beforeAutospacing="1" w:after="100" w:afterAutospacing="1"/>
    </w:pPr>
    <w:rPr>
      <w:lang w:eastAsia="cs-CZ"/>
    </w:rPr>
  </w:style>
  <w:style w:type="paragraph" w:customStyle="1" w:styleId="font0">
    <w:name w:val="font0"/>
    <w:basedOn w:val="Normal"/>
    <w:rsid w:val="008C1F5E"/>
    <w:pPr>
      <w:spacing w:before="100" w:beforeAutospacing="1" w:after="100" w:afterAutospacing="1"/>
    </w:pPr>
    <w:rPr>
      <w:rFonts w:ascii="Calibri" w:hAnsi="Calibri" w:cs="Calibri"/>
      <w:color w:val="000000"/>
      <w:sz w:val="22"/>
      <w:szCs w:val="22"/>
      <w:lang w:eastAsia="cs-CZ"/>
    </w:rPr>
  </w:style>
  <w:style w:type="paragraph" w:customStyle="1" w:styleId="font5">
    <w:name w:val="font5"/>
    <w:basedOn w:val="Normal"/>
    <w:rsid w:val="008C1F5E"/>
    <w:pPr>
      <w:spacing w:before="100" w:beforeAutospacing="1" w:after="100" w:afterAutospacing="1"/>
    </w:pPr>
    <w:rPr>
      <w:rFonts w:ascii="Arial" w:hAnsi="Arial" w:cs="Arial"/>
      <w:sz w:val="20"/>
      <w:szCs w:val="20"/>
      <w:lang w:eastAsia="cs-CZ"/>
    </w:rPr>
  </w:style>
  <w:style w:type="paragraph" w:customStyle="1" w:styleId="font6">
    <w:name w:val="font6"/>
    <w:basedOn w:val="Normal"/>
    <w:rsid w:val="008C1F5E"/>
    <w:pPr>
      <w:spacing w:before="100" w:beforeAutospacing="1" w:after="100" w:afterAutospacing="1"/>
    </w:pPr>
    <w:rPr>
      <w:rFonts w:ascii="Arial" w:hAnsi="Arial" w:cs="Arial"/>
      <w:b/>
      <w:bCs/>
      <w:lang w:eastAsia="cs-CZ"/>
    </w:rPr>
  </w:style>
  <w:style w:type="paragraph" w:customStyle="1" w:styleId="font7">
    <w:name w:val="font7"/>
    <w:basedOn w:val="Normal"/>
    <w:rsid w:val="008C1F5E"/>
    <w:pPr>
      <w:spacing w:before="100" w:beforeAutospacing="1" w:after="100" w:afterAutospacing="1"/>
    </w:pPr>
    <w:rPr>
      <w:rFonts w:ascii="Calibri" w:hAnsi="Calibri" w:cs="Calibri"/>
      <w:sz w:val="22"/>
      <w:szCs w:val="22"/>
      <w:lang w:eastAsia="cs-CZ"/>
    </w:rPr>
  </w:style>
  <w:style w:type="paragraph" w:customStyle="1" w:styleId="font8">
    <w:name w:val="font8"/>
    <w:basedOn w:val="Normal"/>
    <w:rsid w:val="008C1F5E"/>
    <w:pPr>
      <w:spacing w:before="100" w:beforeAutospacing="1" w:after="100" w:afterAutospacing="1"/>
    </w:pPr>
    <w:rPr>
      <w:rFonts w:ascii="Arial" w:hAnsi="Arial" w:cs="Arial"/>
      <w:b/>
      <w:bCs/>
      <w:color w:val="000000"/>
      <w:lang w:eastAsia="cs-CZ"/>
    </w:rPr>
  </w:style>
  <w:style w:type="paragraph" w:customStyle="1" w:styleId="font9">
    <w:name w:val="font9"/>
    <w:basedOn w:val="Normal"/>
    <w:rsid w:val="008C1F5E"/>
    <w:pPr>
      <w:spacing w:before="100" w:beforeAutospacing="1" w:after="100" w:afterAutospacing="1"/>
    </w:pPr>
    <w:rPr>
      <w:rFonts w:ascii="Arial" w:hAnsi="Arial" w:cs="Arial"/>
      <w:b/>
      <w:bCs/>
      <w:sz w:val="20"/>
      <w:szCs w:val="20"/>
      <w:lang w:eastAsia="cs-CZ"/>
    </w:rPr>
  </w:style>
  <w:style w:type="paragraph" w:customStyle="1" w:styleId="font10">
    <w:name w:val="font10"/>
    <w:basedOn w:val="Normal"/>
    <w:rsid w:val="008C1F5E"/>
    <w:pPr>
      <w:spacing w:before="100" w:beforeAutospacing="1" w:after="100" w:afterAutospacing="1"/>
    </w:pPr>
    <w:rPr>
      <w:rFonts w:ascii="Arial" w:hAnsi="Arial" w:cs="Arial"/>
      <w:color w:val="FF0000"/>
      <w:sz w:val="20"/>
      <w:szCs w:val="20"/>
      <w:lang w:eastAsia="cs-CZ"/>
    </w:rPr>
  </w:style>
  <w:style w:type="paragraph" w:customStyle="1" w:styleId="xl68">
    <w:name w:val="xl68"/>
    <w:basedOn w:val="Normal"/>
    <w:rsid w:val="008C1F5E"/>
    <w:pPr>
      <w:spacing w:before="100" w:beforeAutospacing="1" w:after="100" w:afterAutospacing="1"/>
      <w:jc w:val="right"/>
      <w:textAlignment w:val="center"/>
    </w:pPr>
    <w:rPr>
      <w:rFonts w:ascii="Arial" w:hAnsi="Arial" w:cs="Arial"/>
      <w:b/>
      <w:bCs/>
      <w:lang w:eastAsia="cs-CZ"/>
    </w:rPr>
  </w:style>
  <w:style w:type="paragraph" w:customStyle="1" w:styleId="xl69">
    <w:name w:val="xl69"/>
    <w:basedOn w:val="Normal"/>
    <w:rsid w:val="008C1F5E"/>
    <w:pPr>
      <w:spacing w:before="100" w:beforeAutospacing="1" w:after="100" w:afterAutospacing="1"/>
      <w:jc w:val="right"/>
      <w:textAlignment w:val="center"/>
    </w:pPr>
    <w:rPr>
      <w:lang w:eastAsia="cs-CZ"/>
    </w:rPr>
  </w:style>
  <w:style w:type="paragraph" w:customStyle="1" w:styleId="xl70">
    <w:name w:val="xl70"/>
    <w:basedOn w:val="Normal"/>
    <w:rsid w:val="008C1F5E"/>
    <w:pPr>
      <w:spacing w:before="100" w:beforeAutospacing="1" w:after="100" w:afterAutospacing="1"/>
    </w:pPr>
    <w:rPr>
      <w:rFonts w:ascii="Arial" w:hAnsi="Arial" w:cs="Arial"/>
      <w:b/>
      <w:bCs/>
      <w:u w:val="single"/>
      <w:lang w:eastAsia="cs-CZ"/>
    </w:rPr>
  </w:style>
  <w:style w:type="paragraph" w:customStyle="1" w:styleId="xl71">
    <w:name w:val="xl71"/>
    <w:basedOn w:val="Normal"/>
    <w:rsid w:val="008C1F5E"/>
    <w:pPr>
      <w:pBdr>
        <w:top w:val="single" w:sz="4" w:space="0" w:color="303030"/>
        <w:left w:val="single" w:sz="8" w:space="0" w:color="303030"/>
        <w:bottom w:val="single" w:sz="4" w:space="0" w:color="303030"/>
        <w:right w:val="single" w:sz="4" w:space="0" w:color="303030"/>
      </w:pBdr>
      <w:shd w:val="clear" w:color="CCCCFF" w:fill="C0C0C0"/>
      <w:spacing w:before="100" w:beforeAutospacing="1" w:after="100" w:afterAutospacing="1"/>
      <w:jc w:val="center"/>
      <w:textAlignment w:val="center"/>
    </w:pPr>
    <w:rPr>
      <w:rFonts w:ascii="Arial" w:hAnsi="Arial" w:cs="Arial"/>
      <w:b/>
      <w:bCs/>
      <w:sz w:val="20"/>
      <w:szCs w:val="20"/>
      <w:lang w:eastAsia="cs-CZ"/>
    </w:rPr>
  </w:style>
  <w:style w:type="paragraph" w:customStyle="1" w:styleId="xl72">
    <w:name w:val="xl72"/>
    <w:basedOn w:val="Normal"/>
    <w:rsid w:val="008C1F5E"/>
    <w:pPr>
      <w:pBdr>
        <w:top w:val="single" w:sz="4" w:space="0" w:color="303030"/>
        <w:left w:val="single" w:sz="4" w:space="0" w:color="303030"/>
        <w:right w:val="single" w:sz="4" w:space="0" w:color="303030"/>
      </w:pBdr>
      <w:shd w:val="clear" w:color="CCCCFF" w:fill="C0C0C0"/>
      <w:spacing w:before="100" w:beforeAutospacing="1" w:after="100" w:afterAutospacing="1"/>
      <w:jc w:val="center"/>
      <w:textAlignment w:val="center"/>
    </w:pPr>
    <w:rPr>
      <w:rFonts w:ascii="Arial" w:hAnsi="Arial" w:cs="Arial"/>
      <w:b/>
      <w:bCs/>
      <w:sz w:val="20"/>
      <w:szCs w:val="20"/>
      <w:lang w:eastAsia="cs-CZ"/>
    </w:rPr>
  </w:style>
  <w:style w:type="paragraph" w:customStyle="1" w:styleId="xl73">
    <w:name w:val="xl73"/>
    <w:basedOn w:val="Normal"/>
    <w:rsid w:val="008C1F5E"/>
    <w:pPr>
      <w:pBdr>
        <w:top w:val="single" w:sz="4" w:space="0" w:color="303030"/>
        <w:left w:val="single" w:sz="4" w:space="0" w:color="303030"/>
        <w:bottom w:val="single" w:sz="4" w:space="0" w:color="303030"/>
        <w:right w:val="single" w:sz="4" w:space="0" w:color="303030"/>
      </w:pBdr>
      <w:shd w:val="clear" w:color="FFFF00" w:fill="FFCC00"/>
      <w:spacing w:before="100" w:beforeAutospacing="1" w:after="100" w:afterAutospacing="1"/>
      <w:jc w:val="center"/>
      <w:textAlignment w:val="center"/>
    </w:pPr>
    <w:rPr>
      <w:rFonts w:ascii="Arial" w:hAnsi="Arial" w:cs="Arial"/>
      <w:b/>
      <w:bCs/>
      <w:sz w:val="20"/>
      <w:szCs w:val="20"/>
      <w:lang w:eastAsia="cs-CZ"/>
    </w:rPr>
  </w:style>
  <w:style w:type="paragraph" w:customStyle="1" w:styleId="xl74">
    <w:name w:val="xl74"/>
    <w:basedOn w:val="Normal"/>
    <w:rsid w:val="008C1F5E"/>
    <w:pPr>
      <w:pBdr>
        <w:top w:val="single" w:sz="4" w:space="0" w:color="303030"/>
        <w:left w:val="single" w:sz="4" w:space="0" w:color="303030"/>
        <w:bottom w:val="single" w:sz="4" w:space="0" w:color="303030"/>
        <w:right w:val="single" w:sz="4" w:space="0" w:color="303030"/>
      </w:pBdr>
      <w:spacing w:before="100" w:beforeAutospacing="1" w:after="100" w:afterAutospacing="1"/>
      <w:textAlignment w:val="center"/>
    </w:pPr>
    <w:rPr>
      <w:rFonts w:ascii="Arial" w:hAnsi="Arial" w:cs="Arial"/>
      <w:sz w:val="20"/>
      <w:szCs w:val="20"/>
      <w:lang w:eastAsia="cs-CZ"/>
    </w:rPr>
  </w:style>
  <w:style w:type="paragraph" w:customStyle="1" w:styleId="xl75">
    <w:name w:val="xl75"/>
    <w:basedOn w:val="Normal"/>
    <w:rsid w:val="008C1F5E"/>
    <w:pPr>
      <w:pBdr>
        <w:top w:val="single" w:sz="4" w:space="0" w:color="303030"/>
        <w:left w:val="single" w:sz="4" w:space="0" w:color="303030"/>
        <w:bottom w:val="single" w:sz="4" w:space="0" w:color="303030"/>
        <w:right w:val="single" w:sz="4" w:space="0" w:color="303030"/>
      </w:pBdr>
      <w:spacing w:before="100" w:beforeAutospacing="1" w:after="100" w:afterAutospacing="1"/>
      <w:jc w:val="center"/>
      <w:textAlignment w:val="center"/>
    </w:pPr>
    <w:rPr>
      <w:rFonts w:ascii="Arial" w:hAnsi="Arial" w:cs="Arial"/>
      <w:sz w:val="20"/>
      <w:szCs w:val="20"/>
      <w:lang w:eastAsia="cs-CZ"/>
    </w:rPr>
  </w:style>
  <w:style w:type="paragraph" w:customStyle="1" w:styleId="xl76">
    <w:name w:val="xl76"/>
    <w:basedOn w:val="Normal"/>
    <w:rsid w:val="008C1F5E"/>
    <w:pPr>
      <w:pBdr>
        <w:top w:val="single" w:sz="4" w:space="0" w:color="303030"/>
        <w:left w:val="single" w:sz="4" w:space="0" w:color="303030"/>
        <w:bottom w:val="single" w:sz="4" w:space="0" w:color="303030"/>
        <w:right w:val="single" w:sz="4" w:space="0" w:color="303030"/>
      </w:pBdr>
      <w:spacing w:before="100" w:beforeAutospacing="1" w:after="100" w:afterAutospacing="1"/>
      <w:textAlignment w:val="top"/>
    </w:pPr>
    <w:rPr>
      <w:rFonts w:ascii="Arial" w:hAnsi="Arial" w:cs="Arial"/>
      <w:sz w:val="20"/>
      <w:szCs w:val="20"/>
      <w:lang w:eastAsia="cs-CZ"/>
    </w:rPr>
  </w:style>
  <w:style w:type="paragraph" w:customStyle="1" w:styleId="xl77">
    <w:name w:val="xl77"/>
    <w:basedOn w:val="Normal"/>
    <w:rsid w:val="008C1F5E"/>
    <w:pPr>
      <w:pBdr>
        <w:top w:val="single" w:sz="4" w:space="0" w:color="303030"/>
        <w:left w:val="single" w:sz="4" w:space="0" w:color="303030"/>
        <w:bottom w:val="single" w:sz="4" w:space="0" w:color="303030"/>
        <w:right w:val="single" w:sz="4" w:space="0" w:color="303030"/>
      </w:pBdr>
      <w:shd w:val="clear" w:color="CCCCFF" w:fill="C0C0C0"/>
      <w:spacing w:before="100" w:beforeAutospacing="1" w:after="100" w:afterAutospacing="1"/>
      <w:textAlignment w:val="center"/>
    </w:pPr>
    <w:rPr>
      <w:rFonts w:ascii="Arial" w:hAnsi="Arial" w:cs="Arial"/>
      <w:b/>
      <w:bCs/>
      <w:sz w:val="20"/>
      <w:szCs w:val="20"/>
      <w:lang w:eastAsia="cs-CZ"/>
    </w:rPr>
  </w:style>
  <w:style w:type="paragraph" w:customStyle="1" w:styleId="xl78">
    <w:name w:val="xl78"/>
    <w:basedOn w:val="Normal"/>
    <w:rsid w:val="008C1F5E"/>
    <w:pPr>
      <w:pBdr>
        <w:top w:val="single" w:sz="4" w:space="0" w:color="303030"/>
        <w:left w:val="single" w:sz="4" w:space="0" w:color="303030"/>
        <w:bottom w:val="single" w:sz="4" w:space="0" w:color="303030"/>
        <w:right w:val="single" w:sz="4" w:space="0" w:color="303030"/>
      </w:pBdr>
      <w:shd w:val="clear" w:color="CCCCFF" w:fill="C0C0C0"/>
      <w:spacing w:before="100" w:beforeAutospacing="1" w:after="100" w:afterAutospacing="1"/>
      <w:jc w:val="center"/>
      <w:textAlignment w:val="center"/>
    </w:pPr>
    <w:rPr>
      <w:rFonts w:ascii="Arial" w:hAnsi="Arial" w:cs="Arial"/>
      <w:b/>
      <w:bCs/>
      <w:sz w:val="20"/>
      <w:szCs w:val="20"/>
      <w:lang w:eastAsia="cs-CZ"/>
    </w:rPr>
  </w:style>
  <w:style w:type="paragraph" w:customStyle="1" w:styleId="xl79">
    <w:name w:val="xl79"/>
    <w:basedOn w:val="Normal"/>
    <w:rsid w:val="008C1F5E"/>
    <w:pPr>
      <w:pBdr>
        <w:top w:val="single" w:sz="4" w:space="0" w:color="303030"/>
        <w:left w:val="single" w:sz="4" w:space="0" w:color="303030"/>
        <w:bottom w:val="single" w:sz="4" w:space="0" w:color="303030"/>
        <w:right w:val="single" w:sz="4" w:space="0" w:color="303030"/>
      </w:pBdr>
      <w:shd w:val="clear" w:color="CCCCFF" w:fill="C0C0C0"/>
      <w:spacing w:before="100" w:beforeAutospacing="1" w:after="100" w:afterAutospacing="1"/>
      <w:textAlignment w:val="center"/>
    </w:pPr>
    <w:rPr>
      <w:rFonts w:ascii="Arial" w:hAnsi="Arial" w:cs="Arial"/>
      <w:b/>
      <w:bCs/>
      <w:sz w:val="20"/>
      <w:szCs w:val="20"/>
      <w:lang w:eastAsia="cs-CZ"/>
    </w:rPr>
  </w:style>
  <w:style w:type="paragraph" w:customStyle="1" w:styleId="xl80">
    <w:name w:val="xl80"/>
    <w:basedOn w:val="Normal"/>
    <w:rsid w:val="008C1F5E"/>
    <w:pPr>
      <w:pBdr>
        <w:top w:val="single" w:sz="4" w:space="0" w:color="303030"/>
        <w:left w:val="single" w:sz="4" w:space="0" w:color="303030"/>
        <w:bottom w:val="single" w:sz="4" w:space="0" w:color="303030"/>
        <w:right w:val="single" w:sz="4" w:space="0" w:color="303030"/>
      </w:pBdr>
      <w:shd w:val="clear" w:color="CCCCFF" w:fill="C0C0C0"/>
      <w:spacing w:before="100" w:beforeAutospacing="1" w:after="100" w:afterAutospacing="1"/>
      <w:textAlignment w:val="center"/>
    </w:pPr>
    <w:rPr>
      <w:rFonts w:ascii="Arial" w:hAnsi="Arial" w:cs="Arial"/>
      <w:b/>
      <w:bCs/>
      <w:sz w:val="20"/>
      <w:szCs w:val="20"/>
      <w:lang w:eastAsia="cs-CZ"/>
    </w:rPr>
  </w:style>
  <w:style w:type="paragraph" w:customStyle="1" w:styleId="xl81">
    <w:name w:val="xl81"/>
    <w:basedOn w:val="Normal"/>
    <w:rsid w:val="008C1F5E"/>
    <w:pPr>
      <w:pBdr>
        <w:left w:val="single" w:sz="4" w:space="0" w:color="303030"/>
        <w:bottom w:val="single" w:sz="4" w:space="0" w:color="303030"/>
        <w:right w:val="single" w:sz="4" w:space="0" w:color="303030"/>
      </w:pBdr>
      <w:spacing w:before="100" w:beforeAutospacing="1" w:after="100" w:afterAutospacing="1"/>
      <w:textAlignment w:val="center"/>
    </w:pPr>
    <w:rPr>
      <w:rFonts w:ascii="Arial" w:hAnsi="Arial" w:cs="Arial"/>
      <w:sz w:val="20"/>
      <w:szCs w:val="20"/>
      <w:lang w:eastAsia="cs-CZ"/>
    </w:rPr>
  </w:style>
  <w:style w:type="paragraph" w:customStyle="1" w:styleId="xl82">
    <w:name w:val="xl82"/>
    <w:basedOn w:val="Normal"/>
    <w:rsid w:val="008C1F5E"/>
    <w:pPr>
      <w:pBdr>
        <w:top w:val="single" w:sz="4" w:space="0" w:color="303030"/>
        <w:left w:val="single" w:sz="4" w:space="0" w:color="303030"/>
        <w:bottom w:val="single" w:sz="4" w:space="0" w:color="303030"/>
        <w:right w:val="single" w:sz="4" w:space="0" w:color="303030"/>
      </w:pBdr>
      <w:spacing w:before="100" w:beforeAutospacing="1" w:after="100" w:afterAutospacing="1"/>
      <w:textAlignment w:val="center"/>
    </w:pPr>
    <w:rPr>
      <w:rFonts w:ascii="Arial" w:hAnsi="Arial" w:cs="Arial"/>
      <w:sz w:val="20"/>
      <w:szCs w:val="20"/>
      <w:lang w:eastAsia="cs-CZ"/>
    </w:rPr>
  </w:style>
  <w:style w:type="paragraph" w:customStyle="1" w:styleId="xl83">
    <w:name w:val="xl83"/>
    <w:basedOn w:val="Normal"/>
    <w:rsid w:val="008C1F5E"/>
    <w:pPr>
      <w:pBdr>
        <w:top w:val="single" w:sz="4" w:space="0" w:color="303030"/>
        <w:left w:val="single" w:sz="4" w:space="0" w:color="303030"/>
        <w:bottom w:val="single" w:sz="4" w:space="0" w:color="303030"/>
        <w:right w:val="single" w:sz="4" w:space="0" w:color="303030"/>
      </w:pBdr>
      <w:shd w:val="clear" w:color="CCCCFF" w:fill="C0C0C0"/>
      <w:spacing w:before="100" w:beforeAutospacing="1" w:after="100" w:afterAutospacing="1"/>
      <w:jc w:val="center"/>
      <w:textAlignment w:val="center"/>
    </w:pPr>
    <w:rPr>
      <w:rFonts w:ascii="Arial" w:hAnsi="Arial" w:cs="Arial"/>
      <w:sz w:val="20"/>
      <w:szCs w:val="20"/>
      <w:lang w:eastAsia="cs-CZ"/>
    </w:rPr>
  </w:style>
  <w:style w:type="paragraph" w:customStyle="1" w:styleId="xl84">
    <w:name w:val="xl84"/>
    <w:basedOn w:val="Normal"/>
    <w:rsid w:val="008C1F5E"/>
    <w:pPr>
      <w:pBdr>
        <w:top w:val="single" w:sz="4" w:space="0" w:color="303030"/>
        <w:left w:val="single" w:sz="4" w:space="0" w:color="303030"/>
        <w:bottom w:val="single" w:sz="4" w:space="0" w:color="303030"/>
        <w:right w:val="single" w:sz="4" w:space="0" w:color="303030"/>
      </w:pBdr>
      <w:spacing w:before="100" w:beforeAutospacing="1" w:after="100" w:afterAutospacing="1"/>
      <w:jc w:val="center"/>
      <w:textAlignment w:val="center"/>
    </w:pPr>
    <w:rPr>
      <w:rFonts w:ascii="Arial" w:hAnsi="Arial" w:cs="Arial"/>
      <w:sz w:val="20"/>
      <w:szCs w:val="20"/>
      <w:lang w:eastAsia="cs-CZ"/>
    </w:rPr>
  </w:style>
  <w:style w:type="paragraph" w:customStyle="1" w:styleId="xl85">
    <w:name w:val="xl85"/>
    <w:basedOn w:val="Normal"/>
    <w:rsid w:val="008C1F5E"/>
    <w:pPr>
      <w:spacing w:before="100" w:beforeAutospacing="1" w:after="100" w:afterAutospacing="1"/>
    </w:pPr>
    <w:rPr>
      <w:rFonts w:ascii="Arial" w:hAnsi="Arial" w:cs="Arial"/>
      <w:sz w:val="20"/>
      <w:szCs w:val="20"/>
      <w:lang w:eastAsia="cs-CZ"/>
    </w:rPr>
  </w:style>
  <w:style w:type="paragraph" w:customStyle="1" w:styleId="xl86">
    <w:name w:val="xl86"/>
    <w:basedOn w:val="Normal"/>
    <w:rsid w:val="008C1F5E"/>
    <w:pPr>
      <w:spacing w:before="100" w:beforeAutospacing="1" w:after="100" w:afterAutospacing="1"/>
      <w:textAlignment w:val="center"/>
    </w:pPr>
    <w:rPr>
      <w:rFonts w:ascii="Arial" w:hAnsi="Arial" w:cs="Arial"/>
      <w:sz w:val="20"/>
      <w:szCs w:val="20"/>
      <w:lang w:eastAsia="cs-CZ"/>
    </w:rPr>
  </w:style>
  <w:style w:type="paragraph" w:customStyle="1" w:styleId="xl87">
    <w:name w:val="xl87"/>
    <w:basedOn w:val="Normal"/>
    <w:rsid w:val="008C1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cs-CZ"/>
    </w:rPr>
  </w:style>
  <w:style w:type="paragraph" w:customStyle="1" w:styleId="xl88">
    <w:name w:val="xl88"/>
    <w:basedOn w:val="Normal"/>
    <w:rsid w:val="008C1F5E"/>
    <w:pPr>
      <w:pBdr>
        <w:top w:val="single" w:sz="4" w:space="0" w:color="303030"/>
        <w:left w:val="single" w:sz="4" w:space="0" w:color="303030"/>
        <w:right w:val="single" w:sz="4" w:space="0" w:color="303030"/>
      </w:pBdr>
      <w:spacing w:before="100" w:beforeAutospacing="1" w:after="100" w:afterAutospacing="1"/>
      <w:jc w:val="center"/>
      <w:textAlignment w:val="center"/>
    </w:pPr>
    <w:rPr>
      <w:rFonts w:ascii="Arial" w:hAnsi="Arial" w:cs="Arial"/>
      <w:sz w:val="20"/>
      <w:szCs w:val="20"/>
      <w:lang w:eastAsia="cs-CZ"/>
    </w:rPr>
  </w:style>
  <w:style w:type="paragraph" w:customStyle="1" w:styleId="xl89">
    <w:name w:val="xl89"/>
    <w:basedOn w:val="Normal"/>
    <w:rsid w:val="008C1F5E"/>
    <w:pPr>
      <w:pBdr>
        <w:left w:val="single" w:sz="4" w:space="0" w:color="303030"/>
        <w:bottom w:val="single" w:sz="4" w:space="0" w:color="303030"/>
        <w:right w:val="single" w:sz="4" w:space="0" w:color="303030"/>
      </w:pBdr>
      <w:spacing w:before="100" w:beforeAutospacing="1" w:after="100" w:afterAutospacing="1"/>
      <w:jc w:val="center"/>
      <w:textAlignment w:val="center"/>
    </w:pPr>
    <w:rPr>
      <w:rFonts w:ascii="Arial" w:hAnsi="Arial" w:cs="Arial"/>
      <w:sz w:val="20"/>
      <w:szCs w:val="20"/>
      <w:lang w:eastAsia="cs-CZ"/>
    </w:rPr>
  </w:style>
  <w:style w:type="paragraph" w:customStyle="1" w:styleId="xl90">
    <w:name w:val="xl90"/>
    <w:basedOn w:val="Normal"/>
    <w:rsid w:val="008C1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cs-CZ"/>
    </w:rPr>
  </w:style>
  <w:style w:type="paragraph" w:customStyle="1" w:styleId="xl91">
    <w:name w:val="xl91"/>
    <w:basedOn w:val="Normal"/>
    <w:rsid w:val="008C1F5E"/>
    <w:pPr>
      <w:pBdr>
        <w:left w:val="single" w:sz="4" w:space="0" w:color="303030"/>
        <w:bottom w:val="single" w:sz="4" w:space="0" w:color="303030"/>
        <w:right w:val="single" w:sz="4" w:space="0" w:color="303030"/>
      </w:pBdr>
      <w:shd w:val="clear" w:color="CCCCFF" w:fill="C0C0C0"/>
      <w:spacing w:before="100" w:beforeAutospacing="1" w:after="100" w:afterAutospacing="1"/>
      <w:textAlignment w:val="center"/>
    </w:pPr>
    <w:rPr>
      <w:rFonts w:ascii="Arial" w:hAnsi="Arial" w:cs="Arial"/>
      <w:b/>
      <w:bCs/>
      <w:sz w:val="20"/>
      <w:szCs w:val="20"/>
      <w:lang w:eastAsia="cs-CZ"/>
    </w:rPr>
  </w:style>
  <w:style w:type="paragraph" w:customStyle="1" w:styleId="xl92">
    <w:name w:val="xl92"/>
    <w:basedOn w:val="Normal"/>
    <w:rsid w:val="008C1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cs-CZ"/>
    </w:rPr>
  </w:style>
  <w:style w:type="paragraph" w:customStyle="1" w:styleId="xl93">
    <w:name w:val="xl93"/>
    <w:basedOn w:val="Normal"/>
    <w:rsid w:val="008C1F5E"/>
    <w:pPr>
      <w:pBdr>
        <w:top w:val="single" w:sz="4" w:space="0" w:color="303030"/>
        <w:left w:val="single" w:sz="4" w:space="0" w:color="303030"/>
        <w:bottom w:val="single" w:sz="4" w:space="0" w:color="303030"/>
        <w:right w:val="single" w:sz="4" w:space="0" w:color="303030"/>
      </w:pBdr>
      <w:spacing w:before="100" w:beforeAutospacing="1" w:after="100" w:afterAutospacing="1"/>
      <w:textAlignment w:val="center"/>
    </w:pPr>
    <w:rPr>
      <w:rFonts w:ascii="Arial" w:hAnsi="Arial" w:cs="Arial"/>
      <w:sz w:val="20"/>
      <w:szCs w:val="20"/>
      <w:lang w:eastAsia="cs-CZ"/>
    </w:rPr>
  </w:style>
  <w:style w:type="paragraph" w:customStyle="1" w:styleId="xl94">
    <w:name w:val="xl94"/>
    <w:basedOn w:val="Normal"/>
    <w:rsid w:val="008C1F5E"/>
    <w:pPr>
      <w:pBdr>
        <w:top w:val="single" w:sz="4" w:space="0" w:color="303030"/>
        <w:left w:val="single" w:sz="4" w:space="0" w:color="303030"/>
        <w:right w:val="single" w:sz="4" w:space="0" w:color="303030"/>
      </w:pBdr>
      <w:shd w:val="clear" w:color="CCCCFF" w:fill="C0C0C0"/>
      <w:spacing w:before="100" w:beforeAutospacing="1" w:after="100" w:afterAutospacing="1"/>
      <w:textAlignment w:val="center"/>
    </w:pPr>
    <w:rPr>
      <w:rFonts w:ascii="Arial" w:hAnsi="Arial" w:cs="Arial"/>
      <w:b/>
      <w:bCs/>
      <w:sz w:val="20"/>
      <w:szCs w:val="20"/>
      <w:lang w:eastAsia="cs-CZ"/>
    </w:rPr>
  </w:style>
  <w:style w:type="paragraph" w:customStyle="1" w:styleId="xl95">
    <w:name w:val="xl95"/>
    <w:basedOn w:val="Normal"/>
    <w:rsid w:val="008C1F5E"/>
    <w:pPr>
      <w:pBdr>
        <w:top w:val="single" w:sz="4" w:space="0" w:color="303030"/>
        <w:left w:val="single" w:sz="4" w:space="0" w:color="303030"/>
        <w:right w:val="single" w:sz="4" w:space="0" w:color="303030"/>
      </w:pBdr>
      <w:shd w:val="clear" w:color="CCCCFF" w:fill="C0C0C0"/>
      <w:spacing w:before="100" w:beforeAutospacing="1" w:after="100" w:afterAutospacing="1"/>
      <w:textAlignment w:val="center"/>
    </w:pPr>
    <w:rPr>
      <w:rFonts w:ascii="Arial" w:hAnsi="Arial" w:cs="Arial"/>
      <w:sz w:val="20"/>
      <w:szCs w:val="20"/>
      <w:lang w:eastAsia="cs-CZ"/>
    </w:rPr>
  </w:style>
  <w:style w:type="paragraph" w:customStyle="1" w:styleId="xl96">
    <w:name w:val="xl96"/>
    <w:basedOn w:val="Normal"/>
    <w:rsid w:val="008C1F5E"/>
    <w:pPr>
      <w:pBdr>
        <w:left w:val="single" w:sz="4" w:space="0" w:color="303030"/>
        <w:bottom w:val="single" w:sz="4" w:space="0" w:color="303030"/>
        <w:right w:val="single" w:sz="4" w:space="0" w:color="303030"/>
      </w:pBdr>
      <w:shd w:val="clear" w:color="CCCCFF" w:fill="C0C0C0"/>
      <w:spacing w:before="100" w:beforeAutospacing="1" w:after="100" w:afterAutospacing="1"/>
      <w:textAlignment w:val="center"/>
    </w:pPr>
    <w:rPr>
      <w:rFonts w:ascii="Arial" w:hAnsi="Arial" w:cs="Arial"/>
      <w:b/>
      <w:bCs/>
      <w:sz w:val="20"/>
      <w:szCs w:val="20"/>
      <w:lang w:eastAsia="cs-CZ"/>
    </w:rPr>
  </w:style>
  <w:style w:type="paragraph" w:customStyle="1" w:styleId="xl97">
    <w:name w:val="xl97"/>
    <w:basedOn w:val="Normal"/>
    <w:rsid w:val="008C1F5E"/>
    <w:pPr>
      <w:pBdr>
        <w:left w:val="single" w:sz="4" w:space="0" w:color="303030"/>
        <w:bottom w:val="single" w:sz="4" w:space="0" w:color="303030"/>
        <w:right w:val="single" w:sz="4" w:space="0" w:color="303030"/>
      </w:pBdr>
      <w:shd w:val="clear" w:color="CCCCFF" w:fill="C0C0C0"/>
      <w:spacing w:before="100" w:beforeAutospacing="1" w:after="100" w:afterAutospacing="1"/>
      <w:jc w:val="center"/>
      <w:textAlignment w:val="center"/>
    </w:pPr>
    <w:rPr>
      <w:rFonts w:ascii="Arial" w:hAnsi="Arial" w:cs="Arial"/>
      <w:sz w:val="20"/>
      <w:szCs w:val="20"/>
      <w:lang w:eastAsia="cs-CZ"/>
    </w:rPr>
  </w:style>
  <w:style w:type="paragraph" w:customStyle="1" w:styleId="xl98">
    <w:name w:val="xl98"/>
    <w:basedOn w:val="Normal"/>
    <w:rsid w:val="008C1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eastAsia="cs-CZ"/>
    </w:rPr>
  </w:style>
  <w:style w:type="paragraph" w:customStyle="1" w:styleId="xl99">
    <w:name w:val="xl99"/>
    <w:basedOn w:val="Normal"/>
    <w:rsid w:val="008C1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cs-CZ"/>
    </w:rPr>
  </w:style>
  <w:style w:type="paragraph" w:customStyle="1" w:styleId="xl100">
    <w:name w:val="xl100"/>
    <w:basedOn w:val="Normal"/>
    <w:rsid w:val="008C1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cs-CZ"/>
    </w:rPr>
  </w:style>
  <w:style w:type="paragraph" w:customStyle="1" w:styleId="xl101">
    <w:name w:val="xl101"/>
    <w:basedOn w:val="Normal"/>
    <w:rsid w:val="008C1F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eastAsia="cs-CZ"/>
    </w:rPr>
  </w:style>
  <w:style w:type="paragraph" w:customStyle="1" w:styleId="xl102">
    <w:name w:val="xl102"/>
    <w:basedOn w:val="Normal"/>
    <w:rsid w:val="008C1F5E"/>
    <w:pPr>
      <w:pBdr>
        <w:top w:val="single" w:sz="4" w:space="0" w:color="303030"/>
        <w:left w:val="single" w:sz="4" w:space="0" w:color="303030"/>
        <w:right w:val="single" w:sz="4" w:space="0" w:color="303030"/>
      </w:pBdr>
      <w:spacing w:before="100" w:beforeAutospacing="1" w:after="100" w:afterAutospacing="1"/>
      <w:textAlignment w:val="center"/>
    </w:pPr>
    <w:rPr>
      <w:rFonts w:ascii="Arial" w:hAnsi="Arial" w:cs="Arial"/>
      <w:sz w:val="20"/>
      <w:szCs w:val="20"/>
      <w:lang w:eastAsia="cs-CZ"/>
    </w:rPr>
  </w:style>
  <w:style w:type="paragraph" w:customStyle="1" w:styleId="xl103">
    <w:name w:val="xl103"/>
    <w:basedOn w:val="Normal"/>
    <w:rsid w:val="008C1F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cs-CZ"/>
    </w:rPr>
  </w:style>
  <w:style w:type="paragraph" w:customStyle="1" w:styleId="xl104">
    <w:name w:val="xl104"/>
    <w:basedOn w:val="Normal"/>
    <w:rsid w:val="008C1F5E"/>
    <w:pPr>
      <w:pBdr>
        <w:top w:val="single" w:sz="4" w:space="0" w:color="303030"/>
        <w:bottom w:val="single" w:sz="4" w:space="0" w:color="303030"/>
        <w:right w:val="single" w:sz="4" w:space="0" w:color="303030"/>
      </w:pBdr>
      <w:spacing w:before="100" w:beforeAutospacing="1" w:after="100" w:afterAutospacing="1"/>
      <w:textAlignment w:val="center"/>
    </w:pPr>
    <w:rPr>
      <w:rFonts w:ascii="Arial" w:hAnsi="Arial" w:cs="Arial"/>
      <w:sz w:val="20"/>
      <w:szCs w:val="20"/>
      <w:lang w:eastAsia="cs-CZ"/>
    </w:rPr>
  </w:style>
  <w:style w:type="paragraph" w:customStyle="1" w:styleId="xl105">
    <w:name w:val="xl105"/>
    <w:basedOn w:val="Normal"/>
    <w:rsid w:val="008C1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eastAsia="cs-CZ"/>
    </w:rPr>
  </w:style>
  <w:style w:type="paragraph" w:customStyle="1" w:styleId="xl106">
    <w:name w:val="xl106"/>
    <w:basedOn w:val="Normal"/>
    <w:rsid w:val="008C1F5E"/>
    <w:pPr>
      <w:pBdr>
        <w:top w:val="single" w:sz="4" w:space="0" w:color="auto"/>
        <w:left w:val="single" w:sz="4" w:space="0" w:color="auto"/>
        <w:bottom w:val="single" w:sz="4" w:space="0" w:color="auto"/>
        <w:right w:val="single" w:sz="4" w:space="0" w:color="auto"/>
      </w:pBdr>
      <w:shd w:val="clear" w:color="000000" w:fill="FFC715"/>
      <w:spacing w:before="100" w:beforeAutospacing="1" w:after="100" w:afterAutospacing="1"/>
      <w:jc w:val="center"/>
      <w:textAlignment w:val="center"/>
    </w:pPr>
    <w:rPr>
      <w:rFonts w:ascii="Arial" w:hAnsi="Arial" w:cs="Arial"/>
      <w:sz w:val="20"/>
      <w:szCs w:val="20"/>
      <w:lang w:eastAsia="cs-CZ"/>
    </w:rPr>
  </w:style>
  <w:style w:type="paragraph" w:customStyle="1" w:styleId="xl107">
    <w:name w:val="xl107"/>
    <w:basedOn w:val="Normal"/>
    <w:rsid w:val="008C1F5E"/>
    <w:pPr>
      <w:pBdr>
        <w:top w:val="single" w:sz="4" w:space="0" w:color="303030"/>
        <w:left w:val="single" w:sz="4" w:space="0" w:color="303030"/>
        <w:bottom w:val="single" w:sz="4" w:space="0" w:color="303030"/>
        <w:right w:val="single" w:sz="4" w:space="0" w:color="303030"/>
      </w:pBdr>
      <w:shd w:val="clear" w:color="FFFF00" w:fill="FFCC00"/>
      <w:spacing w:before="100" w:beforeAutospacing="1" w:after="100" w:afterAutospacing="1"/>
      <w:jc w:val="right"/>
      <w:textAlignment w:val="center"/>
    </w:pPr>
    <w:rPr>
      <w:rFonts w:ascii="Arial" w:hAnsi="Arial" w:cs="Arial"/>
      <w:sz w:val="20"/>
      <w:szCs w:val="20"/>
      <w:lang w:eastAsia="cs-CZ"/>
    </w:rPr>
  </w:style>
  <w:style w:type="paragraph" w:customStyle="1" w:styleId="xl108">
    <w:name w:val="xl108"/>
    <w:basedOn w:val="Normal"/>
    <w:rsid w:val="008C1F5E"/>
    <w:pPr>
      <w:pBdr>
        <w:top w:val="single" w:sz="4" w:space="0" w:color="303030"/>
        <w:left w:val="single" w:sz="4" w:space="0" w:color="303030"/>
        <w:right w:val="single" w:sz="4" w:space="0" w:color="303030"/>
      </w:pBdr>
      <w:spacing w:before="100" w:beforeAutospacing="1" w:after="100" w:afterAutospacing="1"/>
      <w:jc w:val="right"/>
      <w:textAlignment w:val="center"/>
    </w:pPr>
    <w:rPr>
      <w:rFonts w:ascii="Arial" w:hAnsi="Arial" w:cs="Arial"/>
      <w:sz w:val="20"/>
      <w:szCs w:val="20"/>
      <w:lang w:eastAsia="cs-CZ"/>
    </w:rPr>
  </w:style>
  <w:style w:type="paragraph" w:customStyle="1" w:styleId="xl109">
    <w:name w:val="xl109"/>
    <w:basedOn w:val="Normal"/>
    <w:rsid w:val="008C1F5E"/>
    <w:pPr>
      <w:pBdr>
        <w:top w:val="single" w:sz="4" w:space="0" w:color="303030"/>
        <w:left w:val="single" w:sz="4" w:space="0" w:color="303030"/>
        <w:bottom w:val="single" w:sz="4" w:space="0" w:color="303030"/>
        <w:right w:val="single" w:sz="4" w:space="0" w:color="303030"/>
      </w:pBdr>
      <w:spacing w:before="100" w:beforeAutospacing="1" w:after="100" w:afterAutospacing="1"/>
      <w:jc w:val="right"/>
      <w:textAlignment w:val="center"/>
    </w:pPr>
    <w:rPr>
      <w:rFonts w:ascii="Arial" w:hAnsi="Arial" w:cs="Arial"/>
      <w:sz w:val="20"/>
      <w:szCs w:val="20"/>
      <w:lang w:eastAsia="cs-CZ"/>
    </w:rPr>
  </w:style>
  <w:style w:type="paragraph" w:customStyle="1" w:styleId="xl110">
    <w:name w:val="xl110"/>
    <w:basedOn w:val="Normal"/>
    <w:rsid w:val="008C1F5E"/>
    <w:pPr>
      <w:pBdr>
        <w:top w:val="single" w:sz="4" w:space="0" w:color="303030"/>
        <w:left w:val="single" w:sz="4" w:space="0" w:color="303030"/>
        <w:bottom w:val="single" w:sz="4" w:space="0" w:color="303030"/>
        <w:right w:val="single" w:sz="4" w:space="0" w:color="303030"/>
      </w:pBdr>
      <w:shd w:val="clear" w:color="CCCCFF" w:fill="C0C0C0"/>
      <w:spacing w:before="100" w:beforeAutospacing="1" w:after="100" w:afterAutospacing="1"/>
      <w:jc w:val="right"/>
      <w:textAlignment w:val="center"/>
    </w:pPr>
    <w:rPr>
      <w:rFonts w:ascii="Arial" w:hAnsi="Arial" w:cs="Arial"/>
      <w:b/>
      <w:bCs/>
      <w:sz w:val="20"/>
      <w:szCs w:val="20"/>
      <w:lang w:eastAsia="cs-CZ"/>
    </w:rPr>
  </w:style>
  <w:style w:type="paragraph" w:customStyle="1" w:styleId="xl111">
    <w:name w:val="xl111"/>
    <w:basedOn w:val="Normal"/>
    <w:rsid w:val="008C1F5E"/>
    <w:pPr>
      <w:pBdr>
        <w:left w:val="single" w:sz="4" w:space="0" w:color="303030"/>
        <w:bottom w:val="single" w:sz="4" w:space="0" w:color="303030"/>
        <w:right w:val="single" w:sz="4" w:space="0" w:color="303030"/>
      </w:pBdr>
      <w:shd w:val="clear" w:color="CCCCFF" w:fill="C0C0C0"/>
      <w:spacing w:before="100" w:beforeAutospacing="1" w:after="100" w:afterAutospacing="1"/>
      <w:jc w:val="right"/>
      <w:textAlignment w:val="center"/>
    </w:pPr>
    <w:rPr>
      <w:rFonts w:ascii="Arial" w:hAnsi="Arial" w:cs="Arial"/>
      <w:b/>
      <w:bCs/>
      <w:sz w:val="20"/>
      <w:szCs w:val="20"/>
      <w:lang w:eastAsia="cs-CZ"/>
    </w:rPr>
  </w:style>
  <w:style w:type="paragraph" w:customStyle="1" w:styleId="xl112">
    <w:name w:val="xl112"/>
    <w:basedOn w:val="Normal"/>
    <w:rsid w:val="008C1F5E"/>
    <w:pPr>
      <w:pBdr>
        <w:left w:val="single" w:sz="4" w:space="0" w:color="303030"/>
        <w:bottom w:val="single" w:sz="4" w:space="0" w:color="303030"/>
        <w:right w:val="single" w:sz="4" w:space="0" w:color="303030"/>
      </w:pBdr>
      <w:spacing w:before="100" w:beforeAutospacing="1" w:after="100" w:afterAutospacing="1"/>
      <w:jc w:val="right"/>
      <w:textAlignment w:val="center"/>
    </w:pPr>
    <w:rPr>
      <w:rFonts w:ascii="Arial" w:hAnsi="Arial" w:cs="Arial"/>
      <w:sz w:val="20"/>
      <w:szCs w:val="20"/>
      <w:lang w:eastAsia="cs-CZ"/>
    </w:rPr>
  </w:style>
  <w:style w:type="paragraph" w:customStyle="1" w:styleId="xl113">
    <w:name w:val="xl113"/>
    <w:basedOn w:val="Normal"/>
    <w:rsid w:val="008C1F5E"/>
    <w:pPr>
      <w:pBdr>
        <w:left w:val="single" w:sz="4" w:space="0" w:color="303030"/>
        <w:bottom w:val="single" w:sz="4" w:space="0" w:color="303030"/>
        <w:right w:val="single" w:sz="4" w:space="0" w:color="303030"/>
      </w:pBdr>
      <w:shd w:val="clear" w:color="FFFF00" w:fill="FFCC00"/>
      <w:spacing w:before="100" w:beforeAutospacing="1" w:after="100" w:afterAutospacing="1"/>
      <w:jc w:val="right"/>
      <w:textAlignment w:val="center"/>
    </w:pPr>
    <w:rPr>
      <w:rFonts w:ascii="Arial" w:hAnsi="Arial" w:cs="Arial"/>
      <w:sz w:val="20"/>
      <w:szCs w:val="20"/>
      <w:lang w:eastAsia="cs-CZ"/>
    </w:rPr>
  </w:style>
  <w:style w:type="paragraph" w:customStyle="1" w:styleId="xl114">
    <w:name w:val="xl114"/>
    <w:basedOn w:val="Normal"/>
    <w:rsid w:val="008C1F5E"/>
    <w:pPr>
      <w:pBdr>
        <w:top w:val="single" w:sz="4" w:space="0" w:color="303030"/>
        <w:left w:val="single" w:sz="4" w:space="0" w:color="303030"/>
        <w:bottom w:val="single" w:sz="4" w:space="0" w:color="303030"/>
        <w:right w:val="single" w:sz="4" w:space="0" w:color="303030"/>
      </w:pBdr>
      <w:shd w:val="clear" w:color="CCCCFF" w:fill="C0C0C0"/>
      <w:spacing w:before="100" w:beforeAutospacing="1" w:after="100" w:afterAutospacing="1"/>
      <w:jc w:val="right"/>
      <w:textAlignment w:val="center"/>
    </w:pPr>
    <w:rPr>
      <w:rFonts w:ascii="Arial" w:hAnsi="Arial" w:cs="Arial"/>
      <w:sz w:val="20"/>
      <w:szCs w:val="20"/>
      <w:lang w:eastAsia="cs-CZ"/>
    </w:rPr>
  </w:style>
  <w:style w:type="paragraph" w:customStyle="1" w:styleId="xl115">
    <w:name w:val="xl115"/>
    <w:basedOn w:val="Normal"/>
    <w:rsid w:val="008C1F5E"/>
    <w:pPr>
      <w:pBdr>
        <w:top w:val="single" w:sz="4" w:space="0" w:color="303030"/>
        <w:left w:val="single" w:sz="4" w:space="0" w:color="303030"/>
        <w:bottom w:val="single" w:sz="4" w:space="0" w:color="303030"/>
        <w:right w:val="single" w:sz="4" w:space="0" w:color="303030"/>
      </w:pBdr>
      <w:spacing w:before="100" w:beforeAutospacing="1" w:after="100" w:afterAutospacing="1"/>
      <w:jc w:val="center"/>
      <w:textAlignment w:val="center"/>
    </w:pPr>
    <w:rPr>
      <w:rFonts w:ascii="Arial" w:hAnsi="Arial" w:cs="Arial"/>
      <w:sz w:val="20"/>
      <w:szCs w:val="20"/>
      <w:lang w:eastAsia="cs-CZ"/>
    </w:rPr>
  </w:style>
  <w:style w:type="paragraph" w:customStyle="1" w:styleId="xl116">
    <w:name w:val="xl116"/>
    <w:basedOn w:val="Normal"/>
    <w:rsid w:val="008C1F5E"/>
    <w:pPr>
      <w:pBdr>
        <w:top w:val="single" w:sz="4" w:space="0" w:color="303030"/>
        <w:left w:val="single" w:sz="4" w:space="0" w:color="303030"/>
        <w:bottom w:val="single" w:sz="4" w:space="0" w:color="303030"/>
        <w:right w:val="single" w:sz="4" w:space="0" w:color="303030"/>
      </w:pBdr>
      <w:shd w:val="clear" w:color="FFFF00" w:fill="FFC000"/>
      <w:spacing w:before="100" w:beforeAutospacing="1" w:after="100" w:afterAutospacing="1"/>
      <w:jc w:val="center"/>
      <w:textAlignment w:val="center"/>
    </w:pPr>
    <w:rPr>
      <w:rFonts w:ascii="Arial" w:hAnsi="Arial" w:cs="Arial"/>
      <w:sz w:val="20"/>
      <w:szCs w:val="20"/>
      <w:lang w:eastAsia="cs-CZ"/>
    </w:rPr>
  </w:style>
  <w:style w:type="paragraph" w:customStyle="1" w:styleId="xl117">
    <w:name w:val="xl117"/>
    <w:basedOn w:val="Normal"/>
    <w:rsid w:val="008C1F5E"/>
    <w:pPr>
      <w:pBdr>
        <w:top w:val="single" w:sz="4" w:space="0" w:color="303030"/>
        <w:left w:val="single" w:sz="4" w:space="0" w:color="303030"/>
        <w:right w:val="single" w:sz="4" w:space="0" w:color="303030"/>
      </w:pBdr>
      <w:shd w:val="clear" w:color="CCCCFF" w:fill="C0C0C0"/>
      <w:spacing w:before="100" w:beforeAutospacing="1" w:after="100" w:afterAutospacing="1"/>
      <w:jc w:val="right"/>
      <w:textAlignment w:val="center"/>
    </w:pPr>
    <w:rPr>
      <w:rFonts w:ascii="Arial" w:hAnsi="Arial" w:cs="Arial"/>
      <w:sz w:val="20"/>
      <w:szCs w:val="20"/>
      <w:lang w:eastAsia="cs-CZ"/>
    </w:rPr>
  </w:style>
  <w:style w:type="paragraph" w:customStyle="1" w:styleId="xl118">
    <w:name w:val="xl118"/>
    <w:basedOn w:val="Normal"/>
    <w:rsid w:val="008C1F5E"/>
    <w:pPr>
      <w:pBdr>
        <w:top w:val="single" w:sz="4" w:space="0" w:color="303030"/>
        <w:left w:val="single" w:sz="4" w:space="0" w:color="303030"/>
        <w:right w:val="single" w:sz="4" w:space="0" w:color="303030"/>
      </w:pBdr>
      <w:shd w:val="clear" w:color="FFFF00" w:fill="FFCC00"/>
      <w:spacing w:before="100" w:beforeAutospacing="1" w:after="100" w:afterAutospacing="1"/>
      <w:jc w:val="right"/>
      <w:textAlignment w:val="center"/>
    </w:pPr>
    <w:rPr>
      <w:rFonts w:ascii="Arial" w:hAnsi="Arial" w:cs="Arial"/>
      <w:i/>
      <w:iCs/>
      <w:sz w:val="20"/>
      <w:szCs w:val="20"/>
      <w:lang w:eastAsia="cs-CZ"/>
    </w:rPr>
  </w:style>
  <w:style w:type="paragraph" w:customStyle="1" w:styleId="xl119">
    <w:name w:val="xl119"/>
    <w:basedOn w:val="Normal"/>
    <w:rsid w:val="008C1F5E"/>
    <w:pPr>
      <w:pBdr>
        <w:left w:val="single" w:sz="4" w:space="0" w:color="303030"/>
        <w:bottom w:val="single" w:sz="4" w:space="0" w:color="303030"/>
        <w:right w:val="single" w:sz="4" w:space="0" w:color="303030"/>
      </w:pBdr>
      <w:shd w:val="clear" w:color="CCCCFF" w:fill="C0C0C0"/>
      <w:spacing w:before="100" w:beforeAutospacing="1" w:after="100" w:afterAutospacing="1"/>
      <w:jc w:val="right"/>
      <w:textAlignment w:val="center"/>
    </w:pPr>
    <w:rPr>
      <w:rFonts w:ascii="Arial" w:hAnsi="Arial" w:cs="Arial"/>
      <w:sz w:val="20"/>
      <w:szCs w:val="20"/>
      <w:lang w:eastAsia="cs-CZ"/>
    </w:rPr>
  </w:style>
  <w:style w:type="paragraph" w:customStyle="1" w:styleId="xl120">
    <w:name w:val="xl120"/>
    <w:basedOn w:val="Normal"/>
    <w:rsid w:val="008C1F5E"/>
    <w:pPr>
      <w:pBdr>
        <w:top w:val="single" w:sz="4" w:space="0" w:color="303030"/>
        <w:left w:val="single" w:sz="4" w:space="0" w:color="303030"/>
        <w:bottom w:val="single" w:sz="4" w:space="0" w:color="303030"/>
        <w:right w:val="single" w:sz="4" w:space="0" w:color="303030"/>
      </w:pBdr>
      <w:shd w:val="clear" w:color="FFFF00" w:fill="FFC000"/>
      <w:spacing w:before="100" w:beforeAutospacing="1" w:after="100" w:afterAutospacing="1"/>
      <w:jc w:val="center"/>
      <w:textAlignment w:val="center"/>
    </w:pPr>
    <w:rPr>
      <w:rFonts w:ascii="Arial" w:hAnsi="Arial" w:cs="Arial"/>
      <w:sz w:val="20"/>
      <w:szCs w:val="20"/>
      <w:lang w:eastAsia="cs-CZ"/>
    </w:rPr>
  </w:style>
  <w:style w:type="paragraph" w:customStyle="1" w:styleId="xl121">
    <w:name w:val="xl121"/>
    <w:basedOn w:val="Normal"/>
    <w:rsid w:val="008C1F5E"/>
    <w:pPr>
      <w:pBdr>
        <w:top w:val="single" w:sz="4" w:space="0" w:color="303030"/>
        <w:left w:val="single" w:sz="4" w:space="0" w:color="303030"/>
        <w:bottom w:val="single" w:sz="4" w:space="0" w:color="303030"/>
        <w:right w:val="single" w:sz="4" w:space="0" w:color="303030"/>
      </w:pBdr>
      <w:shd w:val="clear" w:color="FFFF00" w:fill="FFCC00"/>
      <w:spacing w:before="100" w:beforeAutospacing="1" w:after="100" w:afterAutospacing="1"/>
      <w:jc w:val="center"/>
      <w:textAlignment w:val="center"/>
    </w:pPr>
    <w:rPr>
      <w:rFonts w:ascii="Arial" w:hAnsi="Arial" w:cs="Arial"/>
      <w:sz w:val="20"/>
      <w:szCs w:val="20"/>
      <w:lang w:eastAsia="cs-CZ"/>
    </w:rPr>
  </w:style>
  <w:style w:type="paragraph" w:customStyle="1" w:styleId="xl122">
    <w:name w:val="xl122"/>
    <w:basedOn w:val="Normal"/>
    <w:rsid w:val="008C1F5E"/>
    <w:pPr>
      <w:pBdr>
        <w:top w:val="single" w:sz="4" w:space="0" w:color="303030"/>
        <w:left w:val="single" w:sz="4" w:space="0" w:color="303030"/>
        <w:bottom w:val="single" w:sz="4" w:space="0" w:color="303030"/>
        <w:right w:val="single" w:sz="4" w:space="0" w:color="auto"/>
      </w:pBdr>
      <w:shd w:val="clear" w:color="FFFF00" w:fill="FFC000"/>
      <w:spacing w:before="100" w:beforeAutospacing="1" w:after="100" w:afterAutospacing="1"/>
      <w:jc w:val="center"/>
      <w:textAlignment w:val="center"/>
    </w:pPr>
    <w:rPr>
      <w:rFonts w:ascii="Arial" w:hAnsi="Arial" w:cs="Arial"/>
      <w:sz w:val="20"/>
      <w:szCs w:val="20"/>
      <w:lang w:eastAsia="cs-CZ"/>
    </w:rPr>
  </w:style>
  <w:style w:type="paragraph" w:customStyle="1" w:styleId="xl123">
    <w:name w:val="xl123"/>
    <w:basedOn w:val="Normal"/>
    <w:rsid w:val="008C1F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cs-CZ"/>
    </w:rPr>
  </w:style>
  <w:style w:type="paragraph" w:customStyle="1" w:styleId="xl124">
    <w:name w:val="xl124"/>
    <w:basedOn w:val="Normal"/>
    <w:rsid w:val="008C1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cs-CZ"/>
    </w:rPr>
  </w:style>
  <w:style w:type="paragraph" w:customStyle="1" w:styleId="xl125">
    <w:name w:val="xl125"/>
    <w:basedOn w:val="Normal"/>
    <w:rsid w:val="008C1F5E"/>
    <w:pPr>
      <w:pBdr>
        <w:top w:val="single" w:sz="4" w:space="0" w:color="303030"/>
        <w:left w:val="single" w:sz="4" w:space="0" w:color="303030"/>
        <w:bottom w:val="single" w:sz="4" w:space="0" w:color="303030"/>
        <w:right w:val="single" w:sz="4" w:space="0" w:color="303030"/>
      </w:pBdr>
      <w:spacing w:before="100" w:beforeAutospacing="1" w:after="100" w:afterAutospacing="1"/>
      <w:jc w:val="center"/>
      <w:textAlignment w:val="center"/>
    </w:pPr>
    <w:rPr>
      <w:rFonts w:ascii="Arial" w:hAnsi="Arial" w:cs="Arial"/>
      <w:sz w:val="20"/>
      <w:szCs w:val="20"/>
      <w:lang w:eastAsia="cs-CZ"/>
    </w:rPr>
  </w:style>
  <w:style w:type="paragraph" w:customStyle="1" w:styleId="xl126">
    <w:name w:val="xl126"/>
    <w:basedOn w:val="Normal"/>
    <w:rsid w:val="008C1F5E"/>
    <w:pPr>
      <w:pBdr>
        <w:top w:val="single" w:sz="4" w:space="0" w:color="303030"/>
        <w:left w:val="single" w:sz="4" w:space="0" w:color="303030"/>
        <w:bottom w:val="single" w:sz="4" w:space="0" w:color="303030"/>
        <w:right w:val="single" w:sz="4" w:space="0" w:color="303030"/>
      </w:pBdr>
      <w:shd w:val="clear" w:color="FFFF00" w:fill="FFC000"/>
      <w:spacing w:before="100" w:beforeAutospacing="1" w:after="100" w:afterAutospacing="1"/>
      <w:jc w:val="center"/>
      <w:textAlignment w:val="center"/>
    </w:pPr>
    <w:rPr>
      <w:rFonts w:ascii="Arial" w:hAnsi="Arial" w:cs="Arial"/>
      <w:sz w:val="20"/>
      <w:szCs w:val="20"/>
      <w:lang w:eastAsia="cs-CZ"/>
    </w:rPr>
  </w:style>
  <w:style w:type="paragraph" w:customStyle="1" w:styleId="xl127">
    <w:name w:val="xl127"/>
    <w:basedOn w:val="Normal"/>
    <w:rsid w:val="008C1F5E"/>
    <w:pPr>
      <w:spacing w:before="100" w:beforeAutospacing="1" w:after="100" w:afterAutospacing="1"/>
      <w:textAlignment w:val="center"/>
    </w:pPr>
    <w:rPr>
      <w:rFonts w:ascii="Arial" w:hAnsi="Arial" w:cs="Arial"/>
      <w:b/>
      <w:bCs/>
      <w:sz w:val="20"/>
      <w:szCs w:val="20"/>
      <w:lang w:eastAsia="cs-CZ"/>
    </w:rPr>
  </w:style>
  <w:style w:type="paragraph" w:customStyle="1" w:styleId="xl128">
    <w:name w:val="xl128"/>
    <w:basedOn w:val="Normal"/>
    <w:rsid w:val="008C1F5E"/>
    <w:pPr>
      <w:pBdr>
        <w:bottom w:val="single" w:sz="4" w:space="0" w:color="303030"/>
      </w:pBdr>
      <w:spacing w:before="100" w:beforeAutospacing="1" w:after="100" w:afterAutospacing="1"/>
      <w:jc w:val="center"/>
      <w:textAlignment w:val="center"/>
    </w:pPr>
    <w:rPr>
      <w:rFonts w:ascii="Arial" w:hAnsi="Arial" w:cs="Arial"/>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089">
      <w:bodyDiv w:val="1"/>
      <w:marLeft w:val="0"/>
      <w:marRight w:val="0"/>
      <w:marTop w:val="0"/>
      <w:marBottom w:val="0"/>
      <w:divBdr>
        <w:top w:val="none" w:sz="0" w:space="0" w:color="auto"/>
        <w:left w:val="none" w:sz="0" w:space="0" w:color="auto"/>
        <w:bottom w:val="none" w:sz="0" w:space="0" w:color="auto"/>
        <w:right w:val="none" w:sz="0" w:space="0" w:color="auto"/>
      </w:divBdr>
    </w:div>
    <w:div w:id="4408775">
      <w:bodyDiv w:val="1"/>
      <w:marLeft w:val="0"/>
      <w:marRight w:val="0"/>
      <w:marTop w:val="0"/>
      <w:marBottom w:val="0"/>
      <w:divBdr>
        <w:top w:val="none" w:sz="0" w:space="0" w:color="auto"/>
        <w:left w:val="none" w:sz="0" w:space="0" w:color="auto"/>
        <w:bottom w:val="none" w:sz="0" w:space="0" w:color="auto"/>
        <w:right w:val="none" w:sz="0" w:space="0" w:color="auto"/>
      </w:divBdr>
    </w:div>
    <w:div w:id="79956678">
      <w:bodyDiv w:val="1"/>
      <w:marLeft w:val="0"/>
      <w:marRight w:val="0"/>
      <w:marTop w:val="0"/>
      <w:marBottom w:val="0"/>
      <w:divBdr>
        <w:top w:val="none" w:sz="0" w:space="0" w:color="auto"/>
        <w:left w:val="none" w:sz="0" w:space="0" w:color="auto"/>
        <w:bottom w:val="none" w:sz="0" w:space="0" w:color="auto"/>
        <w:right w:val="none" w:sz="0" w:space="0" w:color="auto"/>
      </w:divBdr>
    </w:div>
    <w:div w:id="138616505">
      <w:bodyDiv w:val="1"/>
      <w:marLeft w:val="0"/>
      <w:marRight w:val="0"/>
      <w:marTop w:val="0"/>
      <w:marBottom w:val="0"/>
      <w:divBdr>
        <w:top w:val="none" w:sz="0" w:space="0" w:color="auto"/>
        <w:left w:val="none" w:sz="0" w:space="0" w:color="auto"/>
        <w:bottom w:val="none" w:sz="0" w:space="0" w:color="auto"/>
        <w:right w:val="none" w:sz="0" w:space="0" w:color="auto"/>
      </w:divBdr>
    </w:div>
    <w:div w:id="167526875">
      <w:bodyDiv w:val="1"/>
      <w:marLeft w:val="0"/>
      <w:marRight w:val="0"/>
      <w:marTop w:val="0"/>
      <w:marBottom w:val="0"/>
      <w:divBdr>
        <w:top w:val="none" w:sz="0" w:space="0" w:color="auto"/>
        <w:left w:val="none" w:sz="0" w:space="0" w:color="auto"/>
        <w:bottom w:val="none" w:sz="0" w:space="0" w:color="auto"/>
        <w:right w:val="none" w:sz="0" w:space="0" w:color="auto"/>
      </w:divBdr>
    </w:div>
    <w:div w:id="179660198">
      <w:bodyDiv w:val="1"/>
      <w:marLeft w:val="0"/>
      <w:marRight w:val="0"/>
      <w:marTop w:val="0"/>
      <w:marBottom w:val="0"/>
      <w:divBdr>
        <w:top w:val="none" w:sz="0" w:space="0" w:color="auto"/>
        <w:left w:val="none" w:sz="0" w:space="0" w:color="auto"/>
        <w:bottom w:val="none" w:sz="0" w:space="0" w:color="auto"/>
        <w:right w:val="none" w:sz="0" w:space="0" w:color="auto"/>
      </w:divBdr>
    </w:div>
    <w:div w:id="229384795">
      <w:bodyDiv w:val="1"/>
      <w:marLeft w:val="0"/>
      <w:marRight w:val="0"/>
      <w:marTop w:val="0"/>
      <w:marBottom w:val="0"/>
      <w:divBdr>
        <w:top w:val="none" w:sz="0" w:space="0" w:color="auto"/>
        <w:left w:val="none" w:sz="0" w:space="0" w:color="auto"/>
        <w:bottom w:val="none" w:sz="0" w:space="0" w:color="auto"/>
        <w:right w:val="none" w:sz="0" w:space="0" w:color="auto"/>
      </w:divBdr>
    </w:div>
    <w:div w:id="229731382">
      <w:bodyDiv w:val="1"/>
      <w:marLeft w:val="0"/>
      <w:marRight w:val="0"/>
      <w:marTop w:val="0"/>
      <w:marBottom w:val="0"/>
      <w:divBdr>
        <w:top w:val="none" w:sz="0" w:space="0" w:color="auto"/>
        <w:left w:val="none" w:sz="0" w:space="0" w:color="auto"/>
        <w:bottom w:val="none" w:sz="0" w:space="0" w:color="auto"/>
        <w:right w:val="none" w:sz="0" w:space="0" w:color="auto"/>
      </w:divBdr>
    </w:div>
    <w:div w:id="241569531">
      <w:bodyDiv w:val="1"/>
      <w:marLeft w:val="0"/>
      <w:marRight w:val="0"/>
      <w:marTop w:val="0"/>
      <w:marBottom w:val="0"/>
      <w:divBdr>
        <w:top w:val="none" w:sz="0" w:space="0" w:color="auto"/>
        <w:left w:val="none" w:sz="0" w:space="0" w:color="auto"/>
        <w:bottom w:val="none" w:sz="0" w:space="0" w:color="auto"/>
        <w:right w:val="none" w:sz="0" w:space="0" w:color="auto"/>
      </w:divBdr>
    </w:div>
    <w:div w:id="256407026">
      <w:bodyDiv w:val="1"/>
      <w:marLeft w:val="0"/>
      <w:marRight w:val="0"/>
      <w:marTop w:val="0"/>
      <w:marBottom w:val="0"/>
      <w:divBdr>
        <w:top w:val="none" w:sz="0" w:space="0" w:color="auto"/>
        <w:left w:val="none" w:sz="0" w:space="0" w:color="auto"/>
        <w:bottom w:val="none" w:sz="0" w:space="0" w:color="auto"/>
        <w:right w:val="none" w:sz="0" w:space="0" w:color="auto"/>
      </w:divBdr>
    </w:div>
    <w:div w:id="297416695">
      <w:bodyDiv w:val="1"/>
      <w:marLeft w:val="0"/>
      <w:marRight w:val="0"/>
      <w:marTop w:val="0"/>
      <w:marBottom w:val="0"/>
      <w:divBdr>
        <w:top w:val="none" w:sz="0" w:space="0" w:color="auto"/>
        <w:left w:val="none" w:sz="0" w:space="0" w:color="auto"/>
        <w:bottom w:val="none" w:sz="0" w:space="0" w:color="auto"/>
        <w:right w:val="none" w:sz="0" w:space="0" w:color="auto"/>
      </w:divBdr>
    </w:div>
    <w:div w:id="304117916">
      <w:bodyDiv w:val="1"/>
      <w:marLeft w:val="0"/>
      <w:marRight w:val="0"/>
      <w:marTop w:val="0"/>
      <w:marBottom w:val="0"/>
      <w:divBdr>
        <w:top w:val="none" w:sz="0" w:space="0" w:color="auto"/>
        <w:left w:val="none" w:sz="0" w:space="0" w:color="auto"/>
        <w:bottom w:val="none" w:sz="0" w:space="0" w:color="auto"/>
        <w:right w:val="none" w:sz="0" w:space="0" w:color="auto"/>
      </w:divBdr>
    </w:div>
    <w:div w:id="354161052">
      <w:bodyDiv w:val="1"/>
      <w:marLeft w:val="0"/>
      <w:marRight w:val="0"/>
      <w:marTop w:val="0"/>
      <w:marBottom w:val="0"/>
      <w:divBdr>
        <w:top w:val="none" w:sz="0" w:space="0" w:color="auto"/>
        <w:left w:val="none" w:sz="0" w:space="0" w:color="auto"/>
        <w:bottom w:val="none" w:sz="0" w:space="0" w:color="auto"/>
        <w:right w:val="none" w:sz="0" w:space="0" w:color="auto"/>
      </w:divBdr>
    </w:div>
    <w:div w:id="374231668">
      <w:bodyDiv w:val="1"/>
      <w:marLeft w:val="0"/>
      <w:marRight w:val="0"/>
      <w:marTop w:val="0"/>
      <w:marBottom w:val="0"/>
      <w:divBdr>
        <w:top w:val="none" w:sz="0" w:space="0" w:color="auto"/>
        <w:left w:val="none" w:sz="0" w:space="0" w:color="auto"/>
        <w:bottom w:val="none" w:sz="0" w:space="0" w:color="auto"/>
        <w:right w:val="none" w:sz="0" w:space="0" w:color="auto"/>
      </w:divBdr>
    </w:div>
    <w:div w:id="385111467">
      <w:bodyDiv w:val="1"/>
      <w:marLeft w:val="0"/>
      <w:marRight w:val="0"/>
      <w:marTop w:val="0"/>
      <w:marBottom w:val="0"/>
      <w:divBdr>
        <w:top w:val="none" w:sz="0" w:space="0" w:color="auto"/>
        <w:left w:val="none" w:sz="0" w:space="0" w:color="auto"/>
        <w:bottom w:val="none" w:sz="0" w:space="0" w:color="auto"/>
        <w:right w:val="none" w:sz="0" w:space="0" w:color="auto"/>
      </w:divBdr>
    </w:div>
    <w:div w:id="437792223">
      <w:bodyDiv w:val="1"/>
      <w:marLeft w:val="0"/>
      <w:marRight w:val="0"/>
      <w:marTop w:val="0"/>
      <w:marBottom w:val="0"/>
      <w:divBdr>
        <w:top w:val="none" w:sz="0" w:space="0" w:color="auto"/>
        <w:left w:val="none" w:sz="0" w:space="0" w:color="auto"/>
        <w:bottom w:val="none" w:sz="0" w:space="0" w:color="auto"/>
        <w:right w:val="none" w:sz="0" w:space="0" w:color="auto"/>
      </w:divBdr>
    </w:div>
    <w:div w:id="481510002">
      <w:bodyDiv w:val="1"/>
      <w:marLeft w:val="0"/>
      <w:marRight w:val="0"/>
      <w:marTop w:val="0"/>
      <w:marBottom w:val="0"/>
      <w:divBdr>
        <w:top w:val="none" w:sz="0" w:space="0" w:color="auto"/>
        <w:left w:val="none" w:sz="0" w:space="0" w:color="auto"/>
        <w:bottom w:val="none" w:sz="0" w:space="0" w:color="auto"/>
        <w:right w:val="none" w:sz="0" w:space="0" w:color="auto"/>
      </w:divBdr>
    </w:div>
    <w:div w:id="489324464">
      <w:bodyDiv w:val="1"/>
      <w:marLeft w:val="0"/>
      <w:marRight w:val="0"/>
      <w:marTop w:val="0"/>
      <w:marBottom w:val="0"/>
      <w:divBdr>
        <w:top w:val="none" w:sz="0" w:space="0" w:color="auto"/>
        <w:left w:val="none" w:sz="0" w:space="0" w:color="auto"/>
        <w:bottom w:val="none" w:sz="0" w:space="0" w:color="auto"/>
        <w:right w:val="none" w:sz="0" w:space="0" w:color="auto"/>
      </w:divBdr>
    </w:div>
    <w:div w:id="531774059">
      <w:bodyDiv w:val="1"/>
      <w:marLeft w:val="0"/>
      <w:marRight w:val="0"/>
      <w:marTop w:val="0"/>
      <w:marBottom w:val="0"/>
      <w:divBdr>
        <w:top w:val="none" w:sz="0" w:space="0" w:color="auto"/>
        <w:left w:val="none" w:sz="0" w:space="0" w:color="auto"/>
        <w:bottom w:val="none" w:sz="0" w:space="0" w:color="auto"/>
        <w:right w:val="none" w:sz="0" w:space="0" w:color="auto"/>
      </w:divBdr>
    </w:div>
    <w:div w:id="542134101">
      <w:bodyDiv w:val="1"/>
      <w:marLeft w:val="0"/>
      <w:marRight w:val="0"/>
      <w:marTop w:val="0"/>
      <w:marBottom w:val="0"/>
      <w:divBdr>
        <w:top w:val="none" w:sz="0" w:space="0" w:color="auto"/>
        <w:left w:val="none" w:sz="0" w:space="0" w:color="auto"/>
        <w:bottom w:val="none" w:sz="0" w:space="0" w:color="auto"/>
        <w:right w:val="none" w:sz="0" w:space="0" w:color="auto"/>
      </w:divBdr>
    </w:div>
    <w:div w:id="577178131">
      <w:bodyDiv w:val="1"/>
      <w:marLeft w:val="0"/>
      <w:marRight w:val="0"/>
      <w:marTop w:val="0"/>
      <w:marBottom w:val="0"/>
      <w:divBdr>
        <w:top w:val="none" w:sz="0" w:space="0" w:color="auto"/>
        <w:left w:val="none" w:sz="0" w:space="0" w:color="auto"/>
        <w:bottom w:val="none" w:sz="0" w:space="0" w:color="auto"/>
        <w:right w:val="none" w:sz="0" w:space="0" w:color="auto"/>
      </w:divBdr>
    </w:div>
    <w:div w:id="646861749">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41105385">
      <w:bodyDiv w:val="1"/>
      <w:marLeft w:val="0"/>
      <w:marRight w:val="0"/>
      <w:marTop w:val="0"/>
      <w:marBottom w:val="0"/>
      <w:divBdr>
        <w:top w:val="none" w:sz="0" w:space="0" w:color="auto"/>
        <w:left w:val="none" w:sz="0" w:space="0" w:color="auto"/>
        <w:bottom w:val="none" w:sz="0" w:space="0" w:color="auto"/>
        <w:right w:val="none" w:sz="0" w:space="0" w:color="auto"/>
      </w:divBdr>
    </w:div>
    <w:div w:id="754741145">
      <w:bodyDiv w:val="1"/>
      <w:marLeft w:val="0"/>
      <w:marRight w:val="0"/>
      <w:marTop w:val="0"/>
      <w:marBottom w:val="0"/>
      <w:divBdr>
        <w:top w:val="none" w:sz="0" w:space="0" w:color="auto"/>
        <w:left w:val="none" w:sz="0" w:space="0" w:color="auto"/>
        <w:bottom w:val="none" w:sz="0" w:space="0" w:color="auto"/>
        <w:right w:val="none" w:sz="0" w:space="0" w:color="auto"/>
      </w:divBdr>
    </w:div>
    <w:div w:id="774397572">
      <w:bodyDiv w:val="1"/>
      <w:marLeft w:val="0"/>
      <w:marRight w:val="0"/>
      <w:marTop w:val="0"/>
      <w:marBottom w:val="0"/>
      <w:divBdr>
        <w:top w:val="none" w:sz="0" w:space="0" w:color="auto"/>
        <w:left w:val="none" w:sz="0" w:space="0" w:color="auto"/>
        <w:bottom w:val="none" w:sz="0" w:space="0" w:color="auto"/>
        <w:right w:val="none" w:sz="0" w:space="0" w:color="auto"/>
      </w:divBdr>
    </w:div>
    <w:div w:id="811366351">
      <w:bodyDiv w:val="1"/>
      <w:marLeft w:val="0"/>
      <w:marRight w:val="0"/>
      <w:marTop w:val="0"/>
      <w:marBottom w:val="0"/>
      <w:divBdr>
        <w:top w:val="none" w:sz="0" w:space="0" w:color="auto"/>
        <w:left w:val="none" w:sz="0" w:space="0" w:color="auto"/>
        <w:bottom w:val="none" w:sz="0" w:space="0" w:color="auto"/>
        <w:right w:val="none" w:sz="0" w:space="0" w:color="auto"/>
      </w:divBdr>
    </w:div>
    <w:div w:id="860119806">
      <w:bodyDiv w:val="1"/>
      <w:marLeft w:val="0"/>
      <w:marRight w:val="0"/>
      <w:marTop w:val="0"/>
      <w:marBottom w:val="0"/>
      <w:divBdr>
        <w:top w:val="none" w:sz="0" w:space="0" w:color="auto"/>
        <w:left w:val="none" w:sz="0" w:space="0" w:color="auto"/>
        <w:bottom w:val="none" w:sz="0" w:space="0" w:color="auto"/>
        <w:right w:val="none" w:sz="0" w:space="0" w:color="auto"/>
      </w:divBdr>
    </w:div>
    <w:div w:id="865019163">
      <w:bodyDiv w:val="1"/>
      <w:marLeft w:val="0"/>
      <w:marRight w:val="0"/>
      <w:marTop w:val="0"/>
      <w:marBottom w:val="0"/>
      <w:divBdr>
        <w:top w:val="none" w:sz="0" w:space="0" w:color="auto"/>
        <w:left w:val="none" w:sz="0" w:space="0" w:color="auto"/>
        <w:bottom w:val="none" w:sz="0" w:space="0" w:color="auto"/>
        <w:right w:val="none" w:sz="0" w:space="0" w:color="auto"/>
      </w:divBdr>
    </w:div>
    <w:div w:id="875044295">
      <w:bodyDiv w:val="1"/>
      <w:marLeft w:val="0"/>
      <w:marRight w:val="0"/>
      <w:marTop w:val="0"/>
      <w:marBottom w:val="0"/>
      <w:divBdr>
        <w:top w:val="none" w:sz="0" w:space="0" w:color="auto"/>
        <w:left w:val="none" w:sz="0" w:space="0" w:color="auto"/>
        <w:bottom w:val="none" w:sz="0" w:space="0" w:color="auto"/>
        <w:right w:val="none" w:sz="0" w:space="0" w:color="auto"/>
      </w:divBdr>
    </w:div>
    <w:div w:id="914779744">
      <w:bodyDiv w:val="1"/>
      <w:marLeft w:val="0"/>
      <w:marRight w:val="0"/>
      <w:marTop w:val="0"/>
      <w:marBottom w:val="0"/>
      <w:divBdr>
        <w:top w:val="none" w:sz="0" w:space="0" w:color="auto"/>
        <w:left w:val="none" w:sz="0" w:space="0" w:color="auto"/>
        <w:bottom w:val="none" w:sz="0" w:space="0" w:color="auto"/>
        <w:right w:val="none" w:sz="0" w:space="0" w:color="auto"/>
      </w:divBdr>
    </w:div>
    <w:div w:id="954288822">
      <w:bodyDiv w:val="1"/>
      <w:marLeft w:val="0"/>
      <w:marRight w:val="0"/>
      <w:marTop w:val="0"/>
      <w:marBottom w:val="0"/>
      <w:divBdr>
        <w:top w:val="none" w:sz="0" w:space="0" w:color="auto"/>
        <w:left w:val="none" w:sz="0" w:space="0" w:color="auto"/>
        <w:bottom w:val="none" w:sz="0" w:space="0" w:color="auto"/>
        <w:right w:val="none" w:sz="0" w:space="0" w:color="auto"/>
      </w:divBdr>
    </w:div>
    <w:div w:id="1057128384">
      <w:bodyDiv w:val="1"/>
      <w:marLeft w:val="0"/>
      <w:marRight w:val="0"/>
      <w:marTop w:val="0"/>
      <w:marBottom w:val="0"/>
      <w:divBdr>
        <w:top w:val="none" w:sz="0" w:space="0" w:color="auto"/>
        <w:left w:val="none" w:sz="0" w:space="0" w:color="auto"/>
        <w:bottom w:val="none" w:sz="0" w:space="0" w:color="auto"/>
        <w:right w:val="none" w:sz="0" w:space="0" w:color="auto"/>
      </w:divBdr>
    </w:div>
    <w:div w:id="1214537906">
      <w:bodyDiv w:val="1"/>
      <w:marLeft w:val="0"/>
      <w:marRight w:val="0"/>
      <w:marTop w:val="0"/>
      <w:marBottom w:val="0"/>
      <w:divBdr>
        <w:top w:val="none" w:sz="0" w:space="0" w:color="auto"/>
        <w:left w:val="none" w:sz="0" w:space="0" w:color="auto"/>
        <w:bottom w:val="none" w:sz="0" w:space="0" w:color="auto"/>
        <w:right w:val="none" w:sz="0" w:space="0" w:color="auto"/>
      </w:divBdr>
    </w:div>
    <w:div w:id="1217356289">
      <w:bodyDiv w:val="1"/>
      <w:marLeft w:val="0"/>
      <w:marRight w:val="0"/>
      <w:marTop w:val="0"/>
      <w:marBottom w:val="0"/>
      <w:divBdr>
        <w:top w:val="none" w:sz="0" w:space="0" w:color="auto"/>
        <w:left w:val="none" w:sz="0" w:space="0" w:color="auto"/>
        <w:bottom w:val="none" w:sz="0" w:space="0" w:color="auto"/>
        <w:right w:val="none" w:sz="0" w:space="0" w:color="auto"/>
      </w:divBdr>
    </w:div>
    <w:div w:id="1303190207">
      <w:bodyDiv w:val="1"/>
      <w:marLeft w:val="0"/>
      <w:marRight w:val="0"/>
      <w:marTop w:val="0"/>
      <w:marBottom w:val="0"/>
      <w:divBdr>
        <w:top w:val="none" w:sz="0" w:space="0" w:color="auto"/>
        <w:left w:val="none" w:sz="0" w:space="0" w:color="auto"/>
        <w:bottom w:val="none" w:sz="0" w:space="0" w:color="auto"/>
        <w:right w:val="none" w:sz="0" w:space="0" w:color="auto"/>
      </w:divBdr>
    </w:div>
    <w:div w:id="1329594732">
      <w:bodyDiv w:val="1"/>
      <w:marLeft w:val="0"/>
      <w:marRight w:val="0"/>
      <w:marTop w:val="0"/>
      <w:marBottom w:val="0"/>
      <w:divBdr>
        <w:top w:val="none" w:sz="0" w:space="0" w:color="auto"/>
        <w:left w:val="none" w:sz="0" w:space="0" w:color="auto"/>
        <w:bottom w:val="none" w:sz="0" w:space="0" w:color="auto"/>
        <w:right w:val="none" w:sz="0" w:space="0" w:color="auto"/>
      </w:divBdr>
    </w:div>
    <w:div w:id="1473592757">
      <w:bodyDiv w:val="1"/>
      <w:marLeft w:val="0"/>
      <w:marRight w:val="0"/>
      <w:marTop w:val="0"/>
      <w:marBottom w:val="0"/>
      <w:divBdr>
        <w:top w:val="none" w:sz="0" w:space="0" w:color="auto"/>
        <w:left w:val="none" w:sz="0" w:space="0" w:color="auto"/>
        <w:bottom w:val="none" w:sz="0" w:space="0" w:color="auto"/>
        <w:right w:val="none" w:sz="0" w:space="0" w:color="auto"/>
      </w:divBdr>
    </w:div>
    <w:div w:id="1586722113">
      <w:bodyDiv w:val="1"/>
      <w:marLeft w:val="0"/>
      <w:marRight w:val="0"/>
      <w:marTop w:val="0"/>
      <w:marBottom w:val="0"/>
      <w:divBdr>
        <w:top w:val="none" w:sz="0" w:space="0" w:color="auto"/>
        <w:left w:val="none" w:sz="0" w:space="0" w:color="auto"/>
        <w:bottom w:val="none" w:sz="0" w:space="0" w:color="auto"/>
        <w:right w:val="none" w:sz="0" w:space="0" w:color="auto"/>
      </w:divBdr>
    </w:div>
    <w:div w:id="1806267948">
      <w:bodyDiv w:val="1"/>
      <w:marLeft w:val="0"/>
      <w:marRight w:val="0"/>
      <w:marTop w:val="0"/>
      <w:marBottom w:val="0"/>
      <w:divBdr>
        <w:top w:val="none" w:sz="0" w:space="0" w:color="auto"/>
        <w:left w:val="none" w:sz="0" w:space="0" w:color="auto"/>
        <w:bottom w:val="none" w:sz="0" w:space="0" w:color="auto"/>
        <w:right w:val="none" w:sz="0" w:space="0" w:color="auto"/>
      </w:divBdr>
    </w:div>
    <w:div w:id="1820145521">
      <w:bodyDiv w:val="1"/>
      <w:marLeft w:val="0"/>
      <w:marRight w:val="0"/>
      <w:marTop w:val="0"/>
      <w:marBottom w:val="0"/>
      <w:divBdr>
        <w:top w:val="none" w:sz="0" w:space="0" w:color="auto"/>
        <w:left w:val="none" w:sz="0" w:space="0" w:color="auto"/>
        <w:bottom w:val="none" w:sz="0" w:space="0" w:color="auto"/>
        <w:right w:val="none" w:sz="0" w:space="0" w:color="auto"/>
      </w:divBdr>
    </w:div>
    <w:div w:id="1850411506">
      <w:bodyDiv w:val="1"/>
      <w:marLeft w:val="0"/>
      <w:marRight w:val="0"/>
      <w:marTop w:val="0"/>
      <w:marBottom w:val="0"/>
      <w:divBdr>
        <w:top w:val="none" w:sz="0" w:space="0" w:color="auto"/>
        <w:left w:val="none" w:sz="0" w:space="0" w:color="auto"/>
        <w:bottom w:val="none" w:sz="0" w:space="0" w:color="auto"/>
        <w:right w:val="none" w:sz="0" w:space="0" w:color="auto"/>
      </w:divBdr>
    </w:div>
    <w:div w:id="1853718168">
      <w:bodyDiv w:val="1"/>
      <w:marLeft w:val="0"/>
      <w:marRight w:val="0"/>
      <w:marTop w:val="0"/>
      <w:marBottom w:val="0"/>
      <w:divBdr>
        <w:top w:val="none" w:sz="0" w:space="0" w:color="auto"/>
        <w:left w:val="none" w:sz="0" w:space="0" w:color="auto"/>
        <w:bottom w:val="none" w:sz="0" w:space="0" w:color="auto"/>
        <w:right w:val="none" w:sz="0" w:space="0" w:color="auto"/>
      </w:divBdr>
    </w:div>
    <w:div w:id="1881820025">
      <w:bodyDiv w:val="1"/>
      <w:marLeft w:val="0"/>
      <w:marRight w:val="0"/>
      <w:marTop w:val="0"/>
      <w:marBottom w:val="0"/>
      <w:divBdr>
        <w:top w:val="none" w:sz="0" w:space="0" w:color="auto"/>
        <w:left w:val="none" w:sz="0" w:space="0" w:color="auto"/>
        <w:bottom w:val="none" w:sz="0" w:space="0" w:color="auto"/>
        <w:right w:val="none" w:sz="0" w:space="0" w:color="auto"/>
      </w:divBdr>
    </w:div>
    <w:div w:id="1983147031">
      <w:bodyDiv w:val="1"/>
      <w:marLeft w:val="0"/>
      <w:marRight w:val="0"/>
      <w:marTop w:val="0"/>
      <w:marBottom w:val="0"/>
      <w:divBdr>
        <w:top w:val="none" w:sz="0" w:space="0" w:color="auto"/>
        <w:left w:val="none" w:sz="0" w:space="0" w:color="auto"/>
        <w:bottom w:val="none" w:sz="0" w:space="0" w:color="auto"/>
        <w:right w:val="none" w:sz="0" w:space="0" w:color="auto"/>
      </w:divBdr>
    </w:div>
    <w:div w:id="2031682666">
      <w:bodyDiv w:val="1"/>
      <w:marLeft w:val="0"/>
      <w:marRight w:val="0"/>
      <w:marTop w:val="0"/>
      <w:marBottom w:val="0"/>
      <w:divBdr>
        <w:top w:val="none" w:sz="0" w:space="0" w:color="auto"/>
        <w:left w:val="none" w:sz="0" w:space="0" w:color="auto"/>
        <w:bottom w:val="none" w:sz="0" w:space="0" w:color="auto"/>
        <w:right w:val="none" w:sz="0" w:space="0" w:color="auto"/>
      </w:divBdr>
    </w:div>
    <w:div w:id="2068340575">
      <w:bodyDiv w:val="1"/>
      <w:marLeft w:val="0"/>
      <w:marRight w:val="0"/>
      <w:marTop w:val="0"/>
      <w:marBottom w:val="0"/>
      <w:divBdr>
        <w:top w:val="none" w:sz="0" w:space="0" w:color="auto"/>
        <w:left w:val="none" w:sz="0" w:space="0" w:color="auto"/>
        <w:bottom w:val="none" w:sz="0" w:space="0" w:color="auto"/>
        <w:right w:val="none" w:sz="0" w:space="0" w:color="auto"/>
      </w:divBdr>
    </w:div>
    <w:div w:id="2071926468">
      <w:bodyDiv w:val="1"/>
      <w:marLeft w:val="0"/>
      <w:marRight w:val="0"/>
      <w:marTop w:val="0"/>
      <w:marBottom w:val="0"/>
      <w:divBdr>
        <w:top w:val="none" w:sz="0" w:space="0" w:color="auto"/>
        <w:left w:val="none" w:sz="0" w:space="0" w:color="auto"/>
        <w:bottom w:val="none" w:sz="0" w:space="0" w:color="auto"/>
        <w:right w:val="none" w:sz="0" w:space="0" w:color="auto"/>
      </w:divBdr>
    </w:div>
    <w:div w:id="21380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file:///C:/Documents%20and%20Settings/JABRODIE/My%20Documents/Alliance%20with%20ICON%20and%20Parexel/CSA%20templates/www.clinicaltrial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icmje.org/icmje-recommendations.pdf"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yperlink" Target="http://dpo.pfize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XMLData TextToDisplay="%HOSTNAME%">PRAG-HSJT2F3.iconcr.com</XML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XMLData TextToDisplay="%DOCUMENTGUID%">{00000000-0000-0000-0000-000000000000}</XMLData>
</file>

<file path=customXml/item4.xml><?xml version="1.0" encoding="utf-8"?>
<ct:contentTypeSchema xmlns:ct="http://schemas.microsoft.com/office/2006/metadata/contentType" xmlns:ma="http://schemas.microsoft.com/office/2006/metadata/properties/metaAttributes" ct:_="" ma:_="" ma:contentTypeName="Document" ma:contentTypeID="0x010100DD95DCC83FD448428FD529F584E2EB35" ma:contentTypeVersion="0" ma:contentTypeDescription="Create a new document." ma:contentTypeScope="" ma:versionID="0e143a240e70407fcee42b63dd0e03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Data TextToDisplay="%USERNAME%">laclj</XML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XMLData TextToDisplay="%EMAILADDRESS%">Jakub.Lacl@docsglobal.com</XMLData>
</file>

<file path=customXml/item8.xml><?xml version="1.0" encoding="utf-8"?>
<XMLData TextToDisplay="%CLASSIFICATIONDATETIME%">12:40 03/06/2022</XMLData>
</file>

<file path=customXml/item9.xml><?xml version="1.0" encoding="utf-8"?>
<XMLData TextToDisplay="RightsWATCHMark">4|ICN-ICN-INTERNAL|{00000000-0000-0000-0000-000000000000}</XMLData>
</file>

<file path=customXml/itemProps1.xml><?xml version="1.0" encoding="utf-8"?>
<ds:datastoreItem xmlns:ds="http://schemas.openxmlformats.org/officeDocument/2006/customXml" ds:itemID="{14CD749E-FCBD-4282-8649-B9007F7E416A}">
  <ds:schemaRefs>
    <ds:schemaRef ds:uri="http://schemas.microsoft.com/sharepoint/v3/contenttype/forms"/>
  </ds:schemaRefs>
</ds:datastoreItem>
</file>

<file path=customXml/itemProps10.xml><?xml version="1.0" encoding="utf-8"?>
<ds:datastoreItem xmlns:ds="http://schemas.openxmlformats.org/officeDocument/2006/customXml" ds:itemID="{D2046ABF-6BFA-4344-BFFD-176E9BEE3B3C}">
  <ds:schemaRefs/>
</ds:datastoreItem>
</file>

<file path=customXml/itemProps2.xml><?xml version="1.0" encoding="utf-8"?>
<ds:datastoreItem xmlns:ds="http://schemas.openxmlformats.org/officeDocument/2006/customXml" ds:itemID="{897655FA-7EDE-403E-B835-0AA142BA9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CB1AA-59A9-409B-AD97-6EC862961A7B}">
  <ds:schemaRefs/>
</ds:datastoreItem>
</file>

<file path=customXml/itemProps4.xml><?xml version="1.0" encoding="utf-8"?>
<ds:datastoreItem xmlns:ds="http://schemas.openxmlformats.org/officeDocument/2006/customXml" ds:itemID="{F9E679AE-FA1F-4BD9-8259-0575A2F3C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D78F6F1-40DB-4F14-9DBF-62CA884A3205}">
  <ds:schemaRefs/>
</ds:datastoreItem>
</file>

<file path=customXml/itemProps6.xml><?xml version="1.0" encoding="utf-8"?>
<ds:datastoreItem xmlns:ds="http://schemas.openxmlformats.org/officeDocument/2006/customXml" ds:itemID="{0E0F4F4F-BC2D-4B01-9AC2-7B213D070B21}">
  <ds:schemaRefs>
    <ds:schemaRef ds:uri="http://schemas.openxmlformats.org/officeDocument/2006/bibliography"/>
  </ds:schemaRefs>
</ds:datastoreItem>
</file>

<file path=customXml/itemProps7.xml><?xml version="1.0" encoding="utf-8"?>
<ds:datastoreItem xmlns:ds="http://schemas.openxmlformats.org/officeDocument/2006/customXml" ds:itemID="{0ECD0A1E-3D3F-4397-A251-0F597A8443FD}">
  <ds:schemaRefs/>
</ds:datastoreItem>
</file>

<file path=customXml/itemProps8.xml><?xml version="1.0" encoding="utf-8"?>
<ds:datastoreItem xmlns:ds="http://schemas.openxmlformats.org/officeDocument/2006/customXml" ds:itemID="{E084CA16-6302-4F66-BE92-9C67E6F24E1D}">
  <ds:schemaRefs/>
</ds:datastoreItem>
</file>

<file path=customXml/itemProps9.xml><?xml version="1.0" encoding="utf-8"?>
<ds:datastoreItem xmlns:ds="http://schemas.openxmlformats.org/officeDocument/2006/customXml" ds:itemID="{965E622B-DCFC-4831-BC68-6B2D82A50EE5}">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40</Pages>
  <Words>14180</Words>
  <Characters>83664</Characters>
  <Application>Microsoft Office Word</Application>
  <DocSecurity>0</DocSecurity>
  <Lines>697</Lines>
  <Paragraphs>195</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Pfizer Inc</Company>
  <LinksUpToDate>false</LinksUpToDate>
  <CharactersWithSpaces>97649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mollart_a</dc:creator>
  <cp:keywords/>
  <dc:description/>
  <cp:lastModifiedBy>Hojdyszová, Dominika</cp:lastModifiedBy>
  <cp:revision>30</cp:revision>
  <dcterms:created xsi:type="dcterms:W3CDTF">2022-06-14T12:05:00Z</dcterms:created>
  <dcterms:modified xsi:type="dcterms:W3CDTF">2022-09-12T13:11:00Z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0x010100DD95DCC83FD448428FD529F584E2EB35</vt:lpwstr>
  </property>
  <property fmtid="{D5CDD505-2E9C-101B-9397-08002B2CF9AE}" pid="3" name="ChronicleID">
    <vt:lpwstr/>
  </property>
  <property fmtid="{D5CDD505-2E9C-101B-9397-08002B2CF9AE}" pid="4" name="RepoID">
    <vt:lpwstr/>
  </property>
  <property fmtid="{D5CDD505-2E9C-101B-9397-08002B2CF9AE}" pid="5" name="RightsWATCHMark">
    <vt:lpwstr>4|ICN-ICN-INTERNAL|{00000000-0000-0000-0000-000000000000}</vt:lpwstr>
  </property>
</Properties>
</file>