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C669" w14:textId="77777777" w:rsidR="00CD443F" w:rsidRPr="00570147" w:rsidRDefault="00CD443F" w:rsidP="00CD443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14:paraId="47195E72" w14:textId="77777777" w:rsidR="00CD443F" w:rsidRPr="00570147" w:rsidRDefault="00CD443F" w:rsidP="00CD443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Níže uvede</w:t>
      </w:r>
      <w:r w:rsidR="009A798B"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ného dne, měsíce a roku uzavřely smluvní strany</w:t>
      </w:r>
    </w:p>
    <w:p w14:paraId="33490D03" w14:textId="77777777" w:rsidR="00CD443F" w:rsidRPr="00570147" w:rsidRDefault="00CD443F" w:rsidP="00CD443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</w:p>
    <w:p w14:paraId="1484FE84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JUDr. Marek G</w:t>
      </w:r>
      <w:r w:rsidR="00254DB1"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örges</w:t>
      </w: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advokát</w:t>
      </w:r>
    </w:p>
    <w:p w14:paraId="4D24B9F0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advokátní kanceláře GÖRGES &amp; PARTNERS</w:t>
      </w:r>
    </w:p>
    <w:p w14:paraId="14FDF791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ev. č. ČAK 09628</w:t>
      </w:r>
    </w:p>
    <w:p w14:paraId="6E0F452C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IČ 64374165, DIČ CZ7205292028</w:t>
      </w:r>
    </w:p>
    <w:p w14:paraId="5ADD9E78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se sídlem Žižkova 52, 301 00 Plzeň</w:t>
      </w:r>
    </w:p>
    <w:p w14:paraId="03155A9B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(dále jen jako </w:t>
      </w: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„Advokát“</w:t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6541AD32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39E3C8C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</w:p>
    <w:p w14:paraId="08858820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highlight w:val="yellow"/>
          <w:lang w:eastAsia="en-US"/>
        </w:rPr>
      </w:pPr>
    </w:p>
    <w:p w14:paraId="05C3EF1F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Statutární město Plzeň</w:t>
      </w:r>
    </w:p>
    <w:p w14:paraId="48B93447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IČ 00075</w:t>
      </w:r>
      <w:r w:rsidR="00904539"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70</w:t>
      </w:r>
    </w:p>
    <w:p w14:paraId="04177498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se sídlem náměstí Republiky 1/1, Vnitřní Město, 301 00 Plzeň</w:t>
      </w:r>
    </w:p>
    <w:p w14:paraId="12E094CF" w14:textId="77777777" w:rsidR="00CD443F" w:rsidRPr="00570147" w:rsidRDefault="00CD443F" w:rsidP="00CD443F">
      <w:pPr>
        <w:autoSpaceDE w:val="0"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zastoupené </w:t>
      </w:r>
      <w:r w:rsidR="003609A7"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Ing. Hanou Kuglerovou, MBA, ředitelkou Ekonomického úřadu</w:t>
      </w:r>
    </w:p>
    <w:p w14:paraId="4CB97568" w14:textId="77777777" w:rsidR="00CD443F" w:rsidRPr="00570147" w:rsidRDefault="00CD443F" w:rsidP="00CD443F">
      <w:pPr>
        <w:autoSpaceDE w:val="0"/>
        <w:autoSpaceDN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70147">
        <w:rPr>
          <w:rFonts w:asciiTheme="minorHAnsi" w:hAnsiTheme="minorHAnsi" w:cstheme="minorHAnsi"/>
          <w:sz w:val="22"/>
          <w:szCs w:val="22"/>
        </w:rPr>
        <w:t xml:space="preserve">(dále jen jako </w:t>
      </w:r>
      <w:r w:rsidRPr="00570147">
        <w:rPr>
          <w:rFonts w:asciiTheme="minorHAnsi" w:hAnsiTheme="minorHAnsi" w:cstheme="minorHAnsi"/>
          <w:b/>
          <w:sz w:val="22"/>
          <w:szCs w:val="22"/>
        </w:rPr>
        <w:t>„Klient“</w:t>
      </w:r>
      <w:r w:rsidRPr="00570147">
        <w:rPr>
          <w:rFonts w:asciiTheme="minorHAnsi" w:hAnsiTheme="minorHAnsi" w:cstheme="minorHAnsi"/>
          <w:sz w:val="22"/>
          <w:szCs w:val="22"/>
        </w:rPr>
        <w:t>)</w:t>
      </w:r>
    </w:p>
    <w:p w14:paraId="01D9F711" w14:textId="77777777" w:rsidR="00CD443F" w:rsidRPr="00570147" w:rsidRDefault="00CD443F" w:rsidP="00CD443F">
      <w:pPr>
        <w:autoSpaceDE w:val="0"/>
        <w:autoSpaceDN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1E80A50" w14:textId="77777777" w:rsidR="00CD443F" w:rsidRPr="00FA02D0" w:rsidRDefault="00CD443F" w:rsidP="00CD443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tuto</w:t>
      </w:r>
    </w:p>
    <w:p w14:paraId="5DE06F50" w14:textId="77777777" w:rsidR="00CD443F" w:rsidRPr="00570147" w:rsidRDefault="00CD443F" w:rsidP="00CD443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SMLOUVU O POSKYTOVÁNÍ PRÁVNÍCH SLUŽEB</w:t>
      </w:r>
    </w:p>
    <w:p w14:paraId="061B2F26" w14:textId="77777777" w:rsidR="00CD443F" w:rsidRPr="00570147" w:rsidRDefault="00CD443F" w:rsidP="00CD443F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BEC8B89" w14:textId="77777777" w:rsidR="00CD443F" w:rsidRPr="00570147" w:rsidRDefault="00CD443F" w:rsidP="00CD443F">
      <w:pPr>
        <w:numPr>
          <w:ilvl w:val="0"/>
          <w:numId w:val="4"/>
        </w:num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1" w:name="_Toc44987784"/>
      <w:bookmarkStart w:id="2" w:name="_Ref70762481"/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  <w:t>Předmět právních služeb</w:t>
      </w:r>
    </w:p>
    <w:p w14:paraId="1CB1F298" w14:textId="77777777" w:rsidR="00CD443F" w:rsidRPr="00570147" w:rsidRDefault="00B314A6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3" w:name="_Ref392086922"/>
      <w:bookmarkEnd w:id="1"/>
      <w:bookmarkEnd w:id="2"/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 touto smlouvou zavazuje poskytnout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727757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lientovi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uveden</w:t>
      </w:r>
      <w:r w:rsidR="00982A3C">
        <w:rPr>
          <w:rFonts w:asciiTheme="minorHAnsi" w:eastAsia="Calibri" w:hAnsiTheme="minorHAnsi" w:cstheme="minorHAnsi"/>
          <w:sz w:val="22"/>
          <w:szCs w:val="22"/>
          <w:lang w:eastAsia="en-US"/>
        </w:rPr>
        <w:t>ou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právní </w:t>
      </w:r>
      <w:r w:rsidR="00134DF0">
        <w:rPr>
          <w:rFonts w:asciiTheme="minorHAnsi" w:eastAsia="Calibri" w:hAnsiTheme="minorHAnsi" w:cstheme="minorHAnsi"/>
          <w:sz w:val="22"/>
          <w:szCs w:val="22"/>
          <w:lang w:eastAsia="en-US"/>
        </w:rPr>
        <w:t>službu spočívající v právních konzultacích poskytnutých osobní a písemnou formou dle zadání Klienta a Klient se zavazuje zaplatit mu za to sjednanou úplatu</w:t>
      </w:r>
      <w:bookmarkEnd w:id="3"/>
      <w:r w:rsidR="00134D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71B4734E" w14:textId="77777777" w:rsidR="00134DF0" w:rsidRDefault="004A3AFB" w:rsidP="00134DF0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Předmětem právní služby dle odst. 1.1 smlouvy </w:t>
      </w:r>
      <w:r w:rsidR="00134DF0">
        <w:rPr>
          <w:rFonts w:asciiTheme="minorHAnsi" w:eastAsia="Calibri" w:hAnsiTheme="minorHAnsi" w:cstheme="minorHAnsi"/>
          <w:sz w:val="22"/>
          <w:szCs w:val="22"/>
          <w:lang w:eastAsia="en-US"/>
        </w:rPr>
        <w:t>je: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2B8591E" w14:textId="705EE25B" w:rsidR="00134DF0" w:rsidRPr="002304B0" w:rsidRDefault="00134DF0" w:rsidP="004158AE">
      <w:pPr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>a)</w:t>
      </w:r>
      <w:r w:rsidR="00CC0661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C688F">
        <w:rPr>
          <w:rFonts w:asciiTheme="minorHAnsi" w:eastAsia="Calibri" w:hAnsiTheme="minorHAnsi" w:cstheme="minorHAnsi"/>
          <w:sz w:val="22"/>
          <w:szCs w:val="22"/>
          <w:lang w:eastAsia="en-US"/>
        </w:rPr>
        <w:t>právní pomoc ve věci probíhajícího</w:t>
      </w:r>
      <w:r w:rsidR="00CC0661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insolvenčního řízení vedeného ve věci dlužníka Sberbank</w:t>
      </w:r>
      <w:r w:rsidR="002304B0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CZ, a.s. v likvidaci, IČ 25083325, se sídlem U Trezorky 921/2, Jinonice, 158 00 Praha 5 </w:t>
      </w:r>
      <w:r w:rsidR="00CC0661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(řízení vedeno u </w:t>
      </w:r>
      <w:r w:rsidR="002304B0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Městského soudu v Praze </w:t>
      </w:r>
      <w:r w:rsidR="00CC0661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 </w:t>
      </w:r>
      <w:proofErr w:type="spellStart"/>
      <w:r w:rsidR="00CC0661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>sp</w:t>
      </w:r>
      <w:proofErr w:type="spellEnd"/>
      <w:r w:rsidR="00CC0661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>. zn.</w:t>
      </w:r>
      <w:r w:rsidR="002304B0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MSPH 95 INS 12575/2022</w:t>
      </w:r>
      <w:r w:rsidR="00CC0661" w:rsidRPr="002304B0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230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653FAF62" w14:textId="77777777" w:rsidR="00FA02D0" w:rsidRPr="00F27DC3" w:rsidRDefault="00E94A76" w:rsidP="00F27DC3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bere na vědomí, že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 může dát v rámci pověření podle této smlouvy zastoupit jiným advokátem, při jednotlivých úkonech právní pomoci rovněž může být zastoupen advokátním koncipientem nebo jinou osobu v zaměstnaneckém či obdobném poměru, pokud to připouští právní řád České republiky. </w:t>
      </w:r>
    </w:p>
    <w:p w14:paraId="57383A7C" w14:textId="77777777" w:rsidR="00E94A76" w:rsidRPr="00570147" w:rsidRDefault="00CD443F" w:rsidP="00E94A76">
      <w:pPr>
        <w:numPr>
          <w:ilvl w:val="0"/>
          <w:numId w:val="4"/>
        </w:num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  <w:t>Odměna advokáta, náhrada vynaložených nákladů</w:t>
      </w:r>
    </w:p>
    <w:p w14:paraId="232898DD" w14:textId="5681C0D6" w:rsidR="00E94A76" w:rsidRPr="00CC0661" w:rsidRDefault="00CD443F" w:rsidP="00E94A76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poskytnutí právních služeb </w:t>
      </w:r>
      <w:r w:rsidR="00E94A76"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vymezených v odst. 1.1. této smlouvy </w:t>
      </w:r>
      <w:r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náleží </w:t>
      </w:r>
      <w:r w:rsidR="00E94A76"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>Advokátovi</w:t>
      </w:r>
      <w:r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94A76"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odměna ve </w:t>
      </w:r>
      <w:r w:rsidR="00E94A76" w:rsidRPr="001C68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výši </w:t>
      </w:r>
      <w:r w:rsidR="00134DF0" w:rsidRPr="001C688F">
        <w:rPr>
          <w:rFonts w:asciiTheme="minorHAnsi" w:eastAsia="Calibri" w:hAnsiTheme="minorHAnsi" w:cstheme="minorHAnsi"/>
          <w:sz w:val="22"/>
          <w:szCs w:val="22"/>
          <w:lang w:eastAsia="en-US"/>
        </w:rPr>
        <w:t>1.7</w:t>
      </w:r>
      <w:r w:rsidR="008A2F5E" w:rsidRPr="001C688F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134DF0" w:rsidRPr="001C688F">
        <w:rPr>
          <w:rFonts w:asciiTheme="minorHAnsi" w:eastAsia="Calibri" w:hAnsiTheme="minorHAnsi" w:cstheme="minorHAnsi"/>
          <w:sz w:val="22"/>
          <w:szCs w:val="22"/>
          <w:lang w:eastAsia="en-US"/>
        </w:rPr>
        <w:t>0 Kč</w:t>
      </w:r>
      <w:r w:rsidR="00372C63" w:rsidRPr="001C68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</w:t>
      </w:r>
      <w:r w:rsidR="00372C63"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hodinu, pokud nebude rozsah právních služeb v celých hodinách, pak se ve vztahu k započaté hodině poskytuje poměrná část odměny za každou započatou čtvrthodinu</w:t>
      </w:r>
      <w:r w:rsidR="00E94A76"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72C63"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Maximální výše odměny advokáta dle této smlouvy činí </w:t>
      </w:r>
      <w:r w:rsidR="001C688F">
        <w:rPr>
          <w:rFonts w:asciiTheme="minorHAnsi" w:eastAsia="Calibri" w:hAnsiTheme="minorHAnsi" w:cstheme="minorHAnsi"/>
          <w:sz w:val="22"/>
          <w:szCs w:val="22"/>
          <w:lang w:eastAsia="en-US"/>
        </w:rPr>
        <w:t>80.000 Kč bez DPH.</w:t>
      </w:r>
      <w:r w:rsidR="00FA02D0"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72C63"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94A76" w:rsidRPr="00CC06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77D2CC0" w14:textId="77777777" w:rsidR="00CD443F" w:rsidRPr="00570147" w:rsidRDefault="00CD443F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 výše uvedené odměně bude připočtena </w:t>
      </w:r>
      <w:r w:rsidR="00E94A76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daň z přidané hodnoty dle platných a účinných právních předpisů, v době podpisu této smlouvy činí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94A76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azba </w:t>
      </w:r>
      <w:r w:rsidR="00E94A76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daně z přidané hodnoty 21</w:t>
      </w:r>
      <w:r w:rsidR="00982A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94A76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%. </w:t>
      </w:r>
    </w:p>
    <w:p w14:paraId="482AB31E" w14:textId="77777777" w:rsidR="00CD443F" w:rsidRPr="00570147" w:rsidRDefault="00E94A76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oprávněn požadovat po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Klientovi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přiměřenou zálohu na odměnu za poskytnutí právních služeb. </w:t>
      </w:r>
    </w:p>
    <w:p w14:paraId="292658EC" w14:textId="77777777" w:rsidR="00E94A76" w:rsidRPr="00570147" w:rsidRDefault="00B71948" w:rsidP="00570147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Advokát je oprávněn po poskytnutí právních služeb </w:t>
      </w:r>
      <w:r w:rsidR="005640B8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uvedených v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odst. </w:t>
      </w:r>
      <w:r w:rsidR="005640B8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1.1.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smlouvy vystavit fakturu na o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dměn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u dle této smlouvy se splatností do patnácti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(15) dnů od vystavení faktury.</w:t>
      </w:r>
    </w:p>
    <w:p w14:paraId="3F2E131A" w14:textId="77777777" w:rsidR="008A1A5C" w:rsidRPr="00570147" w:rsidRDefault="00CD443F" w:rsidP="008A1A5C">
      <w:pPr>
        <w:numPr>
          <w:ilvl w:val="0"/>
          <w:numId w:val="4"/>
        </w:num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br/>
        <w:t>Práva a povinnosti smluvních stran</w:t>
      </w:r>
    </w:p>
    <w:p w14:paraId="659F9D37" w14:textId="77777777" w:rsidR="00CD443F" w:rsidRPr="00570147" w:rsidRDefault="008A1A5C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povinen poskytnout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Advokátovi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včasné, úplné a pravdivé informace, potřebné k poskytování právních služeb a dodat mu včas veškeré materiály a podklady, týkající se konkrétní právní věci.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bere na vědomí, že poskytnutí těchto informací a podkladů je nezbytné pro řádné poskytnutí právních služeb.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proto také povinen vyrozumět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Advokáta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skutečnostech, které by zpochybňovaly řádnost, úplnost, pravdivost či včasnost dříve poskytnutých informací. </w:t>
      </w:r>
    </w:p>
    <w:p w14:paraId="375F3FD7" w14:textId="77777777" w:rsidR="00CD443F" w:rsidRPr="00570147" w:rsidRDefault="00CD443F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Vyžaduje-li poskytování právních služeb, aby </w:t>
      </w:r>
      <w:r w:rsidR="008A1A5C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</w:t>
      </w:r>
      <w:r w:rsidR="008A1A5C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Klienta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právně jednal, vystaví </w:t>
      </w:r>
      <w:r w:rsidR="008A1A5C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A1A5C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Advokátovi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včas plnou moc. </w:t>
      </w:r>
    </w:p>
    <w:p w14:paraId="5C20F46B" w14:textId="77777777" w:rsidR="00CD443F" w:rsidRPr="00570147" w:rsidRDefault="008A1A5C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povinen chránit a prosazovat práva a oprávněné zájmy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Klienta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řídit se jeho pokyny.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bere na vědomí, že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není vázán pokyny, které jsou v rozporu s právním nebo stavovským předpisem. </w:t>
      </w:r>
    </w:p>
    <w:p w14:paraId="774D9A7D" w14:textId="77777777" w:rsidR="008A1A5C" w:rsidRPr="00570147" w:rsidRDefault="008A1A5C" w:rsidP="008A1A5C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Advokát 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 povinen zachovávat mlčenlivost o všech skutečnostech, o nichž se dozvěděl v souvislosti s poskytováním právních služeb. Povinnosti mlčenlivosti může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Advokáta 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zprostit pouze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Klient.</w:t>
      </w:r>
    </w:p>
    <w:p w14:paraId="772CA3A5" w14:textId="77777777" w:rsidR="00181CB6" w:rsidRPr="00570147" w:rsidRDefault="002C5340" w:rsidP="008A1A5C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Smluvní strany výslovně deklarují, že žádná ze smluvní strany </w:t>
      </w:r>
      <w:r w:rsidR="005E3624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této smlouvy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nemá vůči druhé smluvní straně postavení slabší smluvní strany ve smyslu ustanovení § 433 zákona č. 89/2012 Sb., občanského zákoníku. </w:t>
      </w:r>
    </w:p>
    <w:p w14:paraId="068EE310" w14:textId="77777777" w:rsidR="00FA02D0" w:rsidRPr="00F27DC3" w:rsidRDefault="00181CB6" w:rsidP="00F27DC3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Každá ze smluvních stran této smlouvy prohlašuje, že disponuje dostatečným odborným, personálním, finančním a věcným potenciálem k plnění této smlouvy a poskytnutí potřebné součinnosti druhé smluvní straně.</w:t>
      </w:r>
    </w:p>
    <w:p w14:paraId="32A98281" w14:textId="77777777" w:rsidR="008A1A5C" w:rsidRPr="00570147" w:rsidRDefault="00CD443F" w:rsidP="008A1A5C">
      <w:pPr>
        <w:numPr>
          <w:ilvl w:val="0"/>
          <w:numId w:val="4"/>
        </w:num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  <w:t>Náhrada újmy</w:t>
      </w:r>
    </w:p>
    <w:p w14:paraId="2C00505A" w14:textId="77777777" w:rsidR="00CD443F" w:rsidRPr="00570147" w:rsidRDefault="00F3381A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povinen nahradit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Klientovi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újmu, která vznikla v důsledku porušení povinností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Advokáta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dle této smlouvy.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odpovídá za újmu způsobenou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Klientovi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tehdy, byla-li újma způsobena v souvislosti s poskytnutými právními službami podle této smlouvy jeho zástupcem nebo jeho zaměstnancem. </w:t>
      </w:r>
    </w:p>
    <w:p w14:paraId="23175D18" w14:textId="4ACFB2B3" w:rsidR="00FA02D0" w:rsidRDefault="00F3381A" w:rsidP="00FA02D0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Výše náhrady škody a/nebo jiné újmy vzniklé z důvodu porušení smluvní a/nebo zákonné povinnosti Advokát</w:t>
      </w:r>
      <w:r w:rsidR="009513A7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 dle dohody smluvních stran omezuje na částku </w:t>
      </w:r>
      <w:r w:rsidR="00CC0661">
        <w:rPr>
          <w:rFonts w:asciiTheme="minorHAnsi" w:eastAsia="Calibri" w:hAnsiTheme="minorHAnsi" w:cstheme="minorHAnsi"/>
          <w:sz w:val="22"/>
          <w:szCs w:val="22"/>
          <w:lang w:eastAsia="en-US"/>
        </w:rPr>
        <w:t>25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.000.000,-</w:t>
      </w:r>
      <w:r w:rsidR="002304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Kč, s výjimkou povinnost k náhradě újmy způsobené člověku na jeho přirozených právech, anebo způsobené úmyslně nebo z hrubé nedbalosti.</w:t>
      </w:r>
    </w:p>
    <w:p w14:paraId="1D075884" w14:textId="77777777" w:rsidR="001C688F" w:rsidRPr="00F27DC3" w:rsidRDefault="001C688F" w:rsidP="001C688F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5B37BC" w14:textId="77777777" w:rsidR="00F3381A" w:rsidRPr="00570147" w:rsidRDefault="00CD443F" w:rsidP="00F3381A">
      <w:pPr>
        <w:numPr>
          <w:ilvl w:val="0"/>
          <w:numId w:val="4"/>
        </w:num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b/>
          <w:sz w:val="22"/>
          <w:szCs w:val="22"/>
          <w:highlight w:val="yellow"/>
          <w:lang w:eastAsia="en-US"/>
        </w:rPr>
        <w:br/>
      </w: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Doba trvání smlouvy</w:t>
      </w:r>
    </w:p>
    <w:p w14:paraId="10761538" w14:textId="77777777" w:rsidR="00570147" w:rsidRPr="00FA02D0" w:rsidRDefault="00CD443F" w:rsidP="00FA02D0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Smlouva se uzavírá na dobu určitou, a to na dobu poskytnutí právní služ</w:t>
      </w:r>
      <w:r w:rsidR="00F73653">
        <w:rPr>
          <w:rFonts w:asciiTheme="minorHAnsi" w:eastAsia="Calibri" w:hAnsiTheme="minorHAnsi" w:cstheme="minorHAnsi"/>
          <w:sz w:val="22"/>
          <w:szCs w:val="22"/>
          <w:lang w:eastAsia="en-US"/>
        </w:rPr>
        <w:t>by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dle odst.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/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REF _Ref392086922 \n \h  \* MERGEFORMAT </w:instrTex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A0569C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1.1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smlouvy. </w:t>
      </w:r>
    </w:p>
    <w:p w14:paraId="1D18CABB" w14:textId="77777777" w:rsidR="00CD443F" w:rsidRPr="00570147" w:rsidRDefault="00CD443F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Smlouva zaniká: </w:t>
      </w:r>
    </w:p>
    <w:p w14:paraId="5B26230D" w14:textId="77777777" w:rsidR="00CD443F" w:rsidRPr="00570147" w:rsidRDefault="00CD443F" w:rsidP="00CD443F">
      <w:pPr>
        <w:numPr>
          <w:ilvl w:val="0"/>
          <w:numId w:val="3"/>
        </w:numPr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písemnou dohodou stran,</w:t>
      </w:r>
    </w:p>
    <w:p w14:paraId="611B8FA0" w14:textId="77777777" w:rsidR="00CD443F" w:rsidRPr="00570147" w:rsidRDefault="00CD443F" w:rsidP="00CD443F">
      <w:pPr>
        <w:numPr>
          <w:ilvl w:val="0"/>
          <w:numId w:val="3"/>
        </w:numPr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poskytnutím právních služeb uvedených v odst.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/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REF _Ref392086922 \n \h  \* MERGEFORMAT </w:instrTex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A0569C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1.1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, tj. posledním úkonem A</w:t>
      </w:r>
      <w:r w:rsidR="003B1285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dvokáta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ve věci, nebo</w:t>
      </w:r>
    </w:p>
    <w:p w14:paraId="7961C829" w14:textId="3DDB917A" w:rsidR="00CD443F" w:rsidRDefault="00CD443F" w:rsidP="00CD443F">
      <w:pPr>
        <w:numPr>
          <w:ilvl w:val="0"/>
          <w:numId w:val="3"/>
        </w:numPr>
        <w:spacing w:line="276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výpovědí.</w:t>
      </w:r>
    </w:p>
    <w:p w14:paraId="2B68C0C6" w14:textId="6CB84265" w:rsidR="001C688F" w:rsidRDefault="001C688F" w:rsidP="001C688F">
      <w:pPr>
        <w:spacing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D80E0E" w14:textId="77777777" w:rsidR="001C688F" w:rsidRPr="00570147" w:rsidRDefault="001C688F" w:rsidP="001C688F">
      <w:pPr>
        <w:spacing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48C155" w14:textId="77777777" w:rsidR="00CD443F" w:rsidRPr="00570147" w:rsidRDefault="00245785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Klient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oprávněn tuto smlouvu vypovědět kdykoliv, a to i bez udání důvodu.</w:t>
      </w:r>
    </w:p>
    <w:p w14:paraId="7D2DBE34" w14:textId="77777777" w:rsidR="00FA02D0" w:rsidRPr="00F73653" w:rsidRDefault="00245785" w:rsidP="00F73653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povinen smlouvu vypovědět, zjistí-li skutečnosti uvedené v § 19 zákona č. 85/1996 Sb., o advokacii.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EE6D969" w14:textId="77777777" w:rsidR="00CD443F" w:rsidRPr="00570147" w:rsidRDefault="00245785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oprávněn tuto smlouvu vypovědět:</w:t>
      </w:r>
    </w:p>
    <w:p w14:paraId="592F692F" w14:textId="77777777" w:rsidR="00CD443F" w:rsidRPr="00570147" w:rsidRDefault="00CD443F" w:rsidP="00CD443F">
      <w:pPr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dojde-li k narušení nezbytné důvěry mezi </w:t>
      </w:r>
      <w:r w:rsidR="00245785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Advokátem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</w:t>
      </w:r>
      <w:r w:rsidR="00245785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Klientem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0AE31A53" w14:textId="77777777" w:rsidR="00CD443F" w:rsidRPr="00570147" w:rsidRDefault="00CD443F" w:rsidP="00CD443F">
      <w:pPr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neposkytuje-li </w:t>
      </w:r>
      <w:r w:rsidR="00245785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potřebnou součinnost,</w:t>
      </w:r>
    </w:p>
    <w:p w14:paraId="4575AB5B" w14:textId="77777777" w:rsidR="00CD443F" w:rsidRPr="00570147" w:rsidRDefault="00CD443F" w:rsidP="00CD443F">
      <w:pPr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pokud </w:t>
      </w:r>
      <w:r w:rsidR="00245785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přes poučení </w:t>
      </w:r>
      <w:r w:rsidR="00245785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Advokátem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tom, že jeho pokyny jsou v rozporu s právním nebo stavovským předpisem, trvá na tom, aby </w:t>
      </w:r>
      <w:r w:rsidR="00245785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přesto postupoval podle těchto pokynů nebo</w:t>
      </w:r>
    </w:p>
    <w:p w14:paraId="4E3BADA8" w14:textId="77777777" w:rsidR="00CD443F" w:rsidRPr="00570147" w:rsidRDefault="00CD443F" w:rsidP="00CD443F">
      <w:pPr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nesložil-li </w:t>
      </w:r>
      <w:r w:rsidR="00245785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přiměřenou zálohu na odměnu za poskytnutí právních služeb, ačkoliv byl o to </w:t>
      </w:r>
      <w:r w:rsidR="00245785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Advokátem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požádán. </w:t>
      </w:r>
    </w:p>
    <w:p w14:paraId="6281D993" w14:textId="77777777" w:rsidR="00CD443F" w:rsidRPr="00570147" w:rsidRDefault="00CD443F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Výpovědní doba se nesjednává, smlouva zaniká okamžikem doručení písemné výpovědi druhé smluvní straně. </w:t>
      </w:r>
    </w:p>
    <w:p w14:paraId="2A84CA8C" w14:textId="77777777" w:rsidR="00570147" w:rsidRPr="0016597C" w:rsidRDefault="00245785" w:rsidP="0016597C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 povinen po dobu patnácti (15) dnů ode dne, kdy tato smlouva zanikla, činit veškeré neodkladné úkony tak, aby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neutrpěl na svých právech nebo oprávněných zájmech újmu. To neplatí, dohodnou-li se smluvní strany jinak,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Klient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učiní jiné opatření nebo sdělí 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Advokátovi</w:t>
      </w:r>
      <w:r w:rsidR="00CD443F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že na splnění této povinnosti netrvá. </w:t>
      </w:r>
    </w:p>
    <w:p w14:paraId="435B3726" w14:textId="77777777" w:rsidR="00245785" w:rsidRPr="00570147" w:rsidRDefault="00CD443F" w:rsidP="00245785">
      <w:pPr>
        <w:numPr>
          <w:ilvl w:val="0"/>
          <w:numId w:val="4"/>
        </w:num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  <w:t>Závěrečná ustanovení</w:t>
      </w:r>
    </w:p>
    <w:p w14:paraId="1D5F81ED" w14:textId="77777777" w:rsidR="00CD443F" w:rsidRPr="00570147" w:rsidRDefault="00CD443F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Smlouva se řídí právním řádem České republiky, zejména zákonem č. 89/2012 Sb., občanským zákoníkem a zákonem č. 85/1996 Sb., o advokacii. </w:t>
      </w:r>
    </w:p>
    <w:p w14:paraId="740821C2" w14:textId="77777777" w:rsidR="00CD443F" w:rsidRPr="00570147" w:rsidRDefault="00CD443F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Tato smlouva se vyhotovuje ve dvou (2) stejnopisech, z nichž každý z účastníků smlouvy obdrží po jednom.</w:t>
      </w:r>
    </w:p>
    <w:p w14:paraId="7704064F" w14:textId="77777777" w:rsidR="00CD443F" w:rsidRPr="00570147" w:rsidRDefault="00CD443F" w:rsidP="00CD443F">
      <w:pPr>
        <w:numPr>
          <w:ilvl w:val="1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Smluvní strany prohlašují, že si </w:t>
      </w:r>
      <w:r w:rsidR="008F4B37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smlouvu</w:t>
      </w:r>
      <w:r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přečetly a s jejím obsahem souhlasí, že byla sepsána na základě pravdivých údajů, na základě jejich pravé a svobodné vůle, což stvrzují svými níže připojenými vlastnoručními podpisy</w:t>
      </w:r>
      <w:r w:rsidR="00887B43" w:rsidRPr="0057014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0730832" w14:textId="77777777" w:rsidR="006B7EEB" w:rsidRPr="00570147" w:rsidRDefault="006B7EEB" w:rsidP="006B7EE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0E5DFA" w14:textId="77777777" w:rsidR="006B7EEB" w:rsidRPr="00570147" w:rsidRDefault="00CD443F" w:rsidP="00CD443F">
      <w:pPr>
        <w:tabs>
          <w:tab w:val="left" w:pos="5103"/>
        </w:tabs>
        <w:spacing w:line="276" w:lineRule="auto"/>
        <w:ind w:left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V Plzni dne ___________</w:t>
      </w:r>
    </w:p>
    <w:p w14:paraId="2A380462" w14:textId="77777777" w:rsidR="006B7EEB" w:rsidRPr="00570147" w:rsidRDefault="006B7EEB" w:rsidP="00CD443F">
      <w:pPr>
        <w:tabs>
          <w:tab w:val="left" w:pos="5103"/>
        </w:tabs>
        <w:spacing w:line="276" w:lineRule="auto"/>
        <w:ind w:left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20CDECC" w14:textId="77777777" w:rsidR="006B7EEB" w:rsidRPr="00570147" w:rsidRDefault="006B7EEB" w:rsidP="006B7EEB">
      <w:pPr>
        <w:tabs>
          <w:tab w:val="left" w:pos="5670"/>
        </w:tabs>
        <w:spacing w:line="276" w:lineRule="auto"/>
        <w:ind w:left="56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Statutární město Plzeň</w:t>
      </w:r>
    </w:p>
    <w:p w14:paraId="02CBFE9F" w14:textId="77777777" w:rsidR="00CD443F" w:rsidRPr="00570147" w:rsidRDefault="00CD443F" w:rsidP="00CD443F">
      <w:pPr>
        <w:tabs>
          <w:tab w:val="left" w:pos="5103"/>
        </w:tabs>
        <w:spacing w:line="276" w:lineRule="auto"/>
        <w:ind w:left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66F3CA50" w14:textId="77777777" w:rsidR="006B7EEB" w:rsidRPr="00570147" w:rsidRDefault="006B7EEB" w:rsidP="00CD443F">
      <w:pPr>
        <w:tabs>
          <w:tab w:val="left" w:pos="5103"/>
        </w:tabs>
        <w:spacing w:line="276" w:lineRule="auto"/>
        <w:ind w:left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A553E1" w14:textId="77777777" w:rsidR="00CD443F" w:rsidRPr="00570147" w:rsidRDefault="00CD443F" w:rsidP="00CD443F">
      <w:pPr>
        <w:spacing w:line="276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</w:t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________________</w:t>
      </w:r>
      <w:r w:rsidR="00FA02D0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</w:t>
      </w:r>
    </w:p>
    <w:p w14:paraId="2E8FB009" w14:textId="77777777" w:rsidR="00CD443F" w:rsidRPr="00570147" w:rsidRDefault="006B7EEB" w:rsidP="00CD443F">
      <w:pPr>
        <w:spacing w:line="276" w:lineRule="auto"/>
        <w:ind w:left="56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JUDr. Marek Görges</w:t>
      </w:r>
      <w:r w:rsidR="00CD443F"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CD443F"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CD443F"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CD443F"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CD443F" w:rsidRPr="005701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FA02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Ing. Hana Kuglerová, MBA</w:t>
      </w:r>
    </w:p>
    <w:p w14:paraId="5961262E" w14:textId="77777777" w:rsidR="00C20486" w:rsidRPr="00570147" w:rsidRDefault="00CD443F" w:rsidP="007201A2">
      <w:pPr>
        <w:spacing w:line="276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>Advokát</w:t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57014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Klient</w:t>
      </w:r>
    </w:p>
    <w:sectPr w:rsidR="00C20486" w:rsidRPr="00570147" w:rsidSect="004973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12C5B" w14:textId="77777777" w:rsidR="001C338E" w:rsidRDefault="001C338E" w:rsidP="00CA0734">
      <w:r>
        <w:separator/>
      </w:r>
    </w:p>
  </w:endnote>
  <w:endnote w:type="continuationSeparator" w:id="0">
    <w:p w14:paraId="35225131" w14:textId="77777777" w:rsidR="001C338E" w:rsidRDefault="001C338E" w:rsidP="00CA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81D5" w14:textId="77777777" w:rsidR="00AB26D6" w:rsidRDefault="00AB26D6" w:rsidP="00067FCF">
    <w:pPr>
      <w:ind w:left="-993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AEF44BE" wp14:editId="182CE84B">
          <wp:simplePos x="0" y="0"/>
          <wp:positionH relativeFrom="column">
            <wp:posOffset>-613410</wp:posOffset>
          </wp:positionH>
          <wp:positionV relativeFrom="paragraph">
            <wp:posOffset>-67945</wp:posOffset>
          </wp:positionV>
          <wp:extent cx="7200265" cy="301625"/>
          <wp:effectExtent l="19050" t="0" r="635" b="0"/>
          <wp:wrapTight wrapText="bothSides">
            <wp:wrapPolygon edited="0">
              <wp:start x="-57" y="0"/>
              <wp:lineTo x="-57" y="20463"/>
              <wp:lineTo x="21602" y="20463"/>
              <wp:lineTo x="21602" y="0"/>
              <wp:lineTo x="-57" y="0"/>
            </wp:wrapPolygon>
          </wp:wrapTight>
          <wp:docPr id="1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48817912"/>
        <w:docPartObj>
          <w:docPartGallery w:val="Page Numbers (Top of Page)"/>
          <w:docPartUnique/>
        </w:docPartObj>
      </w:sdtPr>
      <w:sdtEndPr/>
      <w:sdtContent>
        <w:r w:rsidRPr="0049737A">
          <w:rPr>
            <w:color w:val="A6A6A6" w:themeColor="background1" w:themeShade="A6"/>
            <w:sz w:val="20"/>
            <w:szCs w:val="20"/>
          </w:rPr>
          <w:t>stránka</w:t>
        </w:r>
        <w:r>
          <w:t xml:space="preserve"> </w:t>
        </w:r>
        <w:r w:rsidRPr="0049737A">
          <w:rPr>
            <w:b/>
          </w:rPr>
          <w:fldChar w:fldCharType="begin"/>
        </w:r>
        <w:r w:rsidRPr="0049737A">
          <w:rPr>
            <w:b/>
          </w:rPr>
          <w:instrText xml:space="preserve"> PAGE </w:instrText>
        </w:r>
        <w:r w:rsidRPr="0049737A">
          <w:rPr>
            <w:b/>
          </w:rPr>
          <w:fldChar w:fldCharType="separate"/>
        </w:r>
        <w:r w:rsidR="00A0569C">
          <w:rPr>
            <w:b/>
            <w:noProof/>
          </w:rPr>
          <w:t>2</w:t>
        </w:r>
        <w:r w:rsidRPr="0049737A">
          <w:rPr>
            <w:b/>
          </w:rPr>
          <w:fldChar w:fldCharType="end"/>
        </w:r>
        <w:r>
          <w:t xml:space="preserve"> </w:t>
        </w:r>
        <w:r w:rsidRPr="0049737A">
          <w:rPr>
            <w:color w:val="A6A6A6" w:themeColor="background1" w:themeShade="A6"/>
          </w:rPr>
          <w:t xml:space="preserve">z </w:t>
        </w:r>
        <w:r w:rsidRPr="0049737A">
          <w:rPr>
            <w:color w:val="A6A6A6" w:themeColor="background1" w:themeShade="A6"/>
          </w:rPr>
          <w:fldChar w:fldCharType="begin"/>
        </w:r>
        <w:r w:rsidRPr="0049737A">
          <w:rPr>
            <w:color w:val="A6A6A6" w:themeColor="background1" w:themeShade="A6"/>
          </w:rPr>
          <w:instrText xml:space="preserve"> NUMPAGES  </w:instrText>
        </w:r>
        <w:r w:rsidRPr="0049737A">
          <w:rPr>
            <w:color w:val="A6A6A6" w:themeColor="background1" w:themeShade="A6"/>
          </w:rPr>
          <w:fldChar w:fldCharType="separate"/>
        </w:r>
        <w:r w:rsidR="00A0569C">
          <w:rPr>
            <w:noProof/>
            <w:color w:val="A6A6A6" w:themeColor="background1" w:themeShade="A6"/>
          </w:rPr>
          <w:t>3</w:t>
        </w:r>
        <w:r w:rsidRPr="0049737A">
          <w:rPr>
            <w:color w:val="A6A6A6" w:themeColor="background1" w:themeShade="A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9F43" w14:textId="77777777" w:rsidR="00AB26D6" w:rsidRDefault="00AB26D6">
    <w:pPr>
      <w:pStyle w:val="Zpat"/>
    </w:pPr>
    <w:r w:rsidRPr="00BC582A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EF23330" wp14:editId="6CA29592">
          <wp:simplePos x="0" y="0"/>
          <wp:positionH relativeFrom="column">
            <wp:posOffset>-761773</wp:posOffset>
          </wp:positionH>
          <wp:positionV relativeFrom="paragraph">
            <wp:posOffset>-246248</wp:posOffset>
          </wp:positionV>
          <wp:extent cx="7275614" cy="622108"/>
          <wp:effectExtent l="19050" t="0" r="1486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5614" cy="62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8832" w14:textId="77777777" w:rsidR="001C338E" w:rsidRDefault="001C338E" w:rsidP="00CA0734">
      <w:r>
        <w:separator/>
      </w:r>
    </w:p>
  </w:footnote>
  <w:footnote w:type="continuationSeparator" w:id="0">
    <w:p w14:paraId="0B39F100" w14:textId="77777777" w:rsidR="001C338E" w:rsidRDefault="001C338E" w:rsidP="00CA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5926" w14:textId="77777777" w:rsidR="00AB26D6" w:rsidRDefault="00AB26D6">
    <w:pPr>
      <w:pStyle w:val="Zhlav"/>
    </w:pPr>
  </w:p>
  <w:p w14:paraId="73C6E06B" w14:textId="77777777" w:rsidR="00AB26D6" w:rsidRDefault="00AB26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FC30" w14:textId="77777777" w:rsidR="00AB26D6" w:rsidRDefault="00AB26D6">
    <w:pPr>
      <w:pStyle w:val="Zhlav"/>
    </w:pPr>
    <w:r w:rsidRPr="00BC582A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D852BA" wp14:editId="3EEA5601">
          <wp:simplePos x="0" y="0"/>
          <wp:positionH relativeFrom="column">
            <wp:posOffset>-897998</wp:posOffset>
          </wp:positionH>
          <wp:positionV relativeFrom="paragraph">
            <wp:posOffset>-259799</wp:posOffset>
          </wp:positionV>
          <wp:extent cx="7572195" cy="845389"/>
          <wp:effectExtent l="1905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95" cy="845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2586"/>
    <w:multiLevelType w:val="hybridMultilevel"/>
    <w:tmpl w:val="C5F28AEE"/>
    <w:lvl w:ilvl="0" w:tplc="BD5055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606297"/>
    <w:multiLevelType w:val="hybridMultilevel"/>
    <w:tmpl w:val="2670F67E"/>
    <w:lvl w:ilvl="0" w:tplc="9892A4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23875"/>
    <w:multiLevelType w:val="hybridMultilevel"/>
    <w:tmpl w:val="C02ABDD0"/>
    <w:lvl w:ilvl="0" w:tplc="0FCE9ED8">
      <w:start w:val="1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49D41ED5"/>
    <w:multiLevelType w:val="hybridMultilevel"/>
    <w:tmpl w:val="A448D280"/>
    <w:lvl w:ilvl="0" w:tplc="1DEEA1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E0152C"/>
    <w:multiLevelType w:val="hybridMultilevel"/>
    <w:tmpl w:val="FA621C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E0C3F5F"/>
    <w:multiLevelType w:val="multilevel"/>
    <w:tmpl w:val="F7B8FB52"/>
    <w:lvl w:ilvl="0">
      <w:start w:val="1"/>
      <w:numFmt w:val="decimal"/>
      <w:suff w:val="nothing"/>
      <w:lvlText w:val="Čl. %1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58E1497"/>
    <w:multiLevelType w:val="hybridMultilevel"/>
    <w:tmpl w:val="C984430A"/>
    <w:lvl w:ilvl="0" w:tplc="4E161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E5360"/>
    <w:multiLevelType w:val="hybridMultilevel"/>
    <w:tmpl w:val="C02ABDD0"/>
    <w:lvl w:ilvl="0" w:tplc="0FCE9ED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7A6213"/>
    <w:multiLevelType w:val="hybridMultilevel"/>
    <w:tmpl w:val="4F18C73A"/>
    <w:lvl w:ilvl="0" w:tplc="28BE7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34"/>
    <w:rsid w:val="00015EB4"/>
    <w:rsid w:val="00040F0B"/>
    <w:rsid w:val="0004520B"/>
    <w:rsid w:val="00061B7F"/>
    <w:rsid w:val="00067FCF"/>
    <w:rsid w:val="00071D86"/>
    <w:rsid w:val="00072F5F"/>
    <w:rsid w:val="00074680"/>
    <w:rsid w:val="000B018C"/>
    <w:rsid w:val="000B0422"/>
    <w:rsid w:val="00134DF0"/>
    <w:rsid w:val="001352A9"/>
    <w:rsid w:val="00154F7E"/>
    <w:rsid w:val="0016597C"/>
    <w:rsid w:val="00181CB6"/>
    <w:rsid w:val="001A1248"/>
    <w:rsid w:val="001C338E"/>
    <w:rsid w:val="001C688F"/>
    <w:rsid w:val="001C7A2A"/>
    <w:rsid w:val="001F5B44"/>
    <w:rsid w:val="00201F39"/>
    <w:rsid w:val="00227E15"/>
    <w:rsid w:val="002304B0"/>
    <w:rsid w:val="00236714"/>
    <w:rsid w:val="00242DCB"/>
    <w:rsid w:val="00245785"/>
    <w:rsid w:val="00253351"/>
    <w:rsid w:val="00254DB1"/>
    <w:rsid w:val="002C496D"/>
    <w:rsid w:val="002C5340"/>
    <w:rsid w:val="002D412B"/>
    <w:rsid w:val="002E5260"/>
    <w:rsid w:val="0032231F"/>
    <w:rsid w:val="00352023"/>
    <w:rsid w:val="003609A7"/>
    <w:rsid w:val="00372C63"/>
    <w:rsid w:val="003B1285"/>
    <w:rsid w:val="003C4D79"/>
    <w:rsid w:val="0040166D"/>
    <w:rsid w:val="0040524E"/>
    <w:rsid w:val="004158AE"/>
    <w:rsid w:val="00433BDB"/>
    <w:rsid w:val="0043522B"/>
    <w:rsid w:val="004376C5"/>
    <w:rsid w:val="004746DC"/>
    <w:rsid w:val="00481F6A"/>
    <w:rsid w:val="0049737A"/>
    <w:rsid w:val="004A2962"/>
    <w:rsid w:val="004A3AFB"/>
    <w:rsid w:val="004A7231"/>
    <w:rsid w:val="004B02D6"/>
    <w:rsid w:val="004B35B0"/>
    <w:rsid w:val="004B4C68"/>
    <w:rsid w:val="004D5B2E"/>
    <w:rsid w:val="00523EC1"/>
    <w:rsid w:val="005278F2"/>
    <w:rsid w:val="0055667F"/>
    <w:rsid w:val="005640B8"/>
    <w:rsid w:val="00570147"/>
    <w:rsid w:val="005D647B"/>
    <w:rsid w:val="005D73D6"/>
    <w:rsid w:val="005E3624"/>
    <w:rsid w:val="00620FD3"/>
    <w:rsid w:val="00654CF1"/>
    <w:rsid w:val="00665106"/>
    <w:rsid w:val="00671D6B"/>
    <w:rsid w:val="006B7EEB"/>
    <w:rsid w:val="006C519F"/>
    <w:rsid w:val="006C585D"/>
    <w:rsid w:val="006D0BC2"/>
    <w:rsid w:val="006D6E30"/>
    <w:rsid w:val="006E7059"/>
    <w:rsid w:val="007048CC"/>
    <w:rsid w:val="007201A2"/>
    <w:rsid w:val="00727757"/>
    <w:rsid w:val="007640DA"/>
    <w:rsid w:val="0076604C"/>
    <w:rsid w:val="00767F42"/>
    <w:rsid w:val="007A0EDD"/>
    <w:rsid w:val="007B32C0"/>
    <w:rsid w:val="007C77E9"/>
    <w:rsid w:val="007D2383"/>
    <w:rsid w:val="007D461D"/>
    <w:rsid w:val="007F2A14"/>
    <w:rsid w:val="00837D17"/>
    <w:rsid w:val="00863381"/>
    <w:rsid w:val="008708F7"/>
    <w:rsid w:val="008809C5"/>
    <w:rsid w:val="00887B43"/>
    <w:rsid w:val="008966C9"/>
    <w:rsid w:val="008A1A5C"/>
    <w:rsid w:val="008A2F5E"/>
    <w:rsid w:val="008A493D"/>
    <w:rsid w:val="008F1F74"/>
    <w:rsid w:val="008F4B37"/>
    <w:rsid w:val="00904539"/>
    <w:rsid w:val="00914A67"/>
    <w:rsid w:val="00943676"/>
    <w:rsid w:val="009513A7"/>
    <w:rsid w:val="00970E1C"/>
    <w:rsid w:val="00982A3C"/>
    <w:rsid w:val="009939A9"/>
    <w:rsid w:val="009A798B"/>
    <w:rsid w:val="009F08A8"/>
    <w:rsid w:val="00A0380A"/>
    <w:rsid w:val="00A0569C"/>
    <w:rsid w:val="00A101C2"/>
    <w:rsid w:val="00A13913"/>
    <w:rsid w:val="00A973AA"/>
    <w:rsid w:val="00AB26D6"/>
    <w:rsid w:val="00B20C33"/>
    <w:rsid w:val="00B31307"/>
    <w:rsid w:val="00B314A6"/>
    <w:rsid w:val="00B358CB"/>
    <w:rsid w:val="00B624BE"/>
    <w:rsid w:val="00B71948"/>
    <w:rsid w:val="00B85034"/>
    <w:rsid w:val="00BA69F2"/>
    <w:rsid w:val="00BC582A"/>
    <w:rsid w:val="00C01700"/>
    <w:rsid w:val="00C20486"/>
    <w:rsid w:val="00C21F8F"/>
    <w:rsid w:val="00C47C7A"/>
    <w:rsid w:val="00C76C1E"/>
    <w:rsid w:val="00CA0734"/>
    <w:rsid w:val="00CA0743"/>
    <w:rsid w:val="00CA2232"/>
    <w:rsid w:val="00CB676B"/>
    <w:rsid w:val="00CC0661"/>
    <w:rsid w:val="00CD443F"/>
    <w:rsid w:val="00CF089A"/>
    <w:rsid w:val="00D00FC3"/>
    <w:rsid w:val="00D2457A"/>
    <w:rsid w:val="00D25722"/>
    <w:rsid w:val="00D3239E"/>
    <w:rsid w:val="00D4346E"/>
    <w:rsid w:val="00D8403B"/>
    <w:rsid w:val="00E10BC6"/>
    <w:rsid w:val="00E20830"/>
    <w:rsid w:val="00E2702F"/>
    <w:rsid w:val="00E41FE4"/>
    <w:rsid w:val="00E5722E"/>
    <w:rsid w:val="00E640E6"/>
    <w:rsid w:val="00E8311D"/>
    <w:rsid w:val="00E94A76"/>
    <w:rsid w:val="00E97E70"/>
    <w:rsid w:val="00EA11C2"/>
    <w:rsid w:val="00EA1552"/>
    <w:rsid w:val="00EE326F"/>
    <w:rsid w:val="00EF27F9"/>
    <w:rsid w:val="00EF7558"/>
    <w:rsid w:val="00F27DC3"/>
    <w:rsid w:val="00F3381A"/>
    <w:rsid w:val="00F345D2"/>
    <w:rsid w:val="00F35D5C"/>
    <w:rsid w:val="00F46B5C"/>
    <w:rsid w:val="00F70BBA"/>
    <w:rsid w:val="00F73653"/>
    <w:rsid w:val="00F74D7D"/>
    <w:rsid w:val="00F92644"/>
    <w:rsid w:val="00F96677"/>
    <w:rsid w:val="00FA02D0"/>
    <w:rsid w:val="00FC4F8F"/>
    <w:rsid w:val="00FC6831"/>
    <w:rsid w:val="00FD6956"/>
    <w:rsid w:val="00FE4072"/>
    <w:rsid w:val="00FE5AF8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04F6"/>
  <w15:docId w15:val="{891D66AE-DE0B-4446-BD8B-C158AC36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7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B20C33"/>
    <w:pPr>
      <w:keepNext/>
      <w:tabs>
        <w:tab w:val="left" w:pos="0"/>
      </w:tabs>
      <w:jc w:val="both"/>
      <w:outlineLvl w:val="2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A038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A07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CA0734"/>
  </w:style>
  <w:style w:type="paragraph" w:styleId="Zpat">
    <w:name w:val="footer"/>
    <w:basedOn w:val="Normln"/>
    <w:link w:val="ZpatChar"/>
    <w:unhideWhenUsed/>
    <w:rsid w:val="00CA07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A0734"/>
  </w:style>
  <w:style w:type="paragraph" w:styleId="Textbubliny">
    <w:name w:val="Balloon Text"/>
    <w:basedOn w:val="Normln"/>
    <w:link w:val="TextbublinyChar"/>
    <w:uiPriority w:val="99"/>
    <w:semiHidden/>
    <w:unhideWhenUsed/>
    <w:rsid w:val="00CA07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73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20C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B20C33"/>
  </w:style>
  <w:style w:type="paragraph" w:styleId="Zkladntext">
    <w:name w:val="Body Text"/>
    <w:basedOn w:val="Normln"/>
    <w:link w:val="ZkladntextChar"/>
    <w:semiHidden/>
    <w:unhideWhenUsed/>
    <w:rsid w:val="00EF7558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EF7558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C496D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A0380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latne">
    <w:name w:val="platne"/>
    <w:basedOn w:val="Standardnpsmoodstavce"/>
    <w:rsid w:val="00A0380A"/>
  </w:style>
  <w:style w:type="character" w:styleId="Siln">
    <w:name w:val="Strong"/>
    <w:uiPriority w:val="22"/>
    <w:qFormat/>
    <w:rsid w:val="009939A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97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7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spiszn">
    <w:name w:val="spiszn"/>
    <w:rsid w:val="008809C5"/>
  </w:style>
  <w:style w:type="paragraph" w:styleId="Nzev">
    <w:name w:val="Title"/>
    <w:basedOn w:val="Normln"/>
    <w:link w:val="NzevChar"/>
    <w:qFormat/>
    <w:rsid w:val="0040524E"/>
    <w:pPr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0524E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26D6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B314A6"/>
    <w:pPr>
      <w:ind w:left="720"/>
      <w:contextualSpacing/>
    </w:pPr>
  </w:style>
  <w:style w:type="paragraph" w:styleId="Revize">
    <w:name w:val="Revision"/>
    <w:hidden/>
    <w:uiPriority w:val="99"/>
    <w:semiHidden/>
    <w:rsid w:val="0037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36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36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73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393B-F5DF-4B45-AB06-16577971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5415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Poklopová</dc:creator>
  <cp:lastModifiedBy>Matoušková Kateřina</cp:lastModifiedBy>
  <cp:revision>2</cp:revision>
  <cp:lastPrinted>2015-11-06T13:39:00Z</cp:lastPrinted>
  <dcterms:created xsi:type="dcterms:W3CDTF">2022-09-29T11:56:00Z</dcterms:created>
  <dcterms:modified xsi:type="dcterms:W3CDTF">2022-09-29T11:56:00Z</dcterms:modified>
</cp:coreProperties>
</file>