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40"/>
        <w:gridCol w:w="840"/>
        <w:gridCol w:w="20"/>
        <w:gridCol w:w="9300"/>
        <w:gridCol w:w="640"/>
        <w:gridCol w:w="300"/>
        <w:gridCol w:w="360"/>
      </w:tblGrid>
      <w:tr>
        <w:trPr>
          <w:trHeight w:hRule="exact" w:val="1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840"/>
              <w:gridCol w:w="460"/>
            </w:tblGrid>
            <w:tr>
              <w:trPr>
                <w:trHeight w:hRule="exact" w:val="1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Astronomický ústav AV ČR, v. v. i., Fričova 298, 251 65 ONDŘEJOV, Česká republika  IČ: 67985815  DIČ: CZ67985815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Sestava: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Sestavil: 29.09.2022 09:35:35 Smolíková Irena  DB: EIS7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Strana: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hlava"/>
              <w:ind/>
              <w:jc w:val="right"/>
            </w:pPr>
            <w:r>
              <w:rPr>
       </w:rPr>
              <w:t xml:space="preserve">10135/30335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2"/>
              </w:rPr>
              <w:t xml:space="preserve">1 z 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20"/>
            </w:pPr>
            <w:r>
              <w:rPr>
                <w:rFonts w:ascii="Times New Roman" w:hAnsi="Times New Roman" w:eastAsia="Times New Roman" w:cs="Times New Roman"/>
                <w:sz w:val="12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240"/>
            </w:tblGrid>
            <w:tr>
              <w:trPr>
                <w:trHeight w:hRule="exact" w:val="164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Objednávka číslo: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22020912</w:t>
                    <w:br/>
                    <w:br/>
                  </w: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Dodavatel: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Vyšehrad 2000 a.s. IČ:61507717 DIČ:CZ61507717, náměstí Republiky 1090/5, PRAHA, 110 00, CZE</w:t>
                    <w:br/>
                  </w: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Předmět: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Cateringové služby pro konferenční večeři Hinode-15/IRIS-12</w:t>
                    <w:br/>
                  </w: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Cena: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298 225.00,- CZK vč. DPH</w:t>
                    <w:br/>
                  </w: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Datum vystavení: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27.09.2022</w:t>
                    <w:br/>
                  </w: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Datum potvrzení: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27.09.2022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left="40"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240"/>
            </w:tblGrid>
            <w:tr>
              <w:trPr>
                <w:trHeight w:hRule="exact" w:val="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 w:right="4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240"/>
            </w:tblGrid>
            <w:tr>
              <w:trPr>
                <w:trHeight w:hRule="exact" w:val="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2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24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hlava">
    <w:name w:val="hlava"/>
    <w:qFormat/>
    <w:pPr>
      <w:ind w:left="20" w:right="20"/>
    </w:pPr>
    <w:rPr>
      <w:rFonts w:ascii="Times New Roman" w:hAnsi="Times New Roman" w:eastAsia="Times New Roman" w:cs="Times New Roman"/>
      <w:sz w:val="12"/>
    </w:rPr>
  </w:style>
  <w:style w:type="paragraph" w:styleId="testovaci_db">
    <w:name w:val="testovaci_db"/>
    <w:qFormat/>
    <w:pPr>
      <w:ind/>
      <w:jc w:val="center"/>
    </w:pPr>
    <w:rPr>
      <w:rFonts w:ascii="Arial" w:hAnsi="Arial" w:eastAsia="Arial" w:cs="Arial"/>
      <w:color w:val="FF0000"/>
      <w:sz w:val="12"/>
      <w:b w:val="true"/>
    </w:rPr>
  </w:style>
  <w:style w:type="paragraph" w:styleId="ramecek">
    <w:name w:val="ramecek"/>
    <w:qFormat/>
    <w:pPr>
      <w:ind/>
    </w:pPr>
    <w:rPr>
       </w:rPr>
  </w:style>
  <w:style w:type="paragraph" w:styleId="normal">
    <w:name w:val="normal"/>
    <w:qFormat/>
    <w:pPr>
      <w:ind/>
    </w:pPr>
    <w:rPr>
      <w:rFonts w:ascii="Times New Roman" w:hAnsi="Times New Roman" w:eastAsia="Times New Roman" w:cs="Times New Roman"/>
    </w:rPr>
  </w:style>
  <w:style w:type="paragraph" w:styleId="normal_tucne">
    <w:name w:val="normal_tucne"/>
    <w:qFormat/>
    <w:basedOn w:val="normal"/>
    <w:pPr>
      <w:ind/>
    </w:pPr>
    <w:rPr>
      <w:b w:val="true"/>
    </w:rPr>
  </w:style>
  <w:style w:type="paragraph" w:styleId="pozadi">
    <w:name w:val="pozadi"/>
    <w:qFormat/>
    <w:pPr>
      <w:ind/>
    </w:pPr>
    <w:rPr>
       </w:rPr>
  </w:style>
  <w:style w:type="paragraph" w:styleId="mensi">
    <w:name w:val="mensi"/>
    <w:qFormat/>
    <w:pPr>
      <w:ind/>
    </w:pPr>
    <w:rPr>
      <w:rFonts w:ascii="Times New Roman" w:hAnsi="Times New Roman" w:eastAsia="Times New Roman" w:cs="Times New Roman"/>
      <w:sz w:val="14"/>
    </w:rPr>
  </w:style>
  <w:style w:type="paragraph" w:styleId="mensi_tucne">
    <w:name w:val="mensi_tucne"/>
    <w:qFormat/>
    <w:basedOn w:val="mensi"/>
    <w:pPr>
      <w:ind/>
    </w:pPr>
    <w:rPr>
      <w:b w:val="true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