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77E4" w14:textId="77777777" w:rsidR="000C15AF" w:rsidRDefault="000C15AF" w:rsidP="000C15AF">
      <w:pPr>
        <w:jc w:val="center"/>
        <w:rPr>
          <w:rFonts w:ascii="Arial" w:eastAsia="Calibri" w:hAnsi="Arial" w:cs="Arial"/>
          <w:b/>
          <w:sz w:val="28"/>
        </w:rPr>
      </w:pPr>
    </w:p>
    <w:p w14:paraId="697CD540" w14:textId="7D89AB0E" w:rsidR="000C15AF" w:rsidRPr="000C15AF" w:rsidRDefault="000C15AF" w:rsidP="000C15AF">
      <w:pPr>
        <w:jc w:val="center"/>
        <w:rPr>
          <w:rFonts w:ascii="Arial" w:eastAsia="Calibri" w:hAnsi="Arial" w:cs="Arial"/>
          <w:b/>
          <w:sz w:val="28"/>
        </w:rPr>
      </w:pPr>
      <w:r w:rsidRPr="000C15AF">
        <w:rPr>
          <w:rFonts w:ascii="Arial" w:eastAsia="Calibri" w:hAnsi="Arial" w:cs="Arial"/>
          <w:b/>
          <w:sz w:val="28"/>
        </w:rPr>
        <w:t>Zadávací dokumentace</w:t>
      </w:r>
    </w:p>
    <w:p w14:paraId="750DF694" w14:textId="77777777" w:rsidR="000C15AF" w:rsidRPr="000C15AF" w:rsidRDefault="000C15AF" w:rsidP="000C15AF">
      <w:pPr>
        <w:pBdr>
          <w:top w:val="single" w:sz="24" w:space="0" w:color="7A7A7A" w:themeColor="accent1"/>
          <w:left w:val="single" w:sz="24" w:space="0" w:color="7A7A7A" w:themeColor="accent1"/>
          <w:bottom w:val="single" w:sz="24" w:space="0" w:color="7A7A7A" w:themeColor="accent1"/>
          <w:right w:val="single" w:sz="24" w:space="0" w:color="7A7A7A" w:themeColor="accent1"/>
        </w:pBdr>
        <w:shd w:val="clear" w:color="auto" w:fill="7A7A7A" w:themeFill="accent1"/>
        <w:spacing w:after="0"/>
        <w:ind w:left="432" w:hanging="432"/>
        <w:outlineLvl w:val="0"/>
        <w:rPr>
          <w:rFonts w:eastAsia="Calibri"/>
          <w:b/>
          <w:bCs/>
          <w:caps/>
          <w:color w:val="FFFFFF" w:themeColor="background1"/>
          <w:spacing w:val="15"/>
          <w:sz w:val="22"/>
          <w:szCs w:val="22"/>
        </w:rPr>
      </w:pPr>
      <w:bookmarkStart w:id="0" w:name="_Toc86153761"/>
      <w:r w:rsidRPr="000C15AF">
        <w:rPr>
          <w:rFonts w:eastAsia="Calibri"/>
          <w:b/>
          <w:bCs/>
          <w:caps/>
          <w:color w:val="FFFFFF" w:themeColor="background1"/>
          <w:spacing w:val="15"/>
          <w:sz w:val="22"/>
          <w:szCs w:val="22"/>
        </w:rPr>
        <w:t>Identifikace řízení</w:t>
      </w:r>
      <w:bookmarkEnd w:id="0"/>
    </w:p>
    <w:p w14:paraId="33B96F0C" w14:textId="77777777" w:rsidR="000C15AF" w:rsidRDefault="000C15AF"/>
    <w:tbl>
      <w:tblPr>
        <w:tblStyle w:val="Mkatabulky111"/>
        <w:tblW w:w="9293" w:type="dxa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6662"/>
      </w:tblGrid>
      <w:tr w:rsidR="002F4F0A" w14:paraId="40C43311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6BE5ECC2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bookmarkStart w:id="1" w:name="_Hlk60825124"/>
            <w:r>
              <w:rPr>
                <w:rFonts w:ascii="Arial" w:hAnsi="Arial" w:cs="Arial"/>
                <w:b/>
              </w:rPr>
              <w:t>Název Veřejné zakázky</w:t>
            </w:r>
          </w:p>
        </w:tc>
        <w:sdt>
          <w:sdtPr>
            <w:rPr>
              <w:rFonts w:cstheme="minorHAnsi"/>
              <w:b/>
            </w:rPr>
            <w:alias w:val="Název Veřejné zakázky"/>
            <w:tag w:val="Název Veřejné zakázky"/>
            <w:id w:val="2007090695"/>
            <w:lock w:val="sdtLocked"/>
            <w:placeholder>
              <w:docPart w:val="DefaultPlaceholder_1082065158"/>
            </w:placeholder>
            <w:text/>
          </w:sdtPr>
          <w:sdtContent>
            <w:tc>
              <w:tcPr>
                <w:tcW w:w="6662" w:type="dxa"/>
                <w:vAlign w:val="center"/>
              </w:tcPr>
              <w:p w14:paraId="6EB8C0AA" w14:textId="71E3DD94" w:rsidR="002F4F0A" w:rsidRPr="00FA54D5" w:rsidRDefault="005D76DB" w:rsidP="005D76DB">
                <w:pPr>
                  <w:widowControl w:val="0"/>
                  <w:spacing w:after="120"/>
                  <w:ind w:left="0"/>
                  <w:jc w:val="left"/>
                  <w:rPr>
                    <w:rFonts w:asciiTheme="minorHAnsi" w:hAnsiTheme="minorHAnsi" w:cstheme="minorHAnsi"/>
                    <w:b/>
                  </w:rPr>
                </w:pPr>
                <w:r w:rsidRPr="00EE5C00">
                  <w:rPr>
                    <w:rFonts w:asciiTheme="minorHAnsi" w:hAnsiTheme="minorHAnsi" w:cstheme="minorHAnsi"/>
                    <w:b/>
                  </w:rPr>
                  <w:t>Poskytování projektového řízení a poradenských a konzultačních služeb pro SFDI</w:t>
                </w:r>
              </w:p>
            </w:tc>
          </w:sdtContent>
        </w:sdt>
      </w:tr>
      <w:bookmarkEnd w:id="1"/>
      <w:tr w:rsidR="002F4F0A" w14:paraId="73E624A3" w14:textId="77777777" w:rsidTr="0004172B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41E7F003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 w:rsidRPr="00FE6CBF">
              <w:rPr>
                <w:rFonts w:ascii="Arial" w:hAnsi="Arial" w:cs="Arial"/>
                <w:b/>
              </w:rPr>
              <w:t>Číslo jednací</w:t>
            </w:r>
          </w:p>
        </w:tc>
        <w:sdt>
          <w:sdtPr>
            <w:rPr>
              <w:rFonts w:cstheme="minorHAnsi"/>
            </w:rPr>
            <w:id w:val="1787225487"/>
            <w:lock w:val="sdtLocked"/>
            <w:placeholder>
              <w:docPart w:val="91A80DA0E3654E0FAA7FD74CE7791CC3"/>
            </w:placeholder>
            <w:text/>
          </w:sdtPr>
          <w:sdtContent>
            <w:tc>
              <w:tcPr>
                <w:tcW w:w="6662" w:type="dxa"/>
                <w:shd w:val="clear" w:color="auto" w:fill="auto"/>
                <w:vAlign w:val="center"/>
              </w:tcPr>
              <w:p w14:paraId="79EF7EF3" w14:textId="04C61476" w:rsidR="002F4F0A" w:rsidRPr="00FC4CD0" w:rsidRDefault="00133F0A" w:rsidP="0004172B">
                <w:pPr>
                  <w:widowControl w:val="0"/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 w:rsidRPr="00133F0A">
                  <w:rPr>
                    <w:rFonts w:asciiTheme="minorHAnsi" w:hAnsiTheme="minorHAnsi" w:cstheme="minorHAnsi"/>
                  </w:rPr>
                  <w:t>8383/SFDI/310163/20579/2021</w:t>
                </w:r>
              </w:p>
            </w:tc>
          </w:sdtContent>
        </w:sdt>
      </w:tr>
      <w:tr w:rsidR="002F4F0A" w14:paraId="0E1D0FBB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5F1884DD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 Veřejné zakázky</w:t>
            </w:r>
          </w:p>
        </w:tc>
        <w:sdt>
          <w:sdtPr>
            <w:rPr>
              <w:rFonts w:ascii="Arial" w:hAnsi="Arial" w:cs="Arial"/>
            </w:rPr>
            <w:id w:val="1595049266"/>
            <w:lock w:val="sdtLocked"/>
            <w:placeholder>
              <w:docPart w:val="DefaultPlaceholder_1082065159"/>
            </w:placeholder>
            <w:comboBox>
              <w:listItem w:value="Zvolte položku."/>
              <w:listItem w:displayText="Dodávky" w:value="Dodávky"/>
              <w:listItem w:displayText="Služby" w:value="Služby"/>
              <w:listItem w:displayText="Stavební práce" w:value="Stavební práce"/>
            </w:comboBox>
          </w:sdtPr>
          <w:sdtContent>
            <w:tc>
              <w:tcPr>
                <w:tcW w:w="6662" w:type="dxa"/>
                <w:vAlign w:val="center"/>
              </w:tcPr>
              <w:p w14:paraId="4AADF1AB" w14:textId="77777777" w:rsidR="002F4F0A" w:rsidRDefault="00DA6E91">
                <w:pPr>
                  <w:widowControl w:val="0"/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Služby</w:t>
                </w:r>
              </w:p>
            </w:tc>
          </w:sdtContent>
        </w:sdt>
      </w:tr>
      <w:tr w:rsidR="002F4F0A" w14:paraId="10D13622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0BF12DE9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 Řízení</w:t>
            </w:r>
          </w:p>
        </w:tc>
        <w:sdt>
          <w:sdtPr>
            <w:rPr>
              <w:rFonts w:ascii="Arial" w:hAnsi="Arial" w:cs="Arial"/>
            </w:rPr>
            <w:id w:val="-308094967"/>
            <w:lock w:val="sdtLocked"/>
            <w:placeholder>
              <w:docPart w:val="DefaultPlaceholder_1082065159"/>
            </w:placeholder>
            <w:comboBox>
              <w:listItem w:value="Zvolte položku."/>
              <w:listItem w:displayText="Veřejná zakázka malého rozsahu" w:value="Veřejná zakázka malého rozsahu"/>
              <w:listItem w:displayText="Zjednodušené podlimitní řízení" w:value="Zjednodušené podlimitní řízení"/>
              <w:listItem w:displayText="Otevřené řízení" w:value="Otevřené řízení"/>
              <w:listItem w:displayText="Užší řízení" w:value="Užší řízení"/>
              <w:listItem w:displayText="Jednací řízení s uveřejněním" w:value="Jednací řízení s uveřejněním"/>
              <w:listItem w:displayText="Jednací řízení bez uveřejnění" w:value="Jednací řízení bez uveřejnění"/>
            </w:comboBox>
          </w:sdtPr>
          <w:sdtContent>
            <w:tc>
              <w:tcPr>
                <w:tcW w:w="6662" w:type="dxa"/>
                <w:vAlign w:val="center"/>
              </w:tcPr>
              <w:p w14:paraId="3E7B073B" w14:textId="39A3B8B1" w:rsidR="002F4F0A" w:rsidRDefault="008B02F0">
                <w:pPr>
                  <w:widowControl w:val="0"/>
                  <w:tabs>
                    <w:tab w:val="left" w:pos="1665"/>
                  </w:tabs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Otevřené řízení</w:t>
                </w:r>
              </w:p>
            </w:tc>
          </w:sdtContent>
        </w:sdt>
      </w:tr>
      <w:tr w:rsidR="002F4F0A" w14:paraId="089A6858" w14:textId="77777777">
        <w:trPr>
          <w:trHeight w:val="166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451665B5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Režim Řízení </w:t>
            </w:r>
          </w:p>
        </w:tc>
        <w:tc>
          <w:tcPr>
            <w:tcW w:w="6662" w:type="dxa"/>
            <w:vAlign w:val="center"/>
          </w:tcPr>
          <w:p w14:paraId="0748A2CE" w14:textId="28B0799E" w:rsidR="002F4F0A" w:rsidRDefault="00000000" w:rsidP="00242DB3">
            <w:pPr>
              <w:widowControl w:val="0"/>
              <w:tabs>
                <w:tab w:val="left" w:pos="1665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643513"/>
                <w:placeholder>
                  <w:docPart w:val="DefaultPlaceholder_1082065159"/>
                </w:placeholder>
                <w:comboBox>
                  <w:listItem w:displayText="V případě VZMR zvolte položku." w:value="V případě VZMR zvolte položku."/>
                  <w:listItem w:displayText="Otevřená výzva" w:value="Otevřená výzva"/>
                  <w:listItem w:displayText="Uzavřená výzva" w:value="Uzavřená výzva"/>
                  <w:listItem w:displayText="Přímé zadání" w:value="Přímé zadání"/>
                </w:comboBox>
              </w:sdtPr>
              <w:sdtContent>
                <w:r w:rsidR="003D7261" w:rsidRPr="00685EFD">
                  <w:rPr>
                    <w:rFonts w:ascii="Arial" w:hAnsi="Arial" w:cs="Arial"/>
                  </w:rPr>
                  <w:t>Nadlimitní veřejná zakázka</w:t>
                </w:r>
              </w:sdtContent>
            </w:sdt>
          </w:p>
        </w:tc>
      </w:tr>
      <w:tr w:rsidR="002F4F0A" w14:paraId="7CF33E6A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26A1B197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 w:rsidRPr="0071121B">
              <w:rPr>
                <w:rFonts w:ascii="Arial" w:hAnsi="Arial" w:cs="Arial"/>
                <w:b/>
              </w:rPr>
              <w:t>Web Řízení</w:t>
            </w:r>
          </w:p>
        </w:tc>
        <w:sdt>
          <w:sdtPr>
            <w:rPr>
              <w:rFonts w:ascii="Arial" w:hAnsi="Arial" w:cs="Arial"/>
            </w:rPr>
            <w:id w:val="-1796824765"/>
            <w:lock w:val="sdtLocked"/>
            <w:placeholder>
              <w:docPart w:val="DefaultPlaceholder_1082065158"/>
            </w:placeholder>
            <w:text/>
          </w:sdtPr>
          <w:sdtContent>
            <w:tc>
              <w:tcPr>
                <w:tcW w:w="6662" w:type="dxa"/>
                <w:vAlign w:val="center"/>
              </w:tcPr>
              <w:p w14:paraId="2426BB7C" w14:textId="0CD2FB75" w:rsidR="002F4F0A" w:rsidRDefault="00C80B49" w:rsidP="008B02F0">
                <w:pPr>
                  <w:widowControl w:val="0"/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 w:rsidRPr="00C80B49">
                  <w:rPr>
                    <w:rFonts w:ascii="Arial" w:hAnsi="Arial" w:cs="Arial"/>
                  </w:rPr>
                  <w:t>https://tenderarena.cz/dodavatel/zakazka/469478</w:t>
                </w:r>
              </w:p>
            </w:tc>
          </w:sdtContent>
        </w:sdt>
      </w:tr>
      <w:tr w:rsidR="002F4F0A" w14:paraId="0532939E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1AAE5575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CPV kód</w:t>
            </w:r>
          </w:p>
        </w:tc>
        <w:tc>
          <w:tcPr>
            <w:tcW w:w="6662" w:type="dxa"/>
            <w:vAlign w:val="center"/>
          </w:tcPr>
          <w:p w14:paraId="0A303842" w14:textId="77777777" w:rsidR="002F4F0A" w:rsidRDefault="005B6630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5B6630">
              <w:rPr>
                <w:rFonts w:ascii="Arial" w:hAnsi="Arial" w:cs="Arial"/>
              </w:rPr>
              <w:t>72220000-3 Systémové a technické poradenské služby</w:t>
            </w:r>
          </w:p>
          <w:p w14:paraId="2D11212D" w14:textId="4A402C1F" w:rsidR="005B6630" w:rsidRDefault="005B6630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5B6630">
              <w:rPr>
                <w:rFonts w:ascii="Arial" w:hAnsi="Arial" w:cs="Arial"/>
              </w:rPr>
              <w:t>72224000-1 Poradenské služby v oblasti řízení projektů</w:t>
            </w:r>
          </w:p>
        </w:tc>
      </w:tr>
      <w:tr w:rsidR="002F4F0A" w14:paraId="7B269C72" w14:textId="77777777" w:rsidTr="00F86D4D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0055C6D4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Předpokládaná hodnota</w:t>
            </w:r>
          </w:p>
          <w:p w14:paraId="75B96FDB" w14:textId="77777777" w:rsidR="000132AA" w:rsidRDefault="000132AA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Veřejné zakázky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051147" w14:textId="619A0DCF" w:rsidR="002F4F0A" w:rsidRDefault="00A47143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A4714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5 500</w:t>
            </w:r>
            <w:r w:rsidR="00B778E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 </w:t>
            </w:r>
            <w:r w:rsidRPr="00A47143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000</w:t>
            </w:r>
            <w:r w:rsidR="00B778E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</w:t>
            </w:r>
            <w:r w:rsidR="00AF786E" w:rsidRPr="00A47143">
              <w:rPr>
                <w:rFonts w:ascii="Arial" w:hAnsi="Arial" w:cs="Arial"/>
              </w:rPr>
              <w:t xml:space="preserve">Kč bez DPH </w:t>
            </w:r>
          </w:p>
          <w:p w14:paraId="6B74CE98" w14:textId="77777777" w:rsidR="002F4F0A" w:rsidRDefault="00176A2D" w:rsidP="000742FA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Financování předmětu Veřejné zakázky je zajištěno </w:t>
            </w:r>
            <w:sdt>
              <w:sdtPr>
                <w:rPr>
                  <w:rFonts w:ascii="Arial" w:hAnsi="Arial" w:cs="Arial"/>
                </w:rPr>
                <w:id w:val="1369577113"/>
                <w:placeholder>
                  <w:docPart w:val="DefaultPlaceholder_1082065159"/>
                </w:placeholder>
                <w:comboBox>
                  <w:listItem w:value="Zvolte položku."/>
                  <w:listItem w:displayText="z vlastních zdrojů Zadavatele." w:value="z vlastních zdrojů Zadavatele."/>
                  <w:listItem w:displayText="z vlastních zdrojů Zadavatele a spolufinancováno z Technické pomoci Operačního programu Doprava." w:value="z vlastních zdrojů Zadavatele a spolufinancováno z Technické pomoci Operačního programu Doprava."/>
                </w:comboBox>
              </w:sdtPr>
              <w:sdtContent>
                <w:r w:rsidR="00DA6E91">
                  <w:rPr>
                    <w:rFonts w:ascii="Arial" w:hAnsi="Arial" w:cs="Arial"/>
                  </w:rPr>
                  <w:t>z vlastních zdrojů Zadavatele.</w:t>
                </w:r>
              </w:sdtContent>
            </w:sdt>
          </w:p>
        </w:tc>
      </w:tr>
    </w:tbl>
    <w:p w14:paraId="134CABBE" w14:textId="77777777" w:rsidR="002F4F0A" w:rsidRDefault="002F4F0A">
      <w:pPr>
        <w:rPr>
          <w:rFonts w:ascii="Arial" w:eastAsia="Calibri" w:hAnsi="Arial" w:cs="Arial"/>
        </w:rPr>
      </w:pPr>
    </w:p>
    <w:p w14:paraId="7F6541E8" w14:textId="73EAA4C6" w:rsidR="002F4F0A" w:rsidRPr="00D0156E" w:rsidRDefault="00176A2D" w:rsidP="00D0156E">
      <w:pPr>
        <w:pStyle w:val="Nadpis1"/>
        <w:numPr>
          <w:ilvl w:val="0"/>
          <w:numId w:val="0"/>
        </w:numPr>
      </w:pPr>
      <w:bookmarkStart w:id="2" w:name="_Toc86153762"/>
      <w:r w:rsidRPr="00D0156E">
        <w:t>Identifikační údaje centrálního</w:t>
      </w:r>
      <w:r w:rsidR="00D0156E">
        <w:t xml:space="preserve"> zadavatele</w:t>
      </w:r>
      <w:bookmarkEnd w:id="2"/>
    </w:p>
    <w:p w14:paraId="6A9E4FB9" w14:textId="77777777" w:rsidR="002F4F0A" w:rsidRDefault="002F4F0A"/>
    <w:tbl>
      <w:tblPr>
        <w:tblStyle w:val="Mkatabulky112"/>
        <w:tblW w:w="9356" w:type="dxa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6725"/>
      </w:tblGrid>
      <w:tr w:rsidR="002F4F0A" w14:paraId="1F8896C0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</w:tcPr>
          <w:p w14:paraId="56656285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</w:t>
            </w:r>
          </w:p>
        </w:tc>
        <w:tc>
          <w:tcPr>
            <w:tcW w:w="6725" w:type="dxa"/>
          </w:tcPr>
          <w:p w14:paraId="0A815AE4" w14:textId="77777777" w:rsidR="002F4F0A" w:rsidRDefault="00000000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6815902"/>
                <w:lock w:val="sdtContentLocked"/>
                <w:placeholder>
                  <w:docPart w:val="12DB4856C4794911A39B77ACA3EC736C"/>
                </w:placeholder>
                <w:text/>
              </w:sdtPr>
              <w:sdtContent>
                <w:r w:rsidR="00DA6E91">
                  <w:rPr>
                    <w:rFonts w:ascii="Arial" w:hAnsi="Arial" w:cs="Arial"/>
                  </w:rPr>
                  <w:t>Státní fond dopravní infrastruktury</w:t>
                </w:r>
              </w:sdtContent>
            </w:sdt>
          </w:p>
        </w:tc>
      </w:tr>
      <w:tr w:rsidR="002F4F0A" w14:paraId="5881EE8F" w14:textId="77777777">
        <w:trPr>
          <w:trHeight w:val="283"/>
        </w:trPr>
        <w:tc>
          <w:tcPr>
            <w:tcW w:w="2631" w:type="dxa"/>
            <w:shd w:val="clear" w:color="auto" w:fill="E4E4E4" w:themeFill="accent1" w:themeFillTint="33"/>
          </w:tcPr>
          <w:p w14:paraId="560C06E2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</w:t>
            </w:r>
          </w:p>
        </w:tc>
        <w:tc>
          <w:tcPr>
            <w:tcW w:w="6725" w:type="dxa"/>
          </w:tcPr>
          <w:p w14:paraId="267102B7" w14:textId="77777777" w:rsidR="002F4F0A" w:rsidRDefault="00000000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43853579"/>
                <w:lock w:val="sdtContentLocked"/>
                <w:placeholder>
                  <w:docPart w:val="15F60F17F6944085B0B53A583FA69386"/>
                </w:placeholder>
                <w:text/>
              </w:sdtPr>
              <w:sdtContent>
                <w:r w:rsidR="00DA6E91">
                  <w:rPr>
                    <w:rFonts w:ascii="Arial" w:hAnsi="Arial" w:cs="Arial"/>
                  </w:rPr>
                  <w:t>Sokolovská 1955/278, 190 00 Praha 9</w:t>
                </w:r>
              </w:sdtContent>
            </w:sdt>
          </w:p>
        </w:tc>
      </w:tr>
      <w:tr w:rsidR="002F4F0A" w14:paraId="2EE70D26" w14:textId="77777777">
        <w:trPr>
          <w:trHeight w:val="283"/>
        </w:trPr>
        <w:tc>
          <w:tcPr>
            <w:tcW w:w="2631" w:type="dxa"/>
            <w:shd w:val="clear" w:color="auto" w:fill="E4E4E4" w:themeFill="accent1" w:themeFillTint="33"/>
          </w:tcPr>
          <w:p w14:paraId="0BA9DA1D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</w:t>
            </w:r>
          </w:p>
        </w:tc>
        <w:tc>
          <w:tcPr>
            <w:tcW w:w="6725" w:type="dxa"/>
          </w:tcPr>
          <w:p w14:paraId="0E214F2C" w14:textId="77777777" w:rsidR="002F4F0A" w:rsidRDefault="00000000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1414749"/>
                <w:lock w:val="sdtContentLocked"/>
                <w:placeholder>
                  <w:docPart w:val="6D8C7AF7D02A4B189BCD9C0F501EA56F"/>
                </w:placeholder>
                <w:text/>
              </w:sdtPr>
              <w:sdtContent>
                <w:r w:rsidR="00DA6E91">
                  <w:rPr>
                    <w:rFonts w:ascii="Arial" w:hAnsi="Arial" w:cs="Arial"/>
                  </w:rPr>
                  <w:t>70856508</w:t>
                </w:r>
              </w:sdtContent>
            </w:sdt>
          </w:p>
        </w:tc>
      </w:tr>
      <w:tr w:rsidR="002F4F0A" w14:paraId="012BCBBA" w14:textId="77777777">
        <w:trPr>
          <w:trHeight w:val="283"/>
        </w:trPr>
        <w:tc>
          <w:tcPr>
            <w:tcW w:w="2631" w:type="dxa"/>
            <w:shd w:val="clear" w:color="auto" w:fill="E4E4E4" w:themeFill="accent1" w:themeFillTint="33"/>
          </w:tcPr>
          <w:p w14:paraId="70F02D30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Zastoupen</w:t>
            </w:r>
          </w:p>
        </w:tc>
        <w:tc>
          <w:tcPr>
            <w:tcW w:w="6725" w:type="dxa"/>
          </w:tcPr>
          <w:p w14:paraId="49028818" w14:textId="77777777" w:rsidR="002F4F0A" w:rsidRDefault="00000000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7787776"/>
                <w:lock w:val="sdtLocked"/>
                <w:placeholder>
                  <w:docPart w:val="80854738F3C8484EA16CA3644B26908A"/>
                </w:placeholder>
                <w:text/>
              </w:sdtPr>
              <w:sdtContent>
                <w:r w:rsidR="00DA6E91">
                  <w:rPr>
                    <w:rFonts w:ascii="Arial" w:hAnsi="Arial" w:cs="Arial"/>
                  </w:rPr>
                  <w:t xml:space="preserve">Ing. Zbyňkem </w:t>
                </w:r>
                <w:proofErr w:type="spellStart"/>
                <w:r w:rsidR="00DA6E91">
                  <w:rPr>
                    <w:rFonts w:ascii="Arial" w:hAnsi="Arial" w:cs="Arial"/>
                  </w:rPr>
                  <w:t>Hořelicou</w:t>
                </w:r>
                <w:proofErr w:type="spellEnd"/>
                <w:r w:rsidR="00DA6E91">
                  <w:rPr>
                    <w:rFonts w:ascii="Arial" w:hAnsi="Arial" w:cs="Arial"/>
                  </w:rPr>
                  <w:t>, ředitelem</w:t>
                </w:r>
              </w:sdtContent>
            </w:sdt>
          </w:p>
        </w:tc>
      </w:tr>
      <w:tr w:rsidR="002F4F0A" w14:paraId="699F3BBF" w14:textId="77777777">
        <w:trPr>
          <w:trHeight w:val="283"/>
        </w:trPr>
        <w:tc>
          <w:tcPr>
            <w:tcW w:w="2631" w:type="dxa"/>
            <w:shd w:val="clear" w:color="auto" w:fill="E4E4E4" w:themeFill="accent1" w:themeFillTint="33"/>
          </w:tcPr>
          <w:p w14:paraId="08334B3B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osoba</w:t>
            </w:r>
          </w:p>
        </w:tc>
        <w:tc>
          <w:tcPr>
            <w:tcW w:w="6725" w:type="dxa"/>
          </w:tcPr>
          <w:p w14:paraId="32D9D3CD" w14:textId="20D912E0" w:rsidR="002F4F0A" w:rsidRDefault="00000000" w:rsidP="005F02E8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11835953"/>
                <w:lock w:val="sdtLocked"/>
                <w:placeholder>
                  <w:docPart w:val="D512BAAD853F471AA5A88A0A5327DA5F"/>
                </w:placeholder>
                <w:text/>
              </w:sdtPr>
              <w:sdtContent>
                <w:r w:rsidR="002D02F8">
                  <w:rPr>
                    <w:rFonts w:ascii="Arial" w:hAnsi="Arial" w:cs="Arial"/>
                  </w:rPr>
                  <w:t>Ing. Jan Fančo, vedoucí Oddělení veřejných zakázek</w:t>
                </w:r>
              </w:sdtContent>
            </w:sdt>
          </w:p>
        </w:tc>
      </w:tr>
      <w:tr w:rsidR="002F4F0A" w14:paraId="733178AF" w14:textId="77777777">
        <w:trPr>
          <w:trHeight w:val="283"/>
        </w:trPr>
        <w:tc>
          <w:tcPr>
            <w:tcW w:w="2631" w:type="dxa"/>
            <w:shd w:val="clear" w:color="auto" w:fill="E4E4E4" w:themeFill="accent1" w:themeFillTint="33"/>
          </w:tcPr>
          <w:p w14:paraId="1CC3EF89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Telefonní číslo</w:t>
            </w:r>
          </w:p>
        </w:tc>
        <w:tc>
          <w:tcPr>
            <w:tcW w:w="6725" w:type="dxa"/>
          </w:tcPr>
          <w:p w14:paraId="23C90E2C" w14:textId="77777777" w:rsidR="002F4F0A" w:rsidRDefault="00000000" w:rsidP="00C407FA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5836979"/>
                <w:lock w:val="sdtLocked"/>
                <w:placeholder>
                  <w:docPart w:val="DAF133A66591488F83983775AD8DD097"/>
                </w:placeholder>
                <w:text/>
              </w:sdtPr>
              <w:sdtContent>
                <w:r w:rsidR="00DA6E91">
                  <w:rPr>
                    <w:rFonts w:ascii="Arial" w:hAnsi="Arial" w:cs="Arial"/>
                  </w:rPr>
                  <w:t>+420 266 097 529</w:t>
                </w:r>
              </w:sdtContent>
            </w:sdt>
          </w:p>
        </w:tc>
      </w:tr>
      <w:tr w:rsidR="002F4F0A" w14:paraId="04F371C4" w14:textId="77777777">
        <w:trPr>
          <w:trHeight w:val="283"/>
        </w:trPr>
        <w:tc>
          <w:tcPr>
            <w:tcW w:w="2631" w:type="dxa"/>
            <w:shd w:val="clear" w:color="auto" w:fill="E4E4E4" w:themeFill="accent1" w:themeFillTint="33"/>
          </w:tcPr>
          <w:p w14:paraId="4BEFD573" w14:textId="77777777" w:rsidR="002F4F0A" w:rsidRDefault="00176A2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725" w:type="dxa"/>
          </w:tcPr>
          <w:p w14:paraId="4ADC6AA1" w14:textId="77777777" w:rsidR="002F4F0A" w:rsidRDefault="00000000" w:rsidP="00C407FA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sdt>
              <w:sdtPr>
                <w:rPr>
                  <w:rStyle w:val="Hypertextovodkaz"/>
                  <w:rFonts w:asciiTheme="majorHAnsi" w:hAnsiTheme="majorHAnsi" w:cstheme="majorHAnsi"/>
                </w:rPr>
                <w:id w:val="-96950873"/>
                <w:lock w:val="sdtLocked"/>
                <w:placeholder>
                  <w:docPart w:val="8671623D5746414F95304BB9A31AA474"/>
                </w:placeholder>
                <w:text/>
              </w:sdtPr>
              <w:sdtContent>
                <w:r w:rsidR="00DA6E91">
                  <w:rPr>
                    <w:rStyle w:val="Hypertextovodkaz"/>
                    <w:rFonts w:asciiTheme="majorHAnsi" w:hAnsiTheme="majorHAnsi" w:cstheme="majorHAnsi"/>
                  </w:rPr>
                  <w:t>jan.fanco@sfdi.cz</w:t>
                </w:r>
              </w:sdtContent>
            </w:sdt>
          </w:p>
        </w:tc>
      </w:tr>
    </w:tbl>
    <w:p w14:paraId="0A60266D" w14:textId="77777777" w:rsidR="003240D9" w:rsidRDefault="003240D9"/>
    <w:sdt>
      <w:sdtPr>
        <w:rPr>
          <w:b w:val="0"/>
          <w:bCs w:val="0"/>
          <w:caps w:val="0"/>
          <w:color w:val="auto"/>
          <w:spacing w:val="0"/>
          <w:sz w:val="20"/>
          <w:szCs w:val="20"/>
          <w:lang w:bidi="ar-SA"/>
        </w:rPr>
        <w:id w:val="1192731734"/>
        <w:docPartObj>
          <w:docPartGallery w:val="Table of Contents"/>
          <w:docPartUnique/>
        </w:docPartObj>
      </w:sdtPr>
      <w:sdtContent>
        <w:p w14:paraId="25AEDC3F" w14:textId="77777777" w:rsidR="002F4F0A" w:rsidRPr="005D205C" w:rsidRDefault="00176A2D">
          <w:pPr>
            <w:pStyle w:val="Nadpisobsahu"/>
            <w:numPr>
              <w:ilvl w:val="0"/>
              <w:numId w:val="0"/>
            </w:numPr>
            <w:ind w:left="432" w:hanging="432"/>
          </w:pPr>
          <w:r w:rsidRPr="005D205C">
            <w:t>Obsah</w:t>
          </w:r>
        </w:p>
        <w:p w14:paraId="112F7CD7" w14:textId="77777777" w:rsidR="00D62754" w:rsidRDefault="00176A2D">
          <w:pPr>
            <w:pStyle w:val="Obsah1"/>
            <w:tabs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r w:rsidRPr="005A3317">
            <w:rPr>
              <w:highlight w:val="yellow"/>
            </w:rPr>
            <w:lastRenderedPageBreak/>
            <w:fldChar w:fldCharType="begin"/>
          </w:r>
          <w:r w:rsidRPr="005A3317">
            <w:rPr>
              <w:highlight w:val="yellow"/>
            </w:rPr>
            <w:instrText xml:space="preserve"> TOC \o "1-3" \h \z \u </w:instrText>
          </w:r>
          <w:r w:rsidRPr="005A3317">
            <w:rPr>
              <w:highlight w:val="yellow"/>
            </w:rPr>
            <w:fldChar w:fldCharType="separate"/>
          </w:r>
          <w:hyperlink w:anchor="_Toc86153761" w:history="1">
            <w:r w:rsidR="00D62754" w:rsidRPr="005F7107">
              <w:rPr>
                <w:rStyle w:val="Hypertextovodkaz"/>
                <w:rFonts w:eastAsia="Calibri"/>
                <w:b/>
                <w:bCs/>
                <w:caps/>
                <w:noProof/>
                <w:spacing w:val="15"/>
              </w:rPr>
              <w:t>Identifikace řízení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_Toc86153761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1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65D50092" w14:textId="77777777" w:rsidR="00D62754" w:rsidRDefault="00000000">
          <w:pPr>
            <w:pStyle w:val="Obsah1"/>
            <w:tabs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62" w:history="1">
            <w:r w:rsidR="00D62754" w:rsidRPr="005F7107">
              <w:rPr>
                <w:rStyle w:val="Hypertextovodkaz"/>
                <w:noProof/>
              </w:rPr>
              <w:t>Identifikační údaje centrálního zadavatele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_Toc86153762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1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3783D148" w14:textId="77777777" w:rsidR="00D62754" w:rsidRDefault="00000000">
          <w:pPr>
            <w:pStyle w:val="Obsah1"/>
            <w:tabs>
              <w:tab w:val="left" w:pos="4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63" w:history="1">
            <w:r w:rsidR="00D62754" w:rsidRPr="005F7107">
              <w:rPr>
                <w:rStyle w:val="Hypertextovodkaz"/>
                <w:noProof/>
              </w:rPr>
              <w:t>1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Úvodní ustanovení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_Toc86153763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3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570094BE" w14:textId="77777777" w:rsidR="00D6275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64" w:history="1">
            <w:r w:rsidR="00D62754" w:rsidRPr="005F7107">
              <w:rPr>
                <w:rStyle w:val="Hypertextovodkaz"/>
                <w:noProof/>
              </w:rPr>
              <w:t>1.1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Definice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_Toc86153764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3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4C5711D8" w14:textId="77777777" w:rsidR="00D6275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65" w:history="1">
            <w:r w:rsidR="00D62754" w:rsidRPr="005F7107">
              <w:rPr>
                <w:rStyle w:val="Hypertextovodkaz"/>
                <w:noProof/>
              </w:rPr>
              <w:t>1.2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Formulář nabídky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_Toc86153765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3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4354569F" w14:textId="77777777" w:rsidR="00D6275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66" w:history="1">
            <w:r w:rsidR="00D62754" w:rsidRPr="005F7107">
              <w:rPr>
                <w:rStyle w:val="Hypertextovodkaz"/>
                <w:noProof/>
              </w:rPr>
              <w:t>1.3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Elektronický nástroj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_Toc86153766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3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158BF2B9" w14:textId="77777777" w:rsidR="00D6275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67" w:history="1">
            <w:r w:rsidR="00D62754" w:rsidRPr="005F7107">
              <w:rPr>
                <w:rStyle w:val="Hypertextovodkaz"/>
                <w:noProof/>
              </w:rPr>
              <w:t>1.4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Části Zadávací dokumentace vypracované osobami odlišnými od Zadavatele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_Toc86153767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4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34EB5855" w14:textId="77777777" w:rsidR="00D62754" w:rsidRDefault="00000000">
          <w:pPr>
            <w:pStyle w:val="Obsah1"/>
            <w:tabs>
              <w:tab w:val="left" w:pos="4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68" w:history="1">
            <w:r w:rsidR="00D62754" w:rsidRPr="005F7107">
              <w:rPr>
                <w:rStyle w:val="Hypertextovodkaz"/>
                <w:noProof/>
              </w:rPr>
              <w:t>2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Předmět plnění Veřejné zakázky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_Toc86153768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4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43A88667" w14:textId="77777777" w:rsidR="00D6275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69" w:history="1">
            <w:r w:rsidR="00D62754" w:rsidRPr="005F7107">
              <w:rPr>
                <w:rStyle w:val="Hypertextovodkaz"/>
                <w:noProof/>
              </w:rPr>
              <w:t>2.1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Vyhrazené změny závazků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_Toc86153769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5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3338E8DF" w14:textId="77777777" w:rsidR="00D62754" w:rsidRDefault="00000000">
          <w:pPr>
            <w:pStyle w:val="Obsah1"/>
            <w:tabs>
              <w:tab w:val="left" w:pos="4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70" w:history="1">
            <w:r w:rsidR="00D62754" w:rsidRPr="005F7107">
              <w:rPr>
                <w:rStyle w:val="Hypertextovodkaz"/>
                <w:noProof/>
              </w:rPr>
              <w:t>3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Doba a Místo plnění Veřejné zakázky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_Toc86153770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5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294A897B" w14:textId="77777777" w:rsidR="00D6275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71" w:history="1">
            <w:r w:rsidR="00D62754" w:rsidRPr="005F7107">
              <w:rPr>
                <w:rStyle w:val="Hypertextovodkaz"/>
                <w:noProof/>
              </w:rPr>
              <w:t>3.1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Doba plnění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_Toc86153771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5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2B88FEB0" w14:textId="77777777" w:rsidR="00D6275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72" w:history="1">
            <w:r w:rsidR="00D62754" w:rsidRPr="005F7107">
              <w:rPr>
                <w:rStyle w:val="Hypertextovodkaz"/>
                <w:noProof/>
              </w:rPr>
              <w:t>3.2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Místo plnění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_Toc86153772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5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419F78F5" w14:textId="77777777" w:rsidR="00D62754" w:rsidRDefault="00000000">
          <w:pPr>
            <w:pStyle w:val="Obsah1"/>
            <w:tabs>
              <w:tab w:val="left" w:pos="4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73" w:history="1">
            <w:r w:rsidR="00D62754" w:rsidRPr="005F7107">
              <w:rPr>
                <w:rStyle w:val="Hypertextovodkaz"/>
                <w:noProof/>
              </w:rPr>
              <w:t>4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Smluvní podmínky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_Toc86153773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5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1DF032BC" w14:textId="77777777" w:rsidR="00D62754" w:rsidRDefault="00000000">
          <w:pPr>
            <w:pStyle w:val="Obsah1"/>
            <w:tabs>
              <w:tab w:val="left" w:pos="4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74" w:history="1">
            <w:r w:rsidR="00D62754" w:rsidRPr="005F7107">
              <w:rPr>
                <w:rStyle w:val="Hypertextovodkaz"/>
                <w:noProof/>
              </w:rPr>
              <w:t>5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Kvalifikace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_Toc86153774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6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22D72712" w14:textId="77777777" w:rsidR="00D62754" w:rsidRDefault="00000000">
          <w:pPr>
            <w:pStyle w:val="Obsah1"/>
            <w:tabs>
              <w:tab w:val="left" w:pos="4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75" w:history="1">
            <w:r w:rsidR="00D62754" w:rsidRPr="005F7107">
              <w:rPr>
                <w:rStyle w:val="Hypertextovodkaz"/>
                <w:noProof/>
              </w:rPr>
              <w:t>6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Požadavky na způsob zpracování nabídkové ceny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_Toc86153775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6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3302B009" w14:textId="77777777" w:rsidR="00D62754" w:rsidRDefault="00000000">
          <w:pPr>
            <w:pStyle w:val="Obsah1"/>
            <w:tabs>
              <w:tab w:val="left" w:pos="4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76" w:history="1">
            <w:r w:rsidR="00D62754" w:rsidRPr="005F7107">
              <w:rPr>
                <w:rStyle w:val="Hypertextovodkaz"/>
                <w:noProof/>
              </w:rPr>
              <w:t>7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Hodnotící kritéria a způsob hodnocení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_Toc86153776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6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09282296" w14:textId="77777777" w:rsidR="00D62754" w:rsidRDefault="00000000">
          <w:pPr>
            <w:pStyle w:val="Obsah1"/>
            <w:tabs>
              <w:tab w:val="left" w:pos="4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77" w:history="1">
            <w:r w:rsidR="00D62754" w:rsidRPr="005F7107">
              <w:rPr>
                <w:rStyle w:val="Hypertextovodkaz"/>
                <w:noProof/>
              </w:rPr>
              <w:t>8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Podmínky pro uzavření Smlouvy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_Toc86153777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7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63C39BBF" w14:textId="77777777" w:rsidR="00D62754" w:rsidRDefault="00000000">
          <w:pPr>
            <w:pStyle w:val="Obsah1"/>
            <w:tabs>
              <w:tab w:val="left" w:pos="4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78" w:history="1">
            <w:r w:rsidR="00D62754" w:rsidRPr="005F7107">
              <w:rPr>
                <w:rStyle w:val="Hypertextovodkaz"/>
                <w:noProof/>
              </w:rPr>
              <w:t>9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Další požadavky a doporučení ke zpracování nabídek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_Toc86153778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7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623AE49F" w14:textId="77777777" w:rsidR="00D62754" w:rsidRDefault="00000000">
          <w:pPr>
            <w:pStyle w:val="Obsah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79" w:history="1">
            <w:r w:rsidR="00D62754" w:rsidRPr="005F7107">
              <w:rPr>
                <w:rStyle w:val="Hypertextovodkaz"/>
                <w:noProof/>
              </w:rPr>
              <w:t>10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Lhůta, způsob a místo pro podání nabídek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_Toc86153779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8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086199BB" w14:textId="77777777" w:rsidR="00D6275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80" w:history="1">
            <w:r w:rsidR="00D62754" w:rsidRPr="005F7107">
              <w:rPr>
                <w:rStyle w:val="Hypertextovodkaz"/>
                <w:noProof/>
              </w:rPr>
              <w:t>10.1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Lhůta pro podání nabídky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_Toc86153780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8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235358FA" w14:textId="77777777" w:rsidR="00D62754" w:rsidRDefault="00000000">
          <w:pPr>
            <w:pStyle w:val="Obsah2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81" w:history="1">
            <w:r w:rsidR="00D62754" w:rsidRPr="005F7107">
              <w:rPr>
                <w:rStyle w:val="Hypertextovodkaz"/>
                <w:noProof/>
              </w:rPr>
              <w:t>10.2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Způsob a místo podání nabídek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_Toc86153781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8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4F893195" w14:textId="77777777" w:rsidR="00D62754" w:rsidRDefault="00000000">
          <w:pPr>
            <w:pStyle w:val="Obsah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82" w:history="1">
            <w:r w:rsidR="00D62754" w:rsidRPr="005F7107">
              <w:rPr>
                <w:rStyle w:val="Hypertextovodkaz"/>
                <w:noProof/>
              </w:rPr>
              <w:t>11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Komunikace mezi Zadavatelem a účastníky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_Toc86153782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8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5D3FF4E6" w14:textId="77777777" w:rsidR="00D62754" w:rsidRDefault="00000000">
          <w:pPr>
            <w:pStyle w:val="Obsah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86153783" w:history="1">
            <w:r w:rsidR="00D62754" w:rsidRPr="005F7107">
              <w:rPr>
                <w:rStyle w:val="Hypertextovodkaz"/>
                <w:noProof/>
              </w:rPr>
              <w:t>12</w:t>
            </w:r>
            <w:r w:rsidR="00D62754">
              <w:rPr>
                <w:noProof/>
                <w:sz w:val="22"/>
                <w:szCs w:val="22"/>
                <w:lang w:eastAsia="cs-CZ"/>
              </w:rPr>
              <w:tab/>
            </w:r>
            <w:r w:rsidR="00D62754" w:rsidRPr="005F7107">
              <w:rPr>
                <w:rStyle w:val="Hypertextovodkaz"/>
                <w:noProof/>
              </w:rPr>
              <w:t>Přílohy</w:t>
            </w:r>
            <w:r w:rsidR="00D62754">
              <w:rPr>
                <w:noProof/>
                <w:webHidden/>
              </w:rPr>
              <w:tab/>
            </w:r>
            <w:r w:rsidR="00D62754">
              <w:rPr>
                <w:noProof/>
                <w:webHidden/>
              </w:rPr>
              <w:fldChar w:fldCharType="begin"/>
            </w:r>
            <w:r w:rsidR="00D62754">
              <w:rPr>
                <w:noProof/>
                <w:webHidden/>
              </w:rPr>
              <w:instrText xml:space="preserve"> PAGEREF _Toc86153783 \h </w:instrText>
            </w:r>
            <w:r w:rsidR="00D62754">
              <w:rPr>
                <w:noProof/>
                <w:webHidden/>
              </w:rPr>
            </w:r>
            <w:r w:rsidR="00D62754">
              <w:rPr>
                <w:noProof/>
                <w:webHidden/>
              </w:rPr>
              <w:fldChar w:fldCharType="separate"/>
            </w:r>
            <w:r w:rsidR="00D62754">
              <w:rPr>
                <w:noProof/>
                <w:webHidden/>
              </w:rPr>
              <w:t>8</w:t>
            </w:r>
            <w:r w:rsidR="00D62754">
              <w:rPr>
                <w:noProof/>
                <w:webHidden/>
              </w:rPr>
              <w:fldChar w:fldCharType="end"/>
            </w:r>
          </w:hyperlink>
        </w:p>
        <w:p w14:paraId="3610860B" w14:textId="77777777" w:rsidR="002F4F0A" w:rsidRDefault="00176A2D">
          <w:r w:rsidRPr="005A3317">
            <w:rPr>
              <w:b/>
              <w:bCs/>
              <w:highlight w:val="yellow"/>
            </w:rPr>
            <w:fldChar w:fldCharType="end"/>
          </w:r>
        </w:p>
      </w:sdtContent>
    </w:sdt>
    <w:p w14:paraId="32F3188E" w14:textId="77777777" w:rsidR="002F4F0A" w:rsidRDefault="00176A2D">
      <w:r>
        <w:br w:type="page"/>
      </w:r>
    </w:p>
    <w:p w14:paraId="3301E125" w14:textId="77777777" w:rsidR="002F4F0A" w:rsidRDefault="00176A2D">
      <w:pPr>
        <w:pStyle w:val="Nadpis1"/>
      </w:pPr>
      <w:bookmarkStart w:id="3" w:name="_Toc86153763"/>
      <w:r>
        <w:lastRenderedPageBreak/>
        <w:t>Úvodní ustanovení</w:t>
      </w:r>
      <w:bookmarkEnd w:id="3"/>
    </w:p>
    <w:p w14:paraId="6A270EF2" w14:textId="77777777" w:rsidR="00635582" w:rsidRPr="00635582" w:rsidRDefault="00635582" w:rsidP="00635582"/>
    <w:p w14:paraId="77755731" w14:textId="77777777" w:rsidR="002F4F0A" w:rsidRPr="001563A0" w:rsidRDefault="00176A2D">
      <w:pPr>
        <w:pStyle w:val="Nadpis2"/>
      </w:pPr>
      <w:bookmarkStart w:id="4" w:name="_Toc86153764"/>
      <w:r w:rsidRPr="001563A0">
        <w:t>Definice</w:t>
      </w:r>
      <w:bookmarkEnd w:id="4"/>
    </w:p>
    <w:p w14:paraId="6B9EE79D" w14:textId="1DDC0822" w:rsidR="002F4F0A" w:rsidRDefault="00176A2D">
      <w:r>
        <w:t>Slova, slovní spojení a zkratky představují definice, které jsou užívány v jednotném významu ve všech částech Zadávací dokumentace</w:t>
      </w:r>
      <w:r w:rsidR="00B1759E">
        <w:t xml:space="preserve"> (mimo </w:t>
      </w:r>
      <w:r w:rsidR="00B1759E">
        <w:rPr>
          <w:i/>
        </w:rPr>
        <w:t>Návrhu Smlouvy)</w:t>
      </w:r>
      <w:r>
        <w:t>; definice jsou zavedeny zejména v následujícím odstavci.</w:t>
      </w:r>
    </w:p>
    <w:p w14:paraId="4A2852C4" w14:textId="77777777" w:rsidR="002F4F0A" w:rsidRDefault="00176A2D" w:rsidP="007C66B9">
      <w:pPr>
        <w:spacing w:after="120"/>
      </w:pPr>
      <w:r>
        <w:t xml:space="preserve">V kontextu </w:t>
      </w:r>
      <w:r w:rsidRPr="00D11426">
        <w:t>Zadávací dokumentace se rozumí:</w:t>
      </w:r>
    </w:p>
    <w:p w14:paraId="64CB8510" w14:textId="088C489E" w:rsidR="00DD6C7C" w:rsidRDefault="00B95F65" w:rsidP="00725B25">
      <w:pPr>
        <w:pStyle w:val="Odstavecseseznamem"/>
        <w:numPr>
          <w:ilvl w:val="0"/>
          <w:numId w:val="11"/>
        </w:numPr>
        <w:spacing w:before="0" w:after="120"/>
        <w:ind w:left="1066" w:hanging="357"/>
        <w:contextualSpacing w:val="0"/>
        <w:rPr>
          <w:rFonts w:ascii="Arial" w:eastAsia="Calibri" w:hAnsi="Arial" w:cs="Arial"/>
        </w:rPr>
      </w:pPr>
      <w:r>
        <w:rPr>
          <w:rFonts w:eastAsia="Calibri" w:cs="Arial"/>
          <w:b/>
        </w:rPr>
        <w:t>Celkovou</w:t>
      </w:r>
      <w:r w:rsidR="002B6697" w:rsidRPr="00DD6C7C">
        <w:rPr>
          <w:rFonts w:eastAsia="Calibri" w:cs="Arial"/>
          <w:b/>
        </w:rPr>
        <w:t xml:space="preserve"> nabídkov</w:t>
      </w:r>
      <w:r>
        <w:rPr>
          <w:rFonts w:eastAsia="Calibri" w:cs="Arial"/>
          <w:b/>
        </w:rPr>
        <w:t>ou</w:t>
      </w:r>
      <w:r w:rsidR="002B6697" w:rsidRPr="00DD6C7C">
        <w:rPr>
          <w:rFonts w:eastAsia="Calibri" w:cs="Arial"/>
          <w:b/>
        </w:rPr>
        <w:t xml:space="preserve"> cen</w:t>
      </w:r>
      <w:r>
        <w:rPr>
          <w:rFonts w:eastAsia="Calibri" w:cs="Arial"/>
          <w:b/>
        </w:rPr>
        <w:t>ou</w:t>
      </w:r>
      <w:r w:rsidR="00DD6C7C" w:rsidRPr="00DD6C7C">
        <w:rPr>
          <w:rFonts w:eastAsia="Calibri" w:cs="Arial"/>
        </w:rPr>
        <w:t xml:space="preserve"> </w:t>
      </w:r>
      <w:r w:rsidR="002D02F8">
        <w:t>–</w:t>
      </w:r>
      <w:r>
        <w:rPr>
          <w:rFonts w:eastAsia="Calibri" w:cs="Arial"/>
        </w:rPr>
        <w:t xml:space="preserve"> </w:t>
      </w:r>
      <w:r w:rsidR="00DD6C7C" w:rsidRPr="00DD6C7C">
        <w:rPr>
          <w:rFonts w:eastAsia="Calibri" w:cs="Arial"/>
        </w:rPr>
        <w:t xml:space="preserve">cena uvedená </w:t>
      </w:r>
      <w:r>
        <w:rPr>
          <w:rFonts w:ascii="Arial" w:eastAsia="Calibri" w:hAnsi="Arial" w:cs="Arial"/>
        </w:rPr>
        <w:t xml:space="preserve">v řádku č. </w:t>
      </w:r>
      <w:r w:rsidR="00A47143">
        <w:rPr>
          <w:rFonts w:ascii="Arial" w:eastAsia="Calibri" w:hAnsi="Arial" w:cs="Arial"/>
        </w:rPr>
        <w:t>9</w:t>
      </w:r>
      <w:r>
        <w:rPr>
          <w:rFonts w:ascii="Arial" w:eastAsia="Calibri" w:hAnsi="Arial" w:cs="Arial"/>
        </w:rPr>
        <w:t xml:space="preserve"> </w:t>
      </w:r>
      <w:r w:rsidRPr="00124F34">
        <w:rPr>
          <w:rFonts w:ascii="Arial" w:eastAsia="Calibri" w:hAnsi="Arial" w:cs="Arial"/>
          <w:i/>
        </w:rPr>
        <w:t>T</w:t>
      </w:r>
      <w:r w:rsidR="00DD6C7C" w:rsidRPr="00124F34">
        <w:rPr>
          <w:rFonts w:ascii="Arial" w:eastAsia="Calibri" w:hAnsi="Arial" w:cs="Arial"/>
          <w:i/>
        </w:rPr>
        <w:t>abulky nabídkové ceny</w:t>
      </w:r>
      <w:r w:rsidR="00DD6C7C" w:rsidRPr="00DD6C7C">
        <w:rPr>
          <w:rFonts w:ascii="Arial" w:eastAsia="Calibri" w:hAnsi="Arial" w:cs="Arial"/>
        </w:rPr>
        <w:t xml:space="preserve">, která je přílohou </w:t>
      </w:r>
      <w:r w:rsidR="00DD6C7C" w:rsidRPr="00DD6C7C">
        <w:rPr>
          <w:rFonts w:ascii="Arial" w:eastAsia="Calibri" w:hAnsi="Arial" w:cs="Arial"/>
          <w:i/>
        </w:rPr>
        <w:t>Formuláře nabídky</w:t>
      </w:r>
      <w:r w:rsidR="00DD6C7C" w:rsidRPr="00DD6C7C">
        <w:rPr>
          <w:rFonts w:ascii="Arial" w:eastAsia="Calibri" w:hAnsi="Arial" w:cs="Arial"/>
        </w:rPr>
        <w:t>;</w:t>
      </w:r>
    </w:p>
    <w:p w14:paraId="22E05F69" w14:textId="60A539BC" w:rsidR="002B6697" w:rsidRDefault="002B6697" w:rsidP="00725B25">
      <w:pPr>
        <w:numPr>
          <w:ilvl w:val="0"/>
          <w:numId w:val="11"/>
        </w:numPr>
        <w:spacing w:before="0" w:after="120"/>
        <w:rPr>
          <w:rFonts w:ascii="Arial" w:eastAsiaTheme="minorHAnsi" w:hAnsi="Arial"/>
        </w:rPr>
      </w:pPr>
      <w:r w:rsidRPr="002B6697">
        <w:rPr>
          <w:rFonts w:ascii="Arial" w:eastAsiaTheme="minorHAnsi" w:hAnsi="Arial"/>
          <w:b/>
        </w:rPr>
        <w:t>CPV</w:t>
      </w:r>
      <w:r w:rsidRPr="002B6697">
        <w:rPr>
          <w:rFonts w:ascii="Arial" w:eastAsiaTheme="minorHAnsi" w:hAnsi="Arial"/>
        </w:rPr>
        <w:t xml:space="preserve"> </w:t>
      </w:r>
      <w:r w:rsidR="002D02F8">
        <w:t>–</w:t>
      </w:r>
      <w:r w:rsidR="00B95F65">
        <w:rPr>
          <w:rFonts w:ascii="Arial" w:eastAsiaTheme="minorHAnsi" w:hAnsi="Arial"/>
        </w:rPr>
        <w:t xml:space="preserve"> </w:t>
      </w:r>
      <w:r w:rsidRPr="002B6697">
        <w:rPr>
          <w:rFonts w:ascii="Arial" w:eastAsiaTheme="minorHAnsi" w:hAnsi="Arial"/>
        </w:rPr>
        <w:t xml:space="preserve">číselník </w:t>
      </w:r>
      <w:proofErr w:type="spellStart"/>
      <w:r w:rsidRPr="002B6697">
        <w:rPr>
          <w:rFonts w:ascii="Arial" w:eastAsiaTheme="minorHAnsi" w:hAnsi="Arial"/>
        </w:rPr>
        <w:t>Common</w:t>
      </w:r>
      <w:proofErr w:type="spellEnd"/>
      <w:r w:rsidRPr="002B6697">
        <w:rPr>
          <w:rFonts w:ascii="Arial" w:eastAsiaTheme="minorHAnsi" w:hAnsi="Arial"/>
        </w:rPr>
        <w:t xml:space="preserve"> </w:t>
      </w:r>
      <w:proofErr w:type="spellStart"/>
      <w:r w:rsidRPr="002B6697">
        <w:rPr>
          <w:rFonts w:ascii="Arial" w:eastAsiaTheme="minorHAnsi" w:hAnsi="Arial"/>
        </w:rPr>
        <w:t>Procurement</w:t>
      </w:r>
      <w:proofErr w:type="spellEnd"/>
      <w:r w:rsidRPr="002B6697">
        <w:rPr>
          <w:rFonts w:ascii="Arial" w:eastAsiaTheme="minorHAnsi" w:hAnsi="Arial"/>
        </w:rPr>
        <w:t xml:space="preserve"> </w:t>
      </w:r>
      <w:proofErr w:type="spellStart"/>
      <w:r w:rsidRPr="002B6697">
        <w:rPr>
          <w:rFonts w:ascii="Arial" w:eastAsiaTheme="minorHAnsi" w:hAnsi="Arial"/>
        </w:rPr>
        <w:t>Vocabulary</w:t>
      </w:r>
      <w:proofErr w:type="spellEnd"/>
      <w:r w:rsidR="00D228AE">
        <w:rPr>
          <w:rFonts w:ascii="Arial" w:eastAsiaTheme="minorHAnsi" w:hAnsi="Arial"/>
        </w:rPr>
        <w:t>;</w:t>
      </w:r>
    </w:p>
    <w:p w14:paraId="531F1F1B" w14:textId="02079920" w:rsidR="00EA7FBA" w:rsidRPr="00EA7FBA" w:rsidRDefault="00B778E5" w:rsidP="00EA7FBA">
      <w:pPr>
        <w:pStyle w:val="Odstavecseseznamem"/>
        <w:numPr>
          <w:ilvl w:val="0"/>
          <w:numId w:val="11"/>
        </w:numPr>
        <w:spacing w:before="120" w:after="120"/>
        <w:contextualSpacing w:val="0"/>
      </w:pPr>
      <w:r>
        <w:rPr>
          <w:b/>
        </w:rPr>
        <w:t>Prováděcí</w:t>
      </w:r>
      <w:r w:rsidRPr="000C35A8">
        <w:rPr>
          <w:b/>
        </w:rPr>
        <w:t xml:space="preserve"> </w:t>
      </w:r>
      <w:r w:rsidR="00EA7FBA" w:rsidRPr="000C35A8">
        <w:rPr>
          <w:b/>
        </w:rPr>
        <w:t>smlouva</w:t>
      </w:r>
      <w:r w:rsidR="00EA7FBA">
        <w:t xml:space="preserve"> - je</w:t>
      </w:r>
      <w:r w:rsidR="00EA7FBA" w:rsidRPr="0065286E">
        <w:t xml:space="preserve"> </w:t>
      </w:r>
      <w:r w:rsidR="00EA7FBA" w:rsidRPr="002A679E">
        <w:t>d</w:t>
      </w:r>
      <w:r w:rsidR="00EA7FBA" w:rsidRPr="0065286E">
        <w:t>ílčí smlouva, tj</w:t>
      </w:r>
      <w:r w:rsidR="00EA7FBA">
        <w:t>.</w:t>
      </w:r>
      <w:r w:rsidR="00EA7FBA" w:rsidRPr="002A679E">
        <w:t xml:space="preserve"> </w:t>
      </w:r>
      <w:r w:rsidR="00EA7FBA">
        <w:t xml:space="preserve">zadání veřejné </w:t>
      </w:r>
      <w:r w:rsidR="00EA7FBA" w:rsidRPr="000C35A8">
        <w:t xml:space="preserve">zakázky postupem </w:t>
      </w:r>
      <w:r w:rsidR="00EA7FBA" w:rsidRPr="008E3697">
        <w:t xml:space="preserve">uvedeným </w:t>
      </w:r>
      <w:r w:rsidR="00EA7FBA" w:rsidRPr="005D76DB">
        <w:t xml:space="preserve">v čl. </w:t>
      </w:r>
      <w:r w:rsidR="00025FF2" w:rsidRPr="005D76DB">
        <w:t xml:space="preserve">3 </w:t>
      </w:r>
      <w:r w:rsidR="00EA7FBA" w:rsidRPr="005D76DB">
        <w:rPr>
          <w:i/>
        </w:rPr>
        <w:t>Návrhu</w:t>
      </w:r>
      <w:r w:rsidR="00EA7FBA" w:rsidRPr="000C35A8">
        <w:rPr>
          <w:i/>
        </w:rPr>
        <w:t xml:space="preserve"> Smlouvy</w:t>
      </w:r>
      <w:r w:rsidR="00EA7FBA" w:rsidRPr="0036135F">
        <w:t>;</w:t>
      </w:r>
      <w:r w:rsidR="00EA7FBA" w:rsidRPr="000C35A8">
        <w:t xml:space="preserve"> </w:t>
      </w:r>
    </w:p>
    <w:p w14:paraId="789F3F26" w14:textId="0A26CAE4" w:rsidR="009B3219" w:rsidRPr="00C25A96" w:rsidRDefault="00C41298" w:rsidP="00A23138">
      <w:pPr>
        <w:numPr>
          <w:ilvl w:val="0"/>
          <w:numId w:val="11"/>
        </w:numPr>
        <w:spacing w:before="0" w:after="120"/>
        <w:rPr>
          <w:rFonts w:ascii="Arial" w:eastAsiaTheme="minorHAnsi" w:hAnsi="Arial"/>
          <w:b/>
        </w:rPr>
      </w:pPr>
      <w:r w:rsidRPr="00C41298">
        <w:rPr>
          <w:rFonts w:ascii="Arial" w:eastAsiaTheme="minorHAnsi" w:hAnsi="Arial"/>
          <w:b/>
        </w:rPr>
        <w:t>Dodavatelem</w:t>
      </w:r>
      <w:r w:rsidRPr="00C41298">
        <w:rPr>
          <w:rFonts w:ascii="Arial" w:eastAsiaTheme="minorHAnsi" w:hAnsi="Arial"/>
        </w:rPr>
        <w:t xml:space="preserve"> </w:t>
      </w:r>
      <w:r w:rsidR="00315912">
        <w:t>–</w:t>
      </w:r>
      <w:r w:rsidRPr="00C41298">
        <w:rPr>
          <w:rFonts w:ascii="Arial" w:eastAsiaTheme="minorHAnsi" w:hAnsi="Arial"/>
        </w:rPr>
        <w:t xml:space="preserve"> </w:t>
      </w:r>
      <w:r w:rsidR="00CD70F6" w:rsidRPr="00CD70F6">
        <w:rPr>
          <w:rFonts w:ascii="Arial" w:eastAsiaTheme="minorHAnsi" w:hAnsi="Arial"/>
        </w:rPr>
        <w:t>vybraný dodavatel</w:t>
      </w:r>
      <w:r w:rsidR="00CD70F6">
        <w:rPr>
          <w:rFonts w:ascii="Arial" w:eastAsiaTheme="minorHAnsi" w:hAnsi="Arial"/>
        </w:rPr>
        <w:t>, tj.</w:t>
      </w:r>
      <w:r w:rsidR="00CD70F6" w:rsidRPr="00CD70F6">
        <w:rPr>
          <w:rFonts w:ascii="Arial" w:eastAsiaTheme="minorHAnsi" w:hAnsi="Arial"/>
        </w:rPr>
        <w:t xml:space="preserve"> </w:t>
      </w:r>
      <w:r w:rsidR="00CD70F6">
        <w:rPr>
          <w:rFonts w:ascii="Arial" w:eastAsiaTheme="minorHAnsi" w:hAnsi="Arial"/>
        </w:rPr>
        <w:t xml:space="preserve">ten </w:t>
      </w:r>
      <w:r w:rsidRPr="00C41298">
        <w:rPr>
          <w:rFonts w:ascii="Arial" w:eastAsiaTheme="minorHAnsi" w:hAnsi="Arial"/>
        </w:rPr>
        <w:t>účastník Ř</w:t>
      </w:r>
      <w:r w:rsidR="00CD70F6">
        <w:rPr>
          <w:rFonts w:ascii="Arial" w:eastAsiaTheme="minorHAnsi" w:hAnsi="Arial"/>
        </w:rPr>
        <w:t xml:space="preserve">ízení, </w:t>
      </w:r>
      <w:r w:rsidR="00CD70F6" w:rsidRPr="00C41298">
        <w:rPr>
          <w:rFonts w:ascii="Arial" w:eastAsiaTheme="minorHAnsi" w:hAnsi="Arial"/>
        </w:rPr>
        <w:t>který bude</w:t>
      </w:r>
      <w:r w:rsidRPr="00C41298">
        <w:rPr>
          <w:rFonts w:ascii="Arial" w:eastAsiaTheme="minorHAnsi" w:hAnsi="Arial"/>
        </w:rPr>
        <w:t xml:space="preserve"> v souladu s § 122 ZZVZ vybrán k podpisu Smlouvy; </w:t>
      </w:r>
    </w:p>
    <w:p w14:paraId="6FB21662" w14:textId="19C98468" w:rsidR="00834F30" w:rsidRPr="00834F30" w:rsidRDefault="00834F30" w:rsidP="00834F30">
      <w:pPr>
        <w:numPr>
          <w:ilvl w:val="0"/>
          <w:numId w:val="11"/>
        </w:numPr>
        <w:spacing w:before="0" w:after="120"/>
        <w:rPr>
          <w:rFonts w:ascii="Arial" w:eastAsiaTheme="minorHAnsi" w:hAnsi="Arial"/>
          <w:b/>
        </w:rPr>
      </w:pPr>
      <w:r w:rsidRPr="00834F30">
        <w:rPr>
          <w:rFonts w:ascii="Arial" w:eastAsiaTheme="minorHAnsi" w:hAnsi="Arial"/>
          <w:b/>
        </w:rPr>
        <w:t>ICT</w:t>
      </w:r>
      <w:r w:rsidR="0042026B">
        <w:rPr>
          <w:rFonts w:ascii="Arial" w:eastAsiaTheme="minorHAnsi" w:hAnsi="Arial"/>
          <w:b/>
        </w:rPr>
        <w:t>/IT</w:t>
      </w:r>
      <w:r>
        <w:rPr>
          <w:rFonts w:ascii="Arial" w:eastAsiaTheme="minorHAnsi" w:hAnsi="Arial"/>
          <w:b/>
        </w:rPr>
        <w:t xml:space="preserve"> – </w:t>
      </w:r>
      <w:r w:rsidRPr="00834F30">
        <w:rPr>
          <w:rFonts w:ascii="Arial" w:eastAsiaTheme="minorHAnsi" w:hAnsi="Arial"/>
        </w:rPr>
        <w:t>informační a komunikační technologie</w:t>
      </w:r>
      <w:r w:rsidR="0042026B">
        <w:rPr>
          <w:rFonts w:ascii="Arial" w:eastAsiaTheme="minorHAnsi" w:hAnsi="Arial"/>
        </w:rPr>
        <w:t>;</w:t>
      </w:r>
    </w:p>
    <w:p w14:paraId="4C2D1DF5" w14:textId="077B4663" w:rsidR="009B3219" w:rsidRDefault="009B3219" w:rsidP="00725B25">
      <w:pPr>
        <w:pStyle w:val="Odstavecseseznamem"/>
        <w:numPr>
          <w:ilvl w:val="0"/>
          <w:numId w:val="11"/>
        </w:numPr>
        <w:spacing w:before="0" w:after="120"/>
        <w:contextualSpacing w:val="0"/>
      </w:pPr>
      <w:r>
        <w:rPr>
          <w:b/>
        </w:rPr>
        <w:t>Řízením</w:t>
      </w:r>
      <w:r w:rsidR="00FF3B43" w:rsidRPr="00FF3B43">
        <w:t xml:space="preserve"> </w:t>
      </w:r>
      <w:r w:rsidR="002D02F8">
        <w:t>–</w:t>
      </w:r>
      <w:r w:rsidR="00FF3B43">
        <w:rPr>
          <w:b/>
        </w:rPr>
        <w:t xml:space="preserve"> </w:t>
      </w:r>
      <w:r w:rsidR="003D7261">
        <w:t>na</w:t>
      </w:r>
      <w:r>
        <w:t>dlimitní řízení</w:t>
      </w:r>
      <w:r w:rsidRPr="00DA59C5">
        <w:t xml:space="preserve"> k Veřejné zakázce dle ZZVZ</w:t>
      </w:r>
      <w:r>
        <w:rPr>
          <w:szCs w:val="22"/>
        </w:rPr>
        <w:t>;</w:t>
      </w:r>
    </w:p>
    <w:p w14:paraId="5FC7F5FF" w14:textId="57A6A305" w:rsidR="006B10D4" w:rsidRDefault="009B3219" w:rsidP="00B1759E">
      <w:pPr>
        <w:pStyle w:val="Odstavecseseznamem"/>
        <w:numPr>
          <w:ilvl w:val="0"/>
          <w:numId w:val="11"/>
        </w:numPr>
        <w:spacing w:before="0" w:after="0"/>
      </w:pPr>
      <w:r w:rsidRPr="007C66B9">
        <w:rPr>
          <w:b/>
        </w:rPr>
        <w:t>Služb</w:t>
      </w:r>
      <w:r w:rsidR="00B95F65">
        <w:rPr>
          <w:b/>
        </w:rPr>
        <w:t xml:space="preserve">ou </w:t>
      </w:r>
      <w:r w:rsidR="002D02F8">
        <w:t>–</w:t>
      </w:r>
      <w:r w:rsidRPr="009B3219">
        <w:t xml:space="preserve"> poskytování </w:t>
      </w:r>
      <w:r w:rsidR="00A47143" w:rsidRPr="00AA5E0D">
        <w:rPr>
          <w:rFonts w:ascii="Arial" w:hAnsi="Arial"/>
          <w:iCs/>
          <w:szCs w:val="22"/>
        </w:rPr>
        <w:t>projektového řízení</w:t>
      </w:r>
      <w:r w:rsidR="00A47143">
        <w:t xml:space="preserve"> a </w:t>
      </w:r>
      <w:r w:rsidR="006B10D4">
        <w:t xml:space="preserve">odborných </w:t>
      </w:r>
      <w:r w:rsidR="006B10D4" w:rsidRPr="006B10D4">
        <w:t>kvalifikovaných pora</w:t>
      </w:r>
      <w:r w:rsidR="00A47143">
        <w:t>denských a </w:t>
      </w:r>
      <w:r w:rsidR="006B10D4">
        <w:t>konzultačních služeb</w:t>
      </w:r>
      <w:r w:rsidR="00B1759E">
        <w:t>,</w:t>
      </w:r>
      <w:r w:rsidR="00B1759E" w:rsidRPr="006B10D4">
        <w:t xml:space="preserve"> včetně souvisejících služeb</w:t>
      </w:r>
      <w:r w:rsidR="00B1759E">
        <w:t xml:space="preserve">, </w:t>
      </w:r>
      <w:r w:rsidR="006B10D4">
        <w:t>expertním týmem</w:t>
      </w:r>
      <w:r w:rsidR="00B1759E">
        <w:t xml:space="preserve"> </w:t>
      </w:r>
      <w:r w:rsidR="006B10D4" w:rsidRPr="006B10D4">
        <w:t>v oblasti řízení projektů</w:t>
      </w:r>
      <w:r w:rsidR="00133F0A">
        <w:t xml:space="preserve"> – hl. významných </w:t>
      </w:r>
      <w:r w:rsidR="00133F0A" w:rsidRPr="006B10D4">
        <w:t>veřejn</w:t>
      </w:r>
      <w:r w:rsidR="00133F0A">
        <w:t>ých zakázek</w:t>
      </w:r>
      <w:r w:rsidR="00C04791">
        <w:t xml:space="preserve">, a to </w:t>
      </w:r>
      <w:r w:rsidR="00B1759E" w:rsidRPr="006B10D4">
        <w:t xml:space="preserve">zejména </w:t>
      </w:r>
      <w:r w:rsidR="00B1759E">
        <w:t xml:space="preserve">v oblasti </w:t>
      </w:r>
      <w:r w:rsidR="00B1759E" w:rsidRPr="006B10D4">
        <w:t>ICT projekt</w:t>
      </w:r>
      <w:r w:rsidR="00B1759E">
        <w:t>ů</w:t>
      </w:r>
      <w:r w:rsidR="006B10D4" w:rsidRPr="006B10D4">
        <w:t>,</w:t>
      </w:r>
      <w:r w:rsidR="00B1759E">
        <w:t xml:space="preserve"> ale rovněž také </w:t>
      </w:r>
      <w:r w:rsidR="00C04791">
        <w:t xml:space="preserve">i </w:t>
      </w:r>
      <w:r w:rsidR="00B1759E">
        <w:t>v dalších oblastech</w:t>
      </w:r>
      <w:r w:rsidR="006B10D4" w:rsidRPr="006B10D4">
        <w:t xml:space="preserve"> </w:t>
      </w:r>
      <w:r w:rsidR="00B1759E">
        <w:t>– např. stavební</w:t>
      </w:r>
      <w:r w:rsidR="00C04791">
        <w:t>ch</w:t>
      </w:r>
      <w:r w:rsidR="00B1759E">
        <w:t xml:space="preserve"> projekt</w:t>
      </w:r>
      <w:r w:rsidR="00C04791">
        <w:t>ech</w:t>
      </w:r>
      <w:r w:rsidR="0042026B">
        <w:t>;</w:t>
      </w:r>
    </w:p>
    <w:p w14:paraId="6598716E" w14:textId="4CEA2957" w:rsidR="009B3219" w:rsidRDefault="00FE1AAF" w:rsidP="00B1759E">
      <w:pPr>
        <w:pStyle w:val="Odstavecseseznamem"/>
        <w:numPr>
          <w:ilvl w:val="0"/>
          <w:numId w:val="11"/>
        </w:numPr>
        <w:spacing w:before="120" w:after="120"/>
        <w:ind w:left="1066" w:hanging="357"/>
        <w:contextualSpacing w:val="0"/>
      </w:pPr>
      <w:r w:rsidRPr="00FE1AAF">
        <w:rPr>
          <w:b/>
        </w:rPr>
        <w:t xml:space="preserve">Smlouvou </w:t>
      </w:r>
      <w:r w:rsidR="002D02F8">
        <w:t>–</w:t>
      </w:r>
      <w:r w:rsidRPr="00FE1AAF">
        <w:t xml:space="preserve"> </w:t>
      </w:r>
      <w:r w:rsidR="009929B9">
        <w:t xml:space="preserve">rámcová </w:t>
      </w:r>
      <w:r w:rsidRPr="00FE1AAF">
        <w:t xml:space="preserve">smlouva o poskytování </w:t>
      </w:r>
      <w:r>
        <w:t>S</w:t>
      </w:r>
      <w:r w:rsidRPr="00FE1AAF">
        <w:t>luž</w:t>
      </w:r>
      <w:r>
        <w:t>by</w:t>
      </w:r>
      <w:r w:rsidR="00D0156E">
        <w:t>, uzavřená mezi Zadavatelem a </w:t>
      </w:r>
      <w:r w:rsidR="00C41298">
        <w:t>D</w:t>
      </w:r>
      <w:r w:rsidR="00C41298" w:rsidRPr="00FE1AAF">
        <w:t xml:space="preserve">odavatelem </w:t>
      </w:r>
      <w:r w:rsidRPr="00FE1AAF">
        <w:t>na plnění předmětu Veřejné zakázky, a jejíž návrh je přílohou této zadávací dokumentace</w:t>
      </w:r>
      <w:r w:rsidR="00025FF2">
        <w:t>, nejedná se o rámcovou dohodu ve smyslu ZZVZ</w:t>
      </w:r>
      <w:r w:rsidRPr="00FE1AAF">
        <w:t>;</w:t>
      </w:r>
    </w:p>
    <w:p w14:paraId="506CDEDE" w14:textId="40ADA2BA" w:rsidR="00450662" w:rsidRPr="00450662" w:rsidRDefault="00450662" w:rsidP="00450662">
      <w:pPr>
        <w:pStyle w:val="Odstavecseseznamem"/>
        <w:numPr>
          <w:ilvl w:val="0"/>
          <w:numId w:val="11"/>
        </w:numPr>
        <w:spacing w:before="0" w:after="0" w:line="240" w:lineRule="auto"/>
        <w:contextualSpacing w:val="0"/>
        <w:rPr>
          <w:rFonts w:cs="Arial"/>
        </w:rPr>
      </w:pPr>
      <w:r w:rsidRPr="003F0AF2">
        <w:rPr>
          <w:rFonts w:cs="Arial"/>
          <w:b/>
        </w:rPr>
        <w:t>OZ</w:t>
      </w:r>
      <w:r w:rsidRPr="003F0AF2">
        <w:rPr>
          <w:rFonts w:cs="Arial"/>
        </w:rPr>
        <w:t xml:space="preserve"> zákon č. 89/2012 Sb., občanský zákoník, ve znění pozdějších předpisů;</w:t>
      </w:r>
    </w:p>
    <w:p w14:paraId="4A663908" w14:textId="419265BF" w:rsidR="00FE1AAF" w:rsidRPr="007C66B9" w:rsidRDefault="00FE1AAF" w:rsidP="00B87ED3">
      <w:pPr>
        <w:pStyle w:val="Odstavecseseznamem"/>
        <w:numPr>
          <w:ilvl w:val="0"/>
          <w:numId w:val="11"/>
        </w:numPr>
        <w:spacing w:after="120"/>
        <w:ind w:left="1066" w:hanging="357"/>
        <w:contextualSpacing w:val="0"/>
      </w:pPr>
      <w:r w:rsidRPr="00FE1AAF">
        <w:rPr>
          <w:b/>
        </w:rPr>
        <w:t>Veřejnou zakázkou</w:t>
      </w:r>
      <w:r w:rsidRPr="00FE1AAF">
        <w:t xml:space="preserve"> </w:t>
      </w:r>
      <w:r w:rsidR="002D02F8">
        <w:t>–</w:t>
      </w:r>
      <w:r w:rsidRPr="00FE1AAF">
        <w:t xml:space="preserve"> veřejná zakázka </w:t>
      </w:r>
      <w:r w:rsidR="00703E96">
        <w:t xml:space="preserve">na poskytování Služby </w:t>
      </w:r>
      <w:r w:rsidRPr="00FE1AAF">
        <w:t xml:space="preserve">popsaná v této Zadávací dokumentaci, zkratka názvu Veřejná zakázka je </w:t>
      </w:r>
      <w:r w:rsidRPr="00FE1AAF">
        <w:rPr>
          <w:b/>
        </w:rPr>
        <w:t>VZ</w:t>
      </w:r>
      <w:r w:rsidRPr="00FE1AAF">
        <w:t>;</w:t>
      </w:r>
    </w:p>
    <w:p w14:paraId="24447708" w14:textId="3054A471" w:rsidR="009B3219" w:rsidRDefault="009B3219" w:rsidP="00725B25">
      <w:pPr>
        <w:pStyle w:val="Odstavecseseznamem"/>
        <w:numPr>
          <w:ilvl w:val="0"/>
          <w:numId w:val="11"/>
        </w:numPr>
        <w:spacing w:before="0" w:after="120"/>
        <w:contextualSpacing w:val="0"/>
      </w:pPr>
      <w:r>
        <w:rPr>
          <w:b/>
        </w:rPr>
        <w:t>Zadavatelem</w:t>
      </w:r>
      <w:r w:rsidR="00B95F65">
        <w:rPr>
          <w:b/>
        </w:rPr>
        <w:t xml:space="preserve"> </w:t>
      </w:r>
      <w:r w:rsidR="002D02F8">
        <w:t>–</w:t>
      </w:r>
      <w:r>
        <w:t xml:space="preserve"> Státní fond dopravní infrastruktury, jak je identifikován v hlavičce této Zadávací dokumentace, zkratka názvu Zadavatele je </w:t>
      </w:r>
      <w:r>
        <w:rPr>
          <w:b/>
        </w:rPr>
        <w:t>SFDI</w:t>
      </w:r>
      <w:r>
        <w:rPr>
          <w:szCs w:val="22"/>
        </w:rPr>
        <w:t>;</w:t>
      </w:r>
    </w:p>
    <w:p w14:paraId="71974139" w14:textId="749B7E58" w:rsidR="009B3219" w:rsidRDefault="009B3219" w:rsidP="00725B25">
      <w:pPr>
        <w:pStyle w:val="Odstavecseseznamem"/>
        <w:numPr>
          <w:ilvl w:val="0"/>
          <w:numId w:val="11"/>
        </w:numPr>
        <w:spacing w:before="0" w:after="120"/>
        <w:contextualSpacing w:val="0"/>
      </w:pPr>
      <w:r>
        <w:rPr>
          <w:b/>
        </w:rPr>
        <w:t>Zadávací dokumentací</w:t>
      </w:r>
      <w:r w:rsidR="00B95F65" w:rsidRPr="00B95F65">
        <w:t xml:space="preserve"> </w:t>
      </w:r>
      <w:r w:rsidR="002D02F8">
        <w:t>–</w:t>
      </w:r>
      <w:r>
        <w:t xml:space="preserve"> zadávací dokumentace VZ dostupná na profilu Zadavatele, zkratka názvu Zadávací dokumentace je </w:t>
      </w:r>
      <w:r>
        <w:rPr>
          <w:b/>
        </w:rPr>
        <w:t>ZD</w:t>
      </w:r>
      <w:r>
        <w:rPr>
          <w:szCs w:val="22"/>
        </w:rPr>
        <w:t>;</w:t>
      </w:r>
    </w:p>
    <w:p w14:paraId="35478238" w14:textId="2C534756" w:rsidR="009B3219" w:rsidRPr="009B3219" w:rsidRDefault="009B3219" w:rsidP="00725B25">
      <w:pPr>
        <w:pStyle w:val="Odstavecseseznamem"/>
        <w:numPr>
          <w:ilvl w:val="0"/>
          <w:numId w:val="11"/>
        </w:numPr>
        <w:spacing w:before="0" w:after="120"/>
        <w:contextualSpacing w:val="0"/>
      </w:pPr>
      <w:r>
        <w:rPr>
          <w:b/>
        </w:rPr>
        <w:t>ZZVZ</w:t>
      </w:r>
      <w:r>
        <w:t xml:space="preserve"> </w:t>
      </w:r>
      <w:r w:rsidR="002D02F8">
        <w:t>–</w:t>
      </w:r>
      <w:r w:rsidR="00B95F65">
        <w:t xml:space="preserve"> </w:t>
      </w:r>
      <w:r>
        <w:t>zákon č. 134/2016 Sb., o zadávání veřejných zakázek, ve znění pozdějších předpisů.</w:t>
      </w:r>
    </w:p>
    <w:p w14:paraId="31FAD5D0" w14:textId="77777777" w:rsidR="002F4F0A" w:rsidRPr="001563A0" w:rsidRDefault="00176A2D">
      <w:pPr>
        <w:pStyle w:val="Nadpis2"/>
      </w:pPr>
      <w:bookmarkStart w:id="5" w:name="_Toc58414326"/>
      <w:bookmarkStart w:id="6" w:name="_Toc58414426"/>
      <w:bookmarkStart w:id="7" w:name="_Toc58414327"/>
      <w:bookmarkStart w:id="8" w:name="_Toc58414427"/>
      <w:bookmarkStart w:id="9" w:name="_Toc58414328"/>
      <w:bookmarkStart w:id="10" w:name="_Toc58414428"/>
      <w:bookmarkStart w:id="11" w:name="_Toc86153765"/>
      <w:bookmarkEnd w:id="5"/>
      <w:bookmarkEnd w:id="6"/>
      <w:bookmarkEnd w:id="7"/>
      <w:bookmarkEnd w:id="8"/>
      <w:bookmarkEnd w:id="9"/>
      <w:bookmarkEnd w:id="10"/>
      <w:r w:rsidRPr="001563A0">
        <w:t>Formulář nabídky</w:t>
      </w:r>
      <w:bookmarkEnd w:id="11"/>
    </w:p>
    <w:p w14:paraId="7EE969FF" w14:textId="77777777" w:rsidR="002F4F0A" w:rsidRDefault="00176A2D">
      <w:r>
        <w:t xml:space="preserve">Zadavatel přílohou Zadávací dokumentace předkládá účastníkům vzorový </w:t>
      </w:r>
      <w:r>
        <w:rPr>
          <w:i/>
        </w:rPr>
        <w:t>Formulář nabídky</w:t>
      </w:r>
      <w:r>
        <w:t xml:space="preserve"> obsahující předvyplněné požadavky Zadavatele, kterými je podmiňována účast dodavatelů v Řízení.</w:t>
      </w:r>
    </w:p>
    <w:p w14:paraId="5B9448E1" w14:textId="736CF0FC" w:rsidR="002F4F0A" w:rsidRDefault="00176A2D">
      <w:r>
        <w:t xml:space="preserve">Splnění veškerých požadavků Zadavatele, tj. požadavků na předmět Veřejné zakázky či na předložení údajů rozhodných pro hodnocení, mohou </w:t>
      </w:r>
      <w:r w:rsidR="004D2425">
        <w:t>účastníci</w:t>
      </w:r>
      <w:r>
        <w:t xml:space="preserve"> prokázat předložením řádně vyplněného </w:t>
      </w:r>
      <w:r>
        <w:rPr>
          <w:i/>
        </w:rPr>
        <w:t>Formuláře nabídky</w:t>
      </w:r>
      <w:r>
        <w:t xml:space="preserve"> včetně příslušných příloh. </w:t>
      </w:r>
    </w:p>
    <w:p w14:paraId="62BCD9A5" w14:textId="77777777" w:rsidR="002F4F0A" w:rsidRPr="001563A0" w:rsidRDefault="00176A2D">
      <w:pPr>
        <w:pStyle w:val="Nadpis2"/>
      </w:pPr>
      <w:bookmarkStart w:id="12" w:name="_Toc86153766"/>
      <w:r w:rsidRPr="001563A0">
        <w:lastRenderedPageBreak/>
        <w:t>Elektronický nástroj</w:t>
      </w:r>
      <w:bookmarkEnd w:id="12"/>
    </w:p>
    <w:p w14:paraId="01F67D17" w14:textId="77777777" w:rsidR="002F4F0A" w:rsidRDefault="00176A2D">
      <w:r>
        <w:t>Veřejná zakázka je zadávána elektronicky pomocí elektronického nástroje Tender arena. Veškeré úkony se provádějí elektronicky, nestanoví-li Zadavatel v zadávacích podmínkách nebo v průběhu Řízení jinak.</w:t>
      </w:r>
    </w:p>
    <w:p w14:paraId="68298F47" w14:textId="64D1A756" w:rsidR="002F4F0A" w:rsidRPr="00635582" w:rsidRDefault="000523AC">
      <w:r>
        <w:t>Více informací k elektronickému nástroji v</w:t>
      </w:r>
      <w:r w:rsidR="00635582">
        <w:t>i</w:t>
      </w:r>
      <w:r>
        <w:t>z</w:t>
      </w:r>
      <w:r w:rsidR="001A0553">
        <w:t xml:space="preserve"> čl. 11 a </w:t>
      </w:r>
      <w:r>
        <w:t xml:space="preserve"> </w:t>
      </w:r>
      <w:hyperlink r:id="rId8" w:history="1">
        <w:r w:rsidR="00635582" w:rsidRPr="004E7046">
          <w:rPr>
            <w:rStyle w:val="Hypertextovodkaz"/>
          </w:rPr>
          <w:t>www.tenderarena.cz</w:t>
        </w:r>
      </w:hyperlink>
      <w:r w:rsidR="00176A2D">
        <w:t>.</w:t>
      </w:r>
      <w:customXmlDelRangeStart w:id="13" w:author="Autor"/>
      <w:sdt>
        <w:sdtPr>
          <w:rPr>
            <w:strike/>
          </w:rPr>
          <w:id w:val="-12842659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customXmlDelRangeEnd w:id="13"/>
          <w:customXmlDelRangeStart w:id="14" w:author="Autor"/>
        </w:sdtContent>
      </w:sdt>
      <w:customXmlDelRangeEnd w:id="14"/>
    </w:p>
    <w:p w14:paraId="1D6A9248" w14:textId="77777777" w:rsidR="002F4F0A" w:rsidRPr="001563A0" w:rsidRDefault="00176A2D">
      <w:pPr>
        <w:pStyle w:val="Nadpis2"/>
      </w:pPr>
      <w:bookmarkStart w:id="15" w:name="_Toc86153767"/>
      <w:r w:rsidRPr="001563A0">
        <w:t>Části Zadávací dokumentace vypracované osobami odlišnými od Zadavatele</w:t>
      </w:r>
      <w:bookmarkEnd w:id="15"/>
    </w:p>
    <w:p w14:paraId="5D31D9D6" w14:textId="11E488E9" w:rsidR="002B6697" w:rsidRDefault="00176A2D" w:rsidP="002D02F8">
      <w:pPr>
        <w:spacing w:after="240"/>
      </w:pPr>
      <w:r>
        <w:t>Na přípravě Zadávací dokumentace se vedle Zadavatele nepodílely žádné další subjekty.</w:t>
      </w:r>
    </w:p>
    <w:p w14:paraId="060FA63E" w14:textId="77777777" w:rsidR="002F4F0A" w:rsidRDefault="00176A2D">
      <w:pPr>
        <w:pStyle w:val="Nadpis1"/>
      </w:pPr>
      <w:bookmarkStart w:id="16" w:name="_Ref58485978"/>
      <w:bookmarkStart w:id="17" w:name="_Toc86153768"/>
      <w:r>
        <w:t>Předmět plnění Veřejné zakázky</w:t>
      </w:r>
      <w:bookmarkEnd w:id="16"/>
      <w:bookmarkEnd w:id="17"/>
    </w:p>
    <w:p w14:paraId="6C833941" w14:textId="7DE0E715" w:rsidR="008F044E" w:rsidRDefault="005B6630" w:rsidP="005B6630">
      <w:pPr>
        <w:spacing w:after="0"/>
        <w:rPr>
          <w:rFonts w:ascii="Arial" w:eastAsia="Times New Roman" w:hAnsi="Arial" w:cs="Arial"/>
          <w:lang w:eastAsia="cs-CZ"/>
        </w:rPr>
      </w:pPr>
      <w:r w:rsidRPr="00040714">
        <w:rPr>
          <w:rFonts w:ascii="Arial" w:eastAsia="Times New Roman" w:hAnsi="Arial" w:cs="Arial"/>
          <w:lang w:eastAsia="cs-CZ"/>
        </w:rPr>
        <w:t xml:space="preserve">Předmětem plnění této VZ je </w:t>
      </w:r>
      <w:r w:rsidR="00B1759E">
        <w:rPr>
          <w:rFonts w:ascii="Arial" w:eastAsia="Times New Roman" w:hAnsi="Arial" w:cs="Arial"/>
          <w:lang w:eastAsia="cs-CZ"/>
        </w:rPr>
        <w:t>poskytování</w:t>
      </w:r>
      <w:r w:rsidR="00B1759E" w:rsidRPr="00040714">
        <w:rPr>
          <w:rFonts w:ascii="Arial" w:eastAsia="Times New Roman" w:hAnsi="Arial" w:cs="Arial"/>
          <w:lang w:eastAsia="cs-CZ"/>
        </w:rPr>
        <w:t xml:space="preserve"> </w:t>
      </w:r>
      <w:r w:rsidRPr="00040714">
        <w:rPr>
          <w:rFonts w:ascii="Arial" w:eastAsia="Times New Roman" w:hAnsi="Arial" w:cs="Arial"/>
          <w:lang w:eastAsia="cs-CZ"/>
        </w:rPr>
        <w:t>Služ</w:t>
      </w:r>
      <w:r w:rsidR="00B1759E">
        <w:rPr>
          <w:rFonts w:ascii="Arial" w:eastAsia="Times New Roman" w:hAnsi="Arial" w:cs="Arial"/>
          <w:lang w:eastAsia="cs-CZ"/>
        </w:rPr>
        <w:t>by</w:t>
      </w:r>
      <w:r w:rsidRPr="00040714">
        <w:rPr>
          <w:rFonts w:ascii="Arial" w:eastAsia="Times New Roman" w:hAnsi="Arial" w:cs="Arial"/>
          <w:lang w:eastAsia="cs-CZ"/>
        </w:rPr>
        <w:t xml:space="preserve"> pro SFDI</w:t>
      </w:r>
      <w:r>
        <w:rPr>
          <w:rFonts w:ascii="Arial" w:eastAsia="Times New Roman" w:hAnsi="Arial" w:cs="Arial"/>
          <w:lang w:eastAsia="cs-CZ"/>
        </w:rPr>
        <w:t xml:space="preserve"> na základě </w:t>
      </w:r>
      <w:r w:rsidR="0042026B">
        <w:rPr>
          <w:rFonts w:ascii="Arial" w:eastAsia="Times New Roman" w:hAnsi="Arial" w:cs="Arial"/>
          <w:lang w:eastAsia="cs-CZ"/>
        </w:rPr>
        <w:t>S</w:t>
      </w:r>
      <w:r w:rsidR="0078405C">
        <w:rPr>
          <w:rFonts w:ascii="Arial" w:eastAsia="Times New Roman" w:hAnsi="Arial" w:cs="Arial"/>
          <w:lang w:eastAsia="cs-CZ"/>
        </w:rPr>
        <w:t>mlouvy</w:t>
      </w:r>
      <w:r>
        <w:rPr>
          <w:rFonts w:ascii="Arial" w:eastAsia="Times New Roman" w:hAnsi="Arial" w:cs="Arial"/>
          <w:lang w:eastAsia="cs-CZ"/>
        </w:rPr>
        <w:t xml:space="preserve">, která bude uzavřena </w:t>
      </w:r>
      <w:r w:rsidRPr="000F1113">
        <w:rPr>
          <w:rFonts w:ascii="Arial" w:eastAsia="Times New Roman" w:hAnsi="Arial" w:cs="Arial"/>
          <w:lang w:eastAsia="cs-CZ"/>
        </w:rPr>
        <w:t>s jedním dodavatelem</w:t>
      </w:r>
      <w:r>
        <w:rPr>
          <w:rFonts w:ascii="Arial" w:eastAsia="Times New Roman" w:hAnsi="Arial" w:cs="Arial"/>
          <w:lang w:eastAsia="cs-CZ"/>
        </w:rPr>
        <w:t xml:space="preserve"> vybraným na základě tohoto Řízení. </w:t>
      </w:r>
    </w:p>
    <w:p w14:paraId="50DF708A" w14:textId="380DFED9" w:rsidR="00EA695E" w:rsidRDefault="003D7FC3" w:rsidP="00714645">
      <w:pPr>
        <w:spacing w:after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 základě </w:t>
      </w:r>
      <w:r w:rsidR="00867377">
        <w:rPr>
          <w:rFonts w:ascii="Arial" w:eastAsia="Times New Roman" w:hAnsi="Arial" w:cs="Arial"/>
          <w:lang w:eastAsia="cs-CZ"/>
        </w:rPr>
        <w:t>Smlouvy</w:t>
      </w:r>
      <w:r>
        <w:rPr>
          <w:rFonts w:ascii="Arial" w:eastAsia="Times New Roman" w:hAnsi="Arial" w:cs="Arial"/>
          <w:lang w:eastAsia="cs-CZ"/>
        </w:rPr>
        <w:t xml:space="preserve"> budou </w:t>
      </w:r>
      <w:r w:rsidR="00714645">
        <w:rPr>
          <w:rFonts w:ascii="Arial" w:eastAsia="Times New Roman" w:hAnsi="Arial" w:cs="Arial"/>
          <w:lang w:eastAsia="cs-CZ"/>
        </w:rPr>
        <w:t>uzavírány</w:t>
      </w:r>
      <w:r w:rsidRPr="006B10D4">
        <w:rPr>
          <w:rFonts w:ascii="Arial" w:eastAsia="Times New Roman" w:hAnsi="Arial" w:cs="Arial"/>
          <w:lang w:eastAsia="cs-CZ"/>
        </w:rPr>
        <w:t xml:space="preserve"> </w:t>
      </w:r>
      <w:r w:rsidR="00714645">
        <w:rPr>
          <w:rFonts w:ascii="Arial" w:eastAsia="Times New Roman" w:hAnsi="Arial" w:cs="Arial"/>
          <w:lang w:eastAsia="cs-CZ"/>
        </w:rPr>
        <w:t xml:space="preserve">dílčí </w:t>
      </w:r>
      <w:r w:rsidR="00133F0A">
        <w:rPr>
          <w:rFonts w:ascii="Arial" w:eastAsia="Times New Roman" w:hAnsi="Arial" w:cs="Arial"/>
          <w:lang w:eastAsia="cs-CZ"/>
        </w:rPr>
        <w:t>Prováděcí</w:t>
      </w:r>
      <w:r w:rsidR="008F044E" w:rsidRPr="006B10D4">
        <w:rPr>
          <w:rFonts w:ascii="Arial" w:eastAsia="Times New Roman" w:hAnsi="Arial" w:cs="Arial"/>
          <w:lang w:eastAsia="cs-CZ"/>
        </w:rPr>
        <w:t xml:space="preserve"> sml</w:t>
      </w:r>
      <w:r w:rsidR="00714645">
        <w:rPr>
          <w:rFonts w:ascii="Arial" w:eastAsia="Times New Roman" w:hAnsi="Arial" w:cs="Arial"/>
          <w:lang w:eastAsia="cs-CZ"/>
        </w:rPr>
        <w:t>ouvy</w:t>
      </w:r>
      <w:r w:rsidR="008F044E">
        <w:rPr>
          <w:rFonts w:ascii="Arial" w:eastAsia="Times New Roman" w:hAnsi="Arial" w:cs="Arial"/>
          <w:lang w:eastAsia="cs-CZ"/>
        </w:rPr>
        <w:t xml:space="preserve"> na p</w:t>
      </w:r>
      <w:r w:rsidR="005B6630">
        <w:rPr>
          <w:rFonts w:ascii="Arial" w:eastAsia="Times New Roman" w:hAnsi="Arial" w:cs="Arial"/>
          <w:lang w:eastAsia="cs-CZ"/>
        </w:rPr>
        <w:t>o</w:t>
      </w:r>
      <w:r>
        <w:rPr>
          <w:rFonts w:ascii="Arial" w:eastAsia="Times New Roman" w:hAnsi="Arial" w:cs="Arial"/>
          <w:lang w:eastAsia="cs-CZ"/>
        </w:rPr>
        <w:t>žadované</w:t>
      </w:r>
      <w:r w:rsidR="005B6630">
        <w:rPr>
          <w:rFonts w:ascii="Arial" w:eastAsia="Times New Roman" w:hAnsi="Arial" w:cs="Arial"/>
          <w:lang w:eastAsia="cs-CZ"/>
        </w:rPr>
        <w:t xml:space="preserve"> </w:t>
      </w:r>
      <w:r w:rsidR="007F355C">
        <w:rPr>
          <w:rFonts w:ascii="Arial" w:eastAsia="Times New Roman" w:hAnsi="Arial" w:cs="Arial"/>
          <w:lang w:eastAsia="cs-CZ"/>
        </w:rPr>
        <w:t>plnění Služby</w:t>
      </w:r>
      <w:r w:rsidR="005D76DB">
        <w:rPr>
          <w:rFonts w:ascii="Arial" w:eastAsia="Times New Roman" w:hAnsi="Arial" w:cs="Arial"/>
          <w:lang w:eastAsia="cs-CZ"/>
        </w:rPr>
        <w:t xml:space="preserve">, </w:t>
      </w:r>
      <w:r w:rsidR="006B10D4" w:rsidRPr="006B10D4">
        <w:rPr>
          <w:rFonts w:ascii="Arial" w:eastAsia="Times New Roman" w:hAnsi="Arial" w:cs="Arial"/>
          <w:lang w:eastAsia="cs-CZ"/>
        </w:rPr>
        <w:t xml:space="preserve">které </w:t>
      </w:r>
      <w:r w:rsidR="007F355C" w:rsidRPr="006B10D4">
        <w:rPr>
          <w:rFonts w:ascii="Arial" w:eastAsia="Times New Roman" w:hAnsi="Arial" w:cs="Arial"/>
          <w:lang w:eastAsia="cs-CZ"/>
        </w:rPr>
        <w:t>j</w:t>
      </w:r>
      <w:r w:rsidR="007F355C">
        <w:rPr>
          <w:rFonts w:ascii="Arial" w:eastAsia="Times New Roman" w:hAnsi="Arial" w:cs="Arial"/>
          <w:lang w:eastAsia="cs-CZ"/>
        </w:rPr>
        <w:t>e</w:t>
      </w:r>
      <w:r w:rsidR="007F355C" w:rsidRPr="006B10D4">
        <w:rPr>
          <w:rFonts w:ascii="Arial" w:eastAsia="Times New Roman" w:hAnsi="Arial" w:cs="Arial"/>
          <w:lang w:eastAsia="cs-CZ"/>
        </w:rPr>
        <w:t xml:space="preserve"> </w:t>
      </w:r>
      <w:r w:rsidR="006B10D4" w:rsidRPr="006B10D4">
        <w:rPr>
          <w:rFonts w:ascii="Arial" w:eastAsia="Times New Roman" w:hAnsi="Arial" w:cs="Arial"/>
          <w:lang w:eastAsia="cs-CZ"/>
        </w:rPr>
        <w:t xml:space="preserve">níže </w:t>
      </w:r>
      <w:r w:rsidR="001F1572" w:rsidRPr="006B10D4">
        <w:rPr>
          <w:rFonts w:ascii="Arial" w:eastAsia="Times New Roman" w:hAnsi="Arial" w:cs="Arial"/>
          <w:lang w:eastAsia="cs-CZ"/>
        </w:rPr>
        <w:t xml:space="preserve">podrobněji </w:t>
      </w:r>
      <w:r w:rsidR="007F355C" w:rsidRPr="006B10D4">
        <w:rPr>
          <w:rFonts w:ascii="Arial" w:eastAsia="Times New Roman" w:hAnsi="Arial" w:cs="Arial"/>
          <w:lang w:eastAsia="cs-CZ"/>
        </w:rPr>
        <w:t>specifikován</w:t>
      </w:r>
      <w:r w:rsidR="007F355C">
        <w:rPr>
          <w:rFonts w:ascii="Arial" w:eastAsia="Times New Roman" w:hAnsi="Arial" w:cs="Arial"/>
          <w:lang w:eastAsia="cs-CZ"/>
        </w:rPr>
        <w:t>o</w:t>
      </w:r>
      <w:r w:rsidR="001F1572" w:rsidRPr="006B10D4">
        <w:rPr>
          <w:rFonts w:ascii="Arial" w:eastAsia="Times New Roman" w:hAnsi="Arial" w:cs="Arial"/>
          <w:lang w:eastAsia="cs-CZ"/>
        </w:rPr>
        <w:t>.</w:t>
      </w:r>
    </w:p>
    <w:p w14:paraId="6C3EAF8B" w14:textId="0BF6AC2B" w:rsidR="00EA695E" w:rsidRPr="00EA695E" w:rsidRDefault="00EA695E" w:rsidP="00EA695E">
      <w:p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 xml:space="preserve">Předmět plnění </w:t>
      </w:r>
      <w:r w:rsidR="0042026B">
        <w:rPr>
          <w:rFonts w:ascii="Arial" w:eastAsia="Times New Roman" w:hAnsi="Arial" w:cs="Arial"/>
          <w:lang w:eastAsia="cs-CZ"/>
        </w:rPr>
        <w:t>V</w:t>
      </w:r>
      <w:r w:rsidR="0042026B" w:rsidRPr="00EA695E">
        <w:rPr>
          <w:rFonts w:ascii="Arial" w:eastAsia="Times New Roman" w:hAnsi="Arial" w:cs="Arial"/>
          <w:lang w:eastAsia="cs-CZ"/>
        </w:rPr>
        <w:t xml:space="preserve">eřejné </w:t>
      </w:r>
      <w:r w:rsidRPr="00EA695E">
        <w:rPr>
          <w:rFonts w:ascii="Arial" w:eastAsia="Times New Roman" w:hAnsi="Arial" w:cs="Arial"/>
          <w:lang w:eastAsia="cs-CZ"/>
        </w:rPr>
        <w:t xml:space="preserve">zakázky bude </w:t>
      </w:r>
      <w:r w:rsidRPr="006B10D4">
        <w:rPr>
          <w:rFonts w:ascii="Arial" w:eastAsia="Times New Roman" w:hAnsi="Arial" w:cs="Arial"/>
          <w:lang w:eastAsia="cs-CZ"/>
        </w:rPr>
        <w:t>zahrnovat zejména</w:t>
      </w:r>
      <w:r w:rsidR="00741E84" w:rsidRPr="00741E84">
        <w:rPr>
          <w:rFonts w:ascii="Arial" w:eastAsia="Times New Roman" w:hAnsi="Arial" w:cs="Arial"/>
          <w:lang w:eastAsia="cs-CZ"/>
        </w:rPr>
        <w:t>, nikoliv však výlučně</w:t>
      </w:r>
      <w:r w:rsidR="00C25A96">
        <w:rPr>
          <w:rFonts w:ascii="Arial" w:eastAsia="Times New Roman" w:hAnsi="Arial" w:cs="Arial"/>
          <w:lang w:eastAsia="cs-CZ"/>
        </w:rPr>
        <w:t>,</w:t>
      </w:r>
      <w:r w:rsidR="00741E84" w:rsidRPr="00741E84">
        <w:rPr>
          <w:rFonts w:ascii="Arial" w:eastAsia="Times New Roman" w:hAnsi="Arial" w:cs="Arial"/>
          <w:lang w:eastAsia="cs-CZ"/>
        </w:rPr>
        <w:t xml:space="preserve"> </w:t>
      </w:r>
      <w:r w:rsidRPr="00EA695E">
        <w:rPr>
          <w:rFonts w:ascii="Arial" w:eastAsia="Times New Roman" w:hAnsi="Arial" w:cs="Arial"/>
          <w:lang w:eastAsia="cs-CZ"/>
        </w:rPr>
        <w:t>služby personální</w:t>
      </w:r>
      <w:r w:rsidR="00C25A96">
        <w:rPr>
          <w:rFonts w:ascii="Arial" w:eastAsia="Times New Roman" w:hAnsi="Arial" w:cs="Arial"/>
          <w:lang w:eastAsia="cs-CZ"/>
        </w:rPr>
        <w:t xml:space="preserve"> </w:t>
      </w:r>
      <w:r w:rsidR="00C25A96" w:rsidRPr="00741E84">
        <w:rPr>
          <w:rFonts w:ascii="Arial" w:eastAsia="Times New Roman" w:hAnsi="Arial" w:cs="Arial"/>
          <w:lang w:eastAsia="cs-CZ"/>
        </w:rPr>
        <w:t>kapacity</w:t>
      </w:r>
      <w:r>
        <w:rPr>
          <w:rFonts w:ascii="Arial" w:eastAsia="Times New Roman" w:hAnsi="Arial" w:cs="Arial"/>
          <w:lang w:eastAsia="cs-CZ"/>
        </w:rPr>
        <w:t xml:space="preserve">, </w:t>
      </w:r>
      <w:r w:rsidRPr="00EA695E">
        <w:rPr>
          <w:rFonts w:ascii="Arial" w:eastAsia="Times New Roman" w:hAnsi="Arial" w:cs="Arial"/>
          <w:lang w:eastAsia="cs-CZ"/>
        </w:rPr>
        <w:t>spočívající v</w:t>
      </w:r>
      <w:r w:rsidR="00C25A96">
        <w:rPr>
          <w:rFonts w:ascii="Arial" w:eastAsia="Times New Roman" w:hAnsi="Arial" w:cs="Arial"/>
          <w:lang w:eastAsia="cs-CZ"/>
        </w:rPr>
        <w:t xml:space="preserve"> </w:t>
      </w:r>
      <w:r w:rsidRPr="00EA695E">
        <w:rPr>
          <w:rFonts w:ascii="Arial" w:eastAsia="Times New Roman" w:hAnsi="Arial" w:cs="Arial"/>
          <w:lang w:eastAsia="cs-CZ"/>
        </w:rPr>
        <w:t xml:space="preserve">(ve): </w:t>
      </w:r>
    </w:p>
    <w:p w14:paraId="3BE165AD" w14:textId="11379F3A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 xml:space="preserve">řízení projektů (dle mezinárodně uznávané metodiky PRINCE 2, metodiky IT </w:t>
      </w:r>
      <w:proofErr w:type="spellStart"/>
      <w:r w:rsidRPr="00EA695E">
        <w:rPr>
          <w:rFonts w:ascii="Arial" w:eastAsia="Times New Roman" w:hAnsi="Arial" w:cs="Arial"/>
          <w:lang w:eastAsia="cs-CZ"/>
        </w:rPr>
        <w:t>service</w:t>
      </w:r>
      <w:proofErr w:type="spellEnd"/>
      <w:r w:rsidRPr="00EA695E">
        <w:rPr>
          <w:rFonts w:ascii="Arial" w:eastAsia="Times New Roman" w:hAnsi="Arial" w:cs="Arial"/>
          <w:lang w:eastAsia="cs-CZ"/>
        </w:rPr>
        <w:t xml:space="preserve"> managementu ITIL, dále dle standardu TOGAF a popř. pravidel </w:t>
      </w:r>
      <w:r w:rsidR="0042026B">
        <w:rPr>
          <w:rFonts w:ascii="Arial" w:eastAsia="Times New Roman" w:hAnsi="Arial" w:cs="Arial"/>
          <w:lang w:eastAsia="cs-CZ"/>
        </w:rPr>
        <w:t>Z</w:t>
      </w:r>
      <w:r w:rsidR="0042026B" w:rsidRPr="00EA695E">
        <w:rPr>
          <w:rFonts w:ascii="Arial" w:eastAsia="Times New Roman" w:hAnsi="Arial" w:cs="Arial"/>
          <w:lang w:eastAsia="cs-CZ"/>
        </w:rPr>
        <w:t xml:space="preserve">adavatele </w:t>
      </w:r>
      <w:r w:rsidRPr="00EA695E">
        <w:rPr>
          <w:rFonts w:ascii="Arial" w:eastAsia="Times New Roman" w:hAnsi="Arial" w:cs="Arial"/>
          <w:lang w:eastAsia="cs-CZ"/>
        </w:rPr>
        <w:t>apod.). Dále v poskytování organizačních, řídících a administrativních služeb s tímto souvisejících, a to včetně podpory při přípravě zadávacích podmínek veřejných zakázek i z pohledu dodržování uvedených metodik a standardů;</w:t>
      </w:r>
    </w:p>
    <w:p w14:paraId="51067EBB" w14:textId="77777777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>přípravě podkladů pro realizaci ICT projektů vč. návrhů, úprav a/nebo oponentur;</w:t>
      </w:r>
    </w:p>
    <w:p w14:paraId="0138A075" w14:textId="7DAF3C82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 xml:space="preserve">tvorbě a zpracování potřebných podkladů pro získání stanoviska OHA (Odbor hlavního architekta Ministerstva vnitra ČR) k danému </w:t>
      </w:r>
      <w:r w:rsidR="007F355C">
        <w:rPr>
          <w:rFonts w:ascii="Arial" w:eastAsia="Times New Roman" w:hAnsi="Arial" w:cs="Arial"/>
          <w:lang w:eastAsia="cs-CZ"/>
        </w:rPr>
        <w:t>informačnímu systému,</w:t>
      </w:r>
      <w:r w:rsidR="007F355C" w:rsidRPr="00EA695E">
        <w:rPr>
          <w:rFonts w:ascii="Arial" w:eastAsia="Times New Roman" w:hAnsi="Arial" w:cs="Arial"/>
          <w:lang w:eastAsia="cs-CZ"/>
        </w:rPr>
        <w:t xml:space="preserve"> </w:t>
      </w:r>
      <w:r w:rsidRPr="00EA695E">
        <w:rPr>
          <w:rFonts w:ascii="Arial" w:eastAsia="Times New Roman" w:hAnsi="Arial" w:cs="Arial"/>
          <w:lang w:eastAsia="cs-CZ"/>
        </w:rPr>
        <w:t xml:space="preserve">popř. se podílet na zpracování dokumentace, která bude následně předložena k vyjádření vládě ČR dle usnesení vlády č. 86/2020 ze dne 27. ledna 2020; </w:t>
      </w:r>
    </w:p>
    <w:p w14:paraId="747057C8" w14:textId="77777777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>tvorbě a průběžné aktualizaci projektových plánů, jejich sledování a kontrola průběhu harmonogramu projektu a milníků a jejich dodržování;</w:t>
      </w:r>
    </w:p>
    <w:p w14:paraId="14E4851A" w14:textId="77777777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>expertním navrhování a posuzování projektů z pohledu finančního (kontrola cen obvyklých, průběžná kontrola účelnosti vynakládání finančních prostředků, průběžné sledování efektivity projektů včetně návrhu nápravních opatření);</w:t>
      </w:r>
    </w:p>
    <w:p w14:paraId="1DD2F59D" w14:textId="77777777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>přípravě návrhů a následné realizaci změnového řízení a zajištění akceptačního procesu jednotlivých dodávek projektů, včetně příslušné administrace pro potřeby projektu;</w:t>
      </w:r>
    </w:p>
    <w:p w14:paraId="4125403B" w14:textId="77777777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>řízení kvality (poskytování nezávislého dohledu a auditu nad projekty zadavatele a poskytování podpory projektového řízení a řízení služeb i z pohledu kvality);</w:t>
      </w:r>
    </w:p>
    <w:p w14:paraId="4D1DFA1D" w14:textId="77777777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>řízení rizik (identifikace rizik, zpracování plánu řízení rizik projektu a vypracování doporučení pro jejich zmírnění nebo odstranění, pravidelná aktualizace plánu rizik, identifikace nových rizik, jejich vyhodnocování a návrhy opatření);</w:t>
      </w:r>
    </w:p>
    <w:p w14:paraId="12110CD8" w14:textId="77777777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lastRenderedPageBreak/>
        <w:t>poskytování služeb souvisejících s řízením životního cyklu ICT projektů a kontrole kvality služeb z oblasti ICT, včetně finančních i ekonomických analýz;</w:t>
      </w:r>
    </w:p>
    <w:p w14:paraId="332679EF" w14:textId="067B1554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 xml:space="preserve">dohledu nad výběrem dodavatelů a realizaci </w:t>
      </w:r>
      <w:r w:rsidR="007F355C">
        <w:rPr>
          <w:rFonts w:ascii="Arial" w:eastAsia="Times New Roman" w:hAnsi="Arial" w:cs="Arial"/>
          <w:lang w:eastAsia="cs-CZ"/>
        </w:rPr>
        <w:t xml:space="preserve">veřejných </w:t>
      </w:r>
      <w:r w:rsidRPr="00EA695E">
        <w:rPr>
          <w:rFonts w:ascii="Arial" w:eastAsia="Times New Roman" w:hAnsi="Arial" w:cs="Arial"/>
          <w:lang w:eastAsia="cs-CZ"/>
        </w:rPr>
        <w:t>zakázek, tak aby byly jednotlivé činnosti i v souladu se zákonem č. 134/2016 Sb. o zadávání veřejných zakázek, v platném znění;</w:t>
      </w:r>
    </w:p>
    <w:p w14:paraId="662099E4" w14:textId="46B150B8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 xml:space="preserve">časové a věcné koordinaci činnosti </w:t>
      </w:r>
      <w:r w:rsidR="007F355C">
        <w:rPr>
          <w:rFonts w:ascii="Arial" w:eastAsia="Times New Roman" w:hAnsi="Arial" w:cs="Arial"/>
          <w:lang w:eastAsia="cs-CZ"/>
        </w:rPr>
        <w:t>pod</w:t>
      </w:r>
      <w:r w:rsidRPr="00EA695E">
        <w:rPr>
          <w:rFonts w:ascii="Arial" w:eastAsia="Times New Roman" w:hAnsi="Arial" w:cs="Arial"/>
          <w:lang w:eastAsia="cs-CZ"/>
        </w:rPr>
        <w:t>/dodavatelů (průběžná kontrola dodávek, návrhy opatření a kontrola jejich realizace);</w:t>
      </w:r>
    </w:p>
    <w:p w14:paraId="0BBCB864" w14:textId="1DE430FD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>zpracování pravidelných zpráv o stavu projektu s obsahem a v periodách dohodnutých s</w:t>
      </w:r>
      <w:r w:rsidR="00BC28F2">
        <w:rPr>
          <w:rFonts w:ascii="Arial" w:eastAsia="Times New Roman" w:hAnsi="Arial" w:cs="Arial"/>
          <w:lang w:eastAsia="cs-CZ"/>
        </w:rPr>
        <w:t>e</w:t>
      </w:r>
      <w:r w:rsidRPr="00EA695E">
        <w:rPr>
          <w:rFonts w:ascii="Arial" w:eastAsia="Times New Roman" w:hAnsi="Arial" w:cs="Arial"/>
          <w:lang w:eastAsia="cs-CZ"/>
        </w:rPr>
        <w:t xml:space="preserve"> </w:t>
      </w:r>
      <w:r w:rsidR="00BC28F2">
        <w:rPr>
          <w:rFonts w:ascii="Arial" w:eastAsia="Times New Roman" w:hAnsi="Arial" w:cs="Arial"/>
          <w:lang w:eastAsia="cs-CZ"/>
        </w:rPr>
        <w:t>Zadavatelem</w:t>
      </w:r>
      <w:r w:rsidRPr="00EA695E">
        <w:rPr>
          <w:rFonts w:ascii="Arial" w:eastAsia="Times New Roman" w:hAnsi="Arial" w:cs="Arial"/>
          <w:lang w:eastAsia="cs-CZ"/>
        </w:rPr>
        <w:t>;</w:t>
      </w:r>
    </w:p>
    <w:p w14:paraId="61FA91C5" w14:textId="5638273C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 xml:space="preserve">kontrole dodržování bezpečnostních pravidel </w:t>
      </w:r>
      <w:r w:rsidR="0042026B">
        <w:rPr>
          <w:rFonts w:ascii="Arial" w:eastAsia="Times New Roman" w:hAnsi="Arial" w:cs="Arial"/>
          <w:lang w:eastAsia="cs-CZ"/>
        </w:rPr>
        <w:t>Z</w:t>
      </w:r>
      <w:r w:rsidR="0042026B" w:rsidRPr="00EA695E">
        <w:rPr>
          <w:rFonts w:ascii="Arial" w:eastAsia="Times New Roman" w:hAnsi="Arial" w:cs="Arial"/>
          <w:lang w:eastAsia="cs-CZ"/>
        </w:rPr>
        <w:t xml:space="preserve">adavatele </w:t>
      </w:r>
      <w:r w:rsidRPr="00EA695E">
        <w:rPr>
          <w:rFonts w:ascii="Arial" w:eastAsia="Times New Roman" w:hAnsi="Arial" w:cs="Arial"/>
          <w:lang w:eastAsia="cs-CZ"/>
        </w:rPr>
        <w:t>vyplývajících ze zákona č. 181/2014 Sb., o kybernetické bezpečnosti a o změně souvisejících zákon a vyhlášky č. 82/2018 Sb., o bezpečnostních opatřeních, kybernetických bezpečnostních incidentech, reaktivních opatřeních, náležitostech podání v oblasti kybernetické bezpečnosti a likvidaci dat;</w:t>
      </w:r>
    </w:p>
    <w:p w14:paraId="64B70A4E" w14:textId="1B7288AD" w:rsidR="00EA695E" w:rsidRPr="00EA695E" w:rsidRDefault="00EA695E" w:rsidP="00EA695E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 xml:space="preserve">poskytování součinnosti správcům systémů při správě daného </w:t>
      </w:r>
      <w:r w:rsidR="007F355C">
        <w:rPr>
          <w:rFonts w:ascii="Arial" w:eastAsia="Times New Roman" w:hAnsi="Arial" w:cs="Arial"/>
          <w:lang w:eastAsia="cs-CZ"/>
        </w:rPr>
        <w:t>informačního systému</w:t>
      </w:r>
      <w:r w:rsidRPr="00EA695E">
        <w:rPr>
          <w:rFonts w:ascii="Arial" w:eastAsia="Times New Roman" w:hAnsi="Arial" w:cs="Arial"/>
          <w:lang w:eastAsia="cs-CZ"/>
        </w:rPr>
        <w:t>;</w:t>
      </w:r>
    </w:p>
    <w:p w14:paraId="7340CC43" w14:textId="1731E8A5" w:rsidR="00EA695E" w:rsidRPr="00EA695E" w:rsidRDefault="00EA695E" w:rsidP="00D82F08">
      <w:pPr>
        <w:numPr>
          <w:ilvl w:val="0"/>
          <w:numId w:val="32"/>
        </w:numPr>
        <w:spacing w:after="0"/>
        <w:rPr>
          <w:rFonts w:ascii="Arial" w:eastAsia="Times New Roman" w:hAnsi="Arial" w:cs="Arial"/>
          <w:lang w:eastAsia="cs-CZ"/>
        </w:rPr>
      </w:pPr>
      <w:r w:rsidRPr="00EA695E">
        <w:rPr>
          <w:rFonts w:ascii="Arial" w:eastAsia="Times New Roman" w:hAnsi="Arial" w:cs="Arial"/>
          <w:lang w:eastAsia="cs-CZ"/>
        </w:rPr>
        <w:t>poskytování ostatních odborných a konzultačních služeb z oblasti ICT, financí popř. dalších oblastí dle potřeby SFDI.</w:t>
      </w:r>
    </w:p>
    <w:p w14:paraId="550D0D88" w14:textId="07327E0D" w:rsidR="002B6697" w:rsidRDefault="00EA695E" w:rsidP="00EA695E">
      <w:pPr>
        <w:rPr>
          <w:rFonts w:cs="Arial"/>
        </w:rPr>
      </w:pPr>
      <w:r>
        <w:rPr>
          <w:rFonts w:cs="Arial"/>
        </w:rPr>
        <w:t xml:space="preserve">Poskytování plnění bude realizováno na základě konkrétních požadavků </w:t>
      </w:r>
      <w:r w:rsidR="007F355C">
        <w:rPr>
          <w:rFonts w:cs="Arial"/>
        </w:rPr>
        <w:t>Zadavatele</w:t>
      </w:r>
      <w:r>
        <w:rPr>
          <w:rFonts w:cs="Arial"/>
        </w:rPr>
        <w:t xml:space="preserve">, a to prostřednictvím jednotlivých </w:t>
      </w:r>
      <w:r w:rsidR="00B778E5">
        <w:rPr>
          <w:rFonts w:cs="Arial"/>
        </w:rPr>
        <w:t xml:space="preserve">Prováděcích </w:t>
      </w:r>
      <w:r>
        <w:rPr>
          <w:rFonts w:cs="Arial"/>
        </w:rPr>
        <w:t xml:space="preserve">smluv uzavíraných na základě písemných výzev </w:t>
      </w:r>
      <w:r w:rsidR="007F355C">
        <w:rPr>
          <w:rFonts w:cs="Arial"/>
        </w:rPr>
        <w:t>Zadavatele</w:t>
      </w:r>
      <w:r>
        <w:rPr>
          <w:rFonts w:cs="Arial"/>
        </w:rPr>
        <w:t xml:space="preserve">. Podrobně je způsob </w:t>
      </w:r>
      <w:r w:rsidR="00714645">
        <w:rPr>
          <w:rFonts w:cs="Arial"/>
        </w:rPr>
        <w:t>uzavírání Prováděcích smluv</w:t>
      </w:r>
      <w:r>
        <w:rPr>
          <w:rFonts w:cs="Arial"/>
        </w:rPr>
        <w:t xml:space="preserve"> zadávaných na základě </w:t>
      </w:r>
      <w:r w:rsidR="005D76DB">
        <w:rPr>
          <w:rFonts w:cs="Arial"/>
        </w:rPr>
        <w:t>S</w:t>
      </w:r>
      <w:r w:rsidR="00714645">
        <w:rPr>
          <w:rFonts w:cs="Arial"/>
        </w:rPr>
        <w:t xml:space="preserve">mlouvy </w:t>
      </w:r>
      <w:r>
        <w:rPr>
          <w:rFonts w:cs="Arial"/>
        </w:rPr>
        <w:t>popsán v</w:t>
      </w:r>
      <w:r w:rsidR="001A0553">
        <w:rPr>
          <w:rFonts w:cs="Arial"/>
        </w:rPr>
        <w:t xml:space="preserve">  příloze </w:t>
      </w:r>
      <w:r w:rsidR="001A0553" w:rsidRPr="00834F30">
        <w:rPr>
          <w:rFonts w:cs="Arial"/>
          <w:i/>
        </w:rPr>
        <w:t>Návrh</w:t>
      </w:r>
      <w:r w:rsidRPr="00834F30">
        <w:rPr>
          <w:rFonts w:cs="Arial"/>
          <w:i/>
        </w:rPr>
        <w:t> </w:t>
      </w:r>
      <w:r w:rsidR="005D76DB" w:rsidRPr="00834F30">
        <w:rPr>
          <w:rFonts w:cs="Arial"/>
          <w:i/>
        </w:rPr>
        <w:t>S</w:t>
      </w:r>
      <w:r w:rsidR="00714645" w:rsidRPr="00834F30">
        <w:rPr>
          <w:rFonts w:cs="Arial"/>
          <w:i/>
        </w:rPr>
        <w:t>mlouvy</w:t>
      </w:r>
      <w:r>
        <w:rPr>
          <w:rFonts w:cs="Arial"/>
        </w:rPr>
        <w:t>.</w:t>
      </w:r>
      <w:bookmarkStart w:id="18" w:name="_Toc513721605"/>
    </w:p>
    <w:p w14:paraId="3DE9EEE1" w14:textId="77777777" w:rsidR="00450662" w:rsidRDefault="00450662" w:rsidP="00450662">
      <w:pPr>
        <w:pStyle w:val="Nadpis2"/>
      </w:pPr>
      <w:bookmarkStart w:id="19" w:name="_Toc76643373"/>
      <w:bookmarkStart w:id="20" w:name="_Toc86153769"/>
      <w:r>
        <w:t>Vyhrazené změny závazků</w:t>
      </w:r>
      <w:bookmarkEnd w:id="19"/>
      <w:bookmarkEnd w:id="20"/>
    </w:p>
    <w:bookmarkEnd w:id="18"/>
    <w:p w14:paraId="018FB9B8" w14:textId="517D1417" w:rsidR="001D74FB" w:rsidRDefault="001D74FB" w:rsidP="001D74FB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Zadavatel si nevyhrazuje možnost změn závazků ze smlouvy.</w:t>
      </w:r>
    </w:p>
    <w:p w14:paraId="27490A0C" w14:textId="37BA92D6" w:rsidR="002F4F0A" w:rsidRDefault="009B170D">
      <w:pPr>
        <w:pStyle w:val="Nadpis1"/>
      </w:pPr>
      <w:bookmarkStart w:id="21" w:name="_Toc86153770"/>
      <w:r>
        <w:t>Doba</w:t>
      </w:r>
      <w:r w:rsidR="003C79A6">
        <w:t xml:space="preserve"> a </w:t>
      </w:r>
      <w:r w:rsidR="00176A2D">
        <w:t>Místo plnění Veřejné zakázky</w:t>
      </w:r>
      <w:bookmarkEnd w:id="21"/>
    </w:p>
    <w:p w14:paraId="64469BCC" w14:textId="77777777" w:rsidR="001563A0" w:rsidRDefault="001563A0" w:rsidP="001563A0">
      <w:pPr>
        <w:pStyle w:val="Nadpis2"/>
      </w:pPr>
      <w:bookmarkStart w:id="22" w:name="_Toc58414374"/>
      <w:bookmarkStart w:id="23" w:name="_Toc58414474"/>
      <w:bookmarkStart w:id="24" w:name="_Toc53515659"/>
      <w:bookmarkStart w:id="25" w:name="_Toc86153771"/>
      <w:bookmarkEnd w:id="22"/>
      <w:bookmarkEnd w:id="23"/>
      <w:r>
        <w:t>Doba plnění</w:t>
      </w:r>
      <w:bookmarkEnd w:id="24"/>
      <w:bookmarkEnd w:id="25"/>
    </w:p>
    <w:p w14:paraId="0FF06850" w14:textId="38D6B807" w:rsidR="001563A0" w:rsidRDefault="001563A0" w:rsidP="001563A0">
      <w:r>
        <w:t xml:space="preserve">Smlouva bude </w:t>
      </w:r>
      <w:r w:rsidRPr="001113D2">
        <w:t xml:space="preserve">uzavřena </w:t>
      </w:r>
      <w:r w:rsidRPr="008A0653">
        <w:t>na dobu neurčitou</w:t>
      </w:r>
      <w:r>
        <w:t xml:space="preserve">. </w:t>
      </w:r>
      <w:r w:rsidR="007F355C" w:rsidRPr="001D74FB">
        <w:t>Dob</w:t>
      </w:r>
      <w:r w:rsidR="007F355C">
        <w:t>y</w:t>
      </w:r>
      <w:r w:rsidR="007F355C" w:rsidRPr="001D74FB">
        <w:t xml:space="preserve"> </w:t>
      </w:r>
      <w:r>
        <w:t xml:space="preserve">plnění jednotlivých </w:t>
      </w:r>
      <w:r w:rsidR="00133F0A">
        <w:t>Prováděc</w:t>
      </w:r>
      <w:r>
        <w:t>ích smluv</w:t>
      </w:r>
      <w:r w:rsidRPr="001D74FB">
        <w:t xml:space="preserve"> </w:t>
      </w:r>
      <w:r>
        <w:t>uzavíraných</w:t>
      </w:r>
      <w:r w:rsidRPr="001D74FB">
        <w:t xml:space="preserve"> na základě </w:t>
      </w:r>
      <w:r>
        <w:t>Smlouvy jsou v </w:t>
      </w:r>
      <w:r w:rsidR="007F355C" w:rsidRPr="00C25A96">
        <w:rPr>
          <w:i/>
        </w:rPr>
        <w:t xml:space="preserve">Návrhu </w:t>
      </w:r>
      <w:r w:rsidRPr="00C25A96">
        <w:rPr>
          <w:i/>
        </w:rPr>
        <w:t>Smlouvy</w:t>
      </w:r>
      <w:r>
        <w:t xml:space="preserve"> rámcově stanoveny a </w:t>
      </w:r>
      <w:r w:rsidRPr="001D74FB">
        <w:t>blíže budou s</w:t>
      </w:r>
      <w:r>
        <w:t xml:space="preserve">pecifikovány zvlášť </w:t>
      </w:r>
      <w:r w:rsidRPr="00EA7FBA">
        <w:t>v</w:t>
      </w:r>
      <w:r>
        <w:t> </w:t>
      </w:r>
      <w:r w:rsidRPr="00EA7FBA">
        <w:t xml:space="preserve">každé jednotlivé </w:t>
      </w:r>
      <w:r w:rsidR="00133F0A">
        <w:t>Prováděcí</w:t>
      </w:r>
      <w:r w:rsidRPr="00EA7FBA">
        <w:t xml:space="preserve"> s</w:t>
      </w:r>
      <w:r>
        <w:t xml:space="preserve">mlouvě. </w:t>
      </w:r>
    </w:p>
    <w:p w14:paraId="14DE8EB8" w14:textId="77777777" w:rsidR="001563A0" w:rsidRDefault="001563A0" w:rsidP="001563A0">
      <w:r w:rsidRPr="007631AF">
        <w:t>Termín zahájení zadávání jednotlivých veřejných zakázek zadávaných na základě Smlouvy</w:t>
      </w:r>
      <w:r>
        <w:t xml:space="preserve"> bude bezprostředně</w:t>
      </w:r>
      <w:r w:rsidRPr="007631AF">
        <w:t xml:space="preserve"> po nabytí účinnosti Smlouvy; (předpoklad</w:t>
      </w:r>
      <w:r>
        <w:t>:</w:t>
      </w:r>
      <w:r w:rsidRPr="007631AF">
        <w:t xml:space="preserve"> </w:t>
      </w:r>
      <w:r>
        <w:t xml:space="preserve">cca </w:t>
      </w:r>
      <w:r w:rsidRPr="007631AF">
        <w:t>do jednoho měsíce od ukončení zadávacího řízení)</w:t>
      </w:r>
      <w:r>
        <w:t>.</w:t>
      </w:r>
    </w:p>
    <w:p w14:paraId="2EAC2251" w14:textId="74FBDADF" w:rsidR="001563A0" w:rsidRPr="001563A0" w:rsidRDefault="001563A0" w:rsidP="001563A0">
      <w:pPr>
        <w:pStyle w:val="Nadpis2"/>
      </w:pPr>
      <w:bookmarkStart w:id="26" w:name="_Toc53515660"/>
      <w:bookmarkStart w:id="27" w:name="_Toc86153772"/>
      <w:r w:rsidRPr="001563A0">
        <w:t>Místo plnění</w:t>
      </w:r>
      <w:bookmarkEnd w:id="26"/>
      <w:bookmarkEnd w:id="27"/>
    </w:p>
    <w:p w14:paraId="5133DE58" w14:textId="479D2FCC" w:rsidR="002F4F0A" w:rsidRDefault="00176A2D">
      <w:r w:rsidRPr="001563A0">
        <w:t xml:space="preserve"> </w:t>
      </w:r>
      <w:r w:rsidR="001563A0">
        <w:t xml:space="preserve">Místem plnění </w:t>
      </w:r>
      <w:r w:rsidR="0004153B" w:rsidRPr="001563A0">
        <w:t>Veřejné</w:t>
      </w:r>
      <w:r w:rsidR="0004153B" w:rsidRPr="0004153B">
        <w:t xml:space="preserve"> zakázky je sídlo </w:t>
      </w:r>
      <w:r w:rsidR="006C6487">
        <w:t>Z</w:t>
      </w:r>
      <w:r w:rsidR="0004153B" w:rsidRPr="0004153B">
        <w:t>adavatele, Sokolovská 1955/278, 190 00 Praha 9.</w:t>
      </w:r>
    </w:p>
    <w:p w14:paraId="2FC39EA1" w14:textId="77777777" w:rsidR="002F4F0A" w:rsidRDefault="00176A2D">
      <w:pPr>
        <w:pStyle w:val="Nadpis1"/>
      </w:pPr>
      <w:bookmarkStart w:id="28" w:name="_Toc58414381"/>
      <w:bookmarkStart w:id="29" w:name="_Toc58414481"/>
      <w:bookmarkStart w:id="30" w:name="_Ref58418897"/>
      <w:bookmarkStart w:id="31" w:name="_Toc86153773"/>
      <w:bookmarkEnd w:id="28"/>
      <w:bookmarkEnd w:id="29"/>
      <w:r>
        <w:t>Smluvní podmínky</w:t>
      </w:r>
      <w:bookmarkEnd w:id="30"/>
      <w:bookmarkEnd w:id="31"/>
    </w:p>
    <w:p w14:paraId="7EA94413" w14:textId="273A99F4" w:rsidR="002861D5" w:rsidRPr="00276DBC" w:rsidRDefault="002861D5" w:rsidP="002861D5">
      <w:pPr>
        <w:rPr>
          <w:rFonts w:cs="Arial"/>
        </w:rPr>
      </w:pPr>
      <w:r w:rsidRPr="002861D5">
        <w:rPr>
          <w:rFonts w:eastAsia="Times New Roman"/>
          <w:lang w:eastAsia="cs-CZ"/>
        </w:rPr>
        <w:t>Obchodní</w:t>
      </w:r>
      <w:r w:rsidR="001563A0">
        <w:rPr>
          <w:rFonts w:eastAsia="Times New Roman"/>
          <w:lang w:eastAsia="cs-CZ"/>
        </w:rPr>
        <w:t>, platební či jiné smluvní podmínky</w:t>
      </w:r>
      <w:r w:rsidR="001563A0">
        <w:rPr>
          <w:rFonts w:cs="Arial"/>
        </w:rPr>
        <w:t>, v textu této ZD</w:t>
      </w:r>
      <w:r w:rsidR="00276DBC">
        <w:rPr>
          <w:rFonts w:cs="Arial"/>
        </w:rPr>
        <w:t xml:space="preserve"> výslovně neuvedené</w:t>
      </w:r>
      <w:r w:rsidR="001563A0">
        <w:rPr>
          <w:rFonts w:cs="Arial"/>
        </w:rPr>
        <w:t xml:space="preserve">, jsou stanoveny </w:t>
      </w:r>
      <w:r w:rsidR="00276DBC">
        <w:rPr>
          <w:rFonts w:cs="Arial"/>
          <w:i/>
        </w:rPr>
        <w:t>v </w:t>
      </w:r>
      <w:r w:rsidR="001563A0" w:rsidRPr="00C77039">
        <w:rPr>
          <w:rFonts w:cs="Arial"/>
          <w:i/>
        </w:rPr>
        <w:t xml:space="preserve">Návrhu </w:t>
      </w:r>
      <w:r w:rsidR="001563A0">
        <w:rPr>
          <w:rFonts w:cs="Arial"/>
          <w:i/>
        </w:rPr>
        <w:t>Smlouvy</w:t>
      </w:r>
      <w:r w:rsidR="001563A0" w:rsidRPr="00BF254D">
        <w:rPr>
          <w:rFonts w:cs="Arial"/>
          <w:i/>
        </w:rPr>
        <w:t xml:space="preserve"> </w:t>
      </w:r>
      <w:r w:rsidR="001563A0" w:rsidRPr="00935716">
        <w:rPr>
          <w:rFonts w:cs="Arial"/>
        </w:rPr>
        <w:t xml:space="preserve">vč. </w:t>
      </w:r>
      <w:r w:rsidR="001563A0">
        <w:rPr>
          <w:rFonts w:cs="Arial"/>
        </w:rPr>
        <w:t>jeho příloh</w:t>
      </w:r>
      <w:r w:rsidR="00276DBC">
        <w:rPr>
          <w:rFonts w:cs="Arial"/>
        </w:rPr>
        <w:t xml:space="preserve">. </w:t>
      </w:r>
      <w:r w:rsidR="001563A0">
        <w:rPr>
          <w:rFonts w:cs="Arial"/>
        </w:rPr>
        <w:t xml:space="preserve">Znění </w:t>
      </w:r>
      <w:r w:rsidR="001563A0" w:rsidRPr="00BF254D">
        <w:rPr>
          <w:rFonts w:cs="Arial"/>
          <w:i/>
        </w:rPr>
        <w:t>Návrhu Smlouvy</w:t>
      </w:r>
      <w:r w:rsidR="00276DBC">
        <w:rPr>
          <w:rFonts w:cs="Arial"/>
          <w:i/>
        </w:rPr>
        <w:t xml:space="preserve">, </w:t>
      </w:r>
      <w:r w:rsidR="00276DBC">
        <w:rPr>
          <w:rFonts w:cs="Arial"/>
        </w:rPr>
        <w:t>který je přiložen k ZD,</w:t>
      </w:r>
      <w:r w:rsidR="001563A0">
        <w:rPr>
          <w:rFonts w:cs="Arial"/>
          <w:i/>
        </w:rPr>
        <w:t xml:space="preserve"> </w:t>
      </w:r>
      <w:r w:rsidR="001563A0">
        <w:rPr>
          <w:rFonts w:cs="Arial"/>
        </w:rPr>
        <w:t>je pro vybraného dod</w:t>
      </w:r>
      <w:r w:rsidR="00276DBC">
        <w:rPr>
          <w:rFonts w:cs="Arial"/>
        </w:rPr>
        <w:t>avatele závazné.</w:t>
      </w:r>
    </w:p>
    <w:p w14:paraId="79E1396E" w14:textId="77777777" w:rsidR="00E2191E" w:rsidRDefault="009C6924" w:rsidP="00021A2A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D</w:t>
      </w:r>
      <w:r w:rsidR="002861D5" w:rsidRPr="002861D5">
        <w:rPr>
          <w:rFonts w:eastAsia="Times New Roman"/>
          <w:lang w:eastAsia="cs-CZ"/>
        </w:rPr>
        <w:t>odavatel je povinen se řídit uzavřenou Smlouvou, jakož i veškerými dokumenty, které jsou součástí této ZD.</w:t>
      </w:r>
      <w:r w:rsidR="00021A2A">
        <w:rPr>
          <w:rFonts w:eastAsia="Times New Roman"/>
          <w:lang w:eastAsia="cs-CZ"/>
        </w:rPr>
        <w:t xml:space="preserve"> </w:t>
      </w:r>
    </w:p>
    <w:p w14:paraId="71E9421F" w14:textId="506531D6" w:rsidR="002861D5" w:rsidRPr="002861D5" w:rsidRDefault="002861D5" w:rsidP="00021A2A">
      <w:pPr>
        <w:spacing w:after="0"/>
        <w:rPr>
          <w:rFonts w:eastAsia="Times New Roman"/>
          <w:lang w:eastAsia="cs-CZ"/>
        </w:rPr>
      </w:pPr>
      <w:r w:rsidRPr="002861D5">
        <w:rPr>
          <w:rFonts w:eastAsia="Times New Roman"/>
          <w:lang w:eastAsia="cs-CZ"/>
        </w:rPr>
        <w:t xml:space="preserve">Bezvýhradná akceptace </w:t>
      </w:r>
      <w:r w:rsidR="00804E89" w:rsidRPr="005D6A60">
        <w:rPr>
          <w:rFonts w:eastAsia="Times New Roman"/>
          <w:i/>
          <w:lang w:eastAsia="cs-CZ"/>
        </w:rPr>
        <w:t xml:space="preserve">Návrhu </w:t>
      </w:r>
      <w:r w:rsidRPr="005D6A60">
        <w:rPr>
          <w:rFonts w:eastAsia="Times New Roman"/>
          <w:i/>
          <w:lang w:eastAsia="cs-CZ"/>
        </w:rPr>
        <w:t>Smlouvy</w:t>
      </w:r>
      <w:r w:rsidRPr="002861D5">
        <w:rPr>
          <w:rFonts w:eastAsia="Times New Roman"/>
          <w:lang w:eastAsia="cs-CZ"/>
        </w:rPr>
        <w:t xml:space="preserve"> bude stvrzena podpisem </w:t>
      </w:r>
      <w:r w:rsidRPr="005D6A60">
        <w:rPr>
          <w:rFonts w:eastAsia="Times New Roman"/>
          <w:i/>
          <w:lang w:eastAsia="cs-CZ"/>
        </w:rPr>
        <w:t>Formuláře nabídky</w:t>
      </w:r>
      <w:r w:rsidRPr="002861D5">
        <w:rPr>
          <w:rFonts w:eastAsia="Times New Roman"/>
          <w:lang w:eastAsia="cs-CZ"/>
        </w:rPr>
        <w:t>.</w:t>
      </w:r>
    </w:p>
    <w:p w14:paraId="1C9A80AC" w14:textId="77777777" w:rsidR="002F4F0A" w:rsidRPr="001563A0" w:rsidRDefault="002861D5" w:rsidP="002861D5">
      <w:pPr>
        <w:rPr>
          <w:rFonts w:eastAsia="Times New Roman"/>
          <w:u w:val="single"/>
          <w:lang w:eastAsia="cs-CZ"/>
        </w:rPr>
      </w:pPr>
      <w:r w:rsidRPr="001563A0">
        <w:rPr>
          <w:rFonts w:eastAsia="Times New Roman"/>
          <w:b/>
          <w:u w:val="single"/>
          <w:lang w:eastAsia="cs-CZ"/>
        </w:rPr>
        <w:t xml:space="preserve">Zadavatel nevyžaduje, aby byl </w:t>
      </w:r>
      <w:r w:rsidR="00804E89" w:rsidRPr="001563A0">
        <w:rPr>
          <w:rFonts w:eastAsia="Times New Roman"/>
          <w:b/>
          <w:i/>
          <w:u w:val="single"/>
          <w:lang w:eastAsia="cs-CZ"/>
        </w:rPr>
        <w:t>N</w:t>
      </w:r>
      <w:r w:rsidRPr="001563A0">
        <w:rPr>
          <w:rFonts w:eastAsia="Times New Roman"/>
          <w:b/>
          <w:i/>
          <w:u w:val="single"/>
          <w:lang w:eastAsia="cs-CZ"/>
        </w:rPr>
        <w:t>ávrh Smlouvy</w:t>
      </w:r>
      <w:r w:rsidRPr="001563A0">
        <w:rPr>
          <w:rFonts w:eastAsia="Times New Roman"/>
          <w:b/>
          <w:u w:val="single"/>
          <w:lang w:eastAsia="cs-CZ"/>
        </w:rPr>
        <w:t xml:space="preserve"> předložen spolu s nabídkou</w:t>
      </w:r>
      <w:r w:rsidR="00176A2D" w:rsidRPr="001563A0">
        <w:rPr>
          <w:rFonts w:eastAsia="Times New Roman"/>
          <w:u w:val="single"/>
          <w:lang w:eastAsia="cs-CZ"/>
        </w:rPr>
        <w:t>.</w:t>
      </w:r>
    </w:p>
    <w:p w14:paraId="6E46FF0E" w14:textId="77777777" w:rsidR="002F4F0A" w:rsidRDefault="00176A2D">
      <w:pPr>
        <w:pStyle w:val="Nadpis1"/>
      </w:pPr>
      <w:bookmarkStart w:id="32" w:name="_Toc58414389"/>
      <w:bookmarkStart w:id="33" w:name="_Toc58414489"/>
      <w:bookmarkStart w:id="34" w:name="_Toc86153774"/>
      <w:bookmarkEnd w:id="32"/>
      <w:bookmarkEnd w:id="33"/>
      <w:r>
        <w:t>Kvalifikace</w:t>
      </w:r>
      <w:bookmarkEnd w:id="34"/>
    </w:p>
    <w:p w14:paraId="34B39B3F" w14:textId="0C96031F" w:rsidR="002F4F0A" w:rsidRDefault="00176A2D">
      <w:r>
        <w:t xml:space="preserve">Účastníci jsou povinni prokázat kvalifikaci požadovanou Zadavatelem. Požadavky na </w:t>
      </w:r>
      <w:r w:rsidR="00D65202">
        <w:t xml:space="preserve">prokázání </w:t>
      </w:r>
      <w:r>
        <w:t xml:space="preserve">základní </w:t>
      </w:r>
      <w:r w:rsidR="00276DBC">
        <w:t xml:space="preserve">a </w:t>
      </w:r>
      <w:r>
        <w:t xml:space="preserve">profesní </w:t>
      </w:r>
      <w:r w:rsidRPr="00133F0A">
        <w:t>způsobilost</w:t>
      </w:r>
      <w:r w:rsidR="00D65202" w:rsidRPr="00133F0A">
        <w:t>i</w:t>
      </w:r>
      <w:r w:rsidRPr="00133F0A">
        <w:t xml:space="preserve"> </w:t>
      </w:r>
      <w:r w:rsidR="00D65202" w:rsidRPr="00133F0A">
        <w:t xml:space="preserve">a technické kvalifikace </w:t>
      </w:r>
      <w:r w:rsidRPr="00133F0A">
        <w:t>jsou stanoveny</w:t>
      </w:r>
      <w:r>
        <w:t xml:space="preserve"> vzorovým čestným prohlášením v příloze </w:t>
      </w:r>
      <w:r>
        <w:rPr>
          <w:i/>
        </w:rPr>
        <w:t>Formulář nabídky</w:t>
      </w:r>
      <w:r>
        <w:t>.</w:t>
      </w:r>
    </w:p>
    <w:p w14:paraId="0EBCE30A" w14:textId="3D972CFF" w:rsidR="001D74FB" w:rsidRDefault="001D74FB">
      <w:r>
        <w:t xml:space="preserve">Splnění požadavků Zadavatele na kvalifikaci účastníka mohou dodavatelé ve své nabídce prokázat předložením řádně vyplněného a podepsaného </w:t>
      </w:r>
      <w:r>
        <w:rPr>
          <w:i/>
        </w:rPr>
        <w:t>Formuláře nabídky</w:t>
      </w:r>
      <w:r>
        <w:t>, včet</w:t>
      </w:r>
      <w:r w:rsidR="00133F0A">
        <w:t>ně příslušných příloh, viz kap. </w:t>
      </w:r>
      <w:r w:rsidR="00021A2A" w:rsidRPr="00133F0A">
        <w:t>1.2</w:t>
      </w:r>
      <w:r w:rsidRPr="00133F0A">
        <w:t>.</w:t>
      </w:r>
    </w:p>
    <w:p w14:paraId="69578DBC" w14:textId="77777777" w:rsidR="002F4F0A" w:rsidRDefault="00176A2D">
      <w:pPr>
        <w:pStyle w:val="Nadpis1"/>
      </w:pPr>
      <w:bookmarkStart w:id="35" w:name="_Toc86153775"/>
      <w:r>
        <w:t>Požadavky na způsob zpracování nabídkové ceny</w:t>
      </w:r>
      <w:bookmarkEnd w:id="35"/>
    </w:p>
    <w:p w14:paraId="5EE55AEF" w14:textId="156BE037" w:rsidR="00F33916" w:rsidRDefault="00F33916" w:rsidP="00F33916">
      <w:r w:rsidRPr="00501122">
        <w:t xml:space="preserve">Účastník pro zpracování </w:t>
      </w:r>
      <w:r w:rsidR="00DD6C7C">
        <w:t>C</w:t>
      </w:r>
      <w:r w:rsidRPr="00501122">
        <w:t xml:space="preserve">elkové nabídkové ceny využije </w:t>
      </w:r>
      <w:r w:rsidRPr="00E82895">
        <w:rPr>
          <w:i/>
        </w:rPr>
        <w:t>Tabulku nabídkové ceny</w:t>
      </w:r>
      <w:r w:rsidRPr="00501122">
        <w:t xml:space="preserve">, která je přílohou </w:t>
      </w:r>
      <w:r w:rsidRPr="00E82895">
        <w:rPr>
          <w:i/>
        </w:rPr>
        <w:t>Formuláře nabídky</w:t>
      </w:r>
      <w:r w:rsidRPr="00501122">
        <w:t xml:space="preserve">. V </w:t>
      </w:r>
      <w:r w:rsidRPr="00E82895">
        <w:rPr>
          <w:i/>
        </w:rPr>
        <w:t>Tabulce nabídkové ceny</w:t>
      </w:r>
      <w:r w:rsidRPr="00501122">
        <w:t xml:space="preserve"> jsou všechna pole určená k vyplnění vyznačena </w:t>
      </w:r>
      <w:r w:rsidR="0032024A">
        <w:t>ž</w:t>
      </w:r>
      <w:r w:rsidR="00657C10">
        <w:t>lutě a </w:t>
      </w:r>
      <w:r w:rsidRPr="00501122">
        <w:t xml:space="preserve">účastník je povinen je </w:t>
      </w:r>
      <w:r w:rsidRPr="00B13155">
        <w:t>vyplnit.</w:t>
      </w:r>
      <w:r w:rsidR="00C4707B">
        <w:t xml:space="preserve"> </w:t>
      </w:r>
    </w:p>
    <w:p w14:paraId="31986BCB" w14:textId="2C4E2FF3" w:rsidR="009A4F9E" w:rsidRDefault="0004172B" w:rsidP="002A5929">
      <w:r w:rsidRPr="00CE2B54">
        <w:t xml:space="preserve">Do </w:t>
      </w:r>
      <w:r w:rsidRPr="00CE2B54">
        <w:rPr>
          <w:i/>
        </w:rPr>
        <w:t>Tabulky nabídkové ceny</w:t>
      </w:r>
      <w:r>
        <w:t xml:space="preserve"> </w:t>
      </w:r>
      <w:r w:rsidRPr="00CE2B54">
        <w:t>doplní účastník</w:t>
      </w:r>
      <w:r>
        <w:t xml:space="preserve">, do sloupce č. 2, </w:t>
      </w:r>
      <w:r w:rsidRPr="0004172B">
        <w:rPr>
          <w:b/>
        </w:rPr>
        <w:t>hodnotu</w:t>
      </w:r>
      <w:r w:rsidRPr="001A2413">
        <w:rPr>
          <w:b/>
        </w:rPr>
        <w:t xml:space="preserve"> v Kč bez DPH za 1</w:t>
      </w:r>
      <w:r>
        <w:rPr>
          <w:b/>
        </w:rPr>
        <w:t> </w:t>
      </w:r>
      <w:r w:rsidRPr="001A2413">
        <w:rPr>
          <w:b/>
        </w:rPr>
        <w:t>pr</w:t>
      </w:r>
      <w:r>
        <w:rPr>
          <w:b/>
        </w:rPr>
        <w:t>acovní den</w:t>
      </w:r>
      <w:r w:rsidRPr="001A2413">
        <w:rPr>
          <w:b/>
        </w:rPr>
        <w:t xml:space="preserve"> 1 osoby</w:t>
      </w:r>
      <w:r>
        <w:t xml:space="preserve">, </w:t>
      </w:r>
      <w:r w:rsidR="00C1542D">
        <w:t>(</w:t>
      </w:r>
      <w:r>
        <w:t>tzv.</w:t>
      </w:r>
      <w:r w:rsidRPr="008A0653">
        <w:t xml:space="preserve"> „člověko</w:t>
      </w:r>
      <w:r>
        <w:t>den</w:t>
      </w:r>
      <w:r w:rsidR="00C1542D">
        <w:t>“</w:t>
      </w:r>
      <w:r w:rsidRPr="008A0653">
        <w:t xml:space="preserve"> </w:t>
      </w:r>
      <w:r w:rsidR="00C1542D">
        <w:t>čili</w:t>
      </w:r>
      <w:r w:rsidRPr="008A0653">
        <w:t xml:space="preserve"> </w:t>
      </w:r>
      <w:r>
        <w:t>„</w:t>
      </w:r>
      <w:r w:rsidRPr="008A0653">
        <w:t>Man-</w:t>
      </w:r>
      <w:proofErr w:type="spellStart"/>
      <w:r>
        <w:t>day</w:t>
      </w:r>
      <w:proofErr w:type="spellEnd"/>
      <w:r>
        <w:t>“</w:t>
      </w:r>
      <w:r w:rsidR="00C1542D">
        <w:t xml:space="preserve">), </w:t>
      </w:r>
      <w:r w:rsidR="00C1542D" w:rsidRPr="00B65DF2">
        <w:t>tj. jednotkov</w:t>
      </w:r>
      <w:r w:rsidR="00C1542D">
        <w:t>ou</w:t>
      </w:r>
      <w:r w:rsidR="00C1542D" w:rsidRPr="00B65DF2">
        <w:t xml:space="preserve"> nabídkov</w:t>
      </w:r>
      <w:r w:rsidR="00C1542D">
        <w:t>ou</w:t>
      </w:r>
      <w:r w:rsidR="00C1542D" w:rsidRPr="00B65DF2">
        <w:t xml:space="preserve"> cen</w:t>
      </w:r>
      <w:r w:rsidR="00C1542D">
        <w:t>u</w:t>
      </w:r>
      <w:r w:rsidRPr="008A0653">
        <w:t>.</w:t>
      </w:r>
      <w:r>
        <w:t xml:space="preserve"> </w:t>
      </w:r>
      <w:r w:rsidR="008A0653" w:rsidRPr="008A0653">
        <w:t xml:space="preserve">Tuto jednotkovou </w:t>
      </w:r>
      <w:r w:rsidR="00B65DF2">
        <w:t xml:space="preserve">nabídkovou </w:t>
      </w:r>
      <w:r w:rsidR="008A0653" w:rsidRPr="008A0653">
        <w:t xml:space="preserve">cenu doplní účastník zvlášť za </w:t>
      </w:r>
      <w:r>
        <w:rPr>
          <w:b/>
        </w:rPr>
        <w:t>každou osobu v uvedené roli</w:t>
      </w:r>
      <w:r w:rsidR="008A0653" w:rsidRPr="008A0653">
        <w:t>.</w:t>
      </w:r>
      <w:r w:rsidR="00982EA9">
        <w:t xml:space="preserve"> </w:t>
      </w:r>
      <w:r w:rsidR="002A5929" w:rsidRPr="00CE2B54">
        <w:t>Jednotkov</w:t>
      </w:r>
      <w:r w:rsidR="00284ABD">
        <w:t>é</w:t>
      </w:r>
      <w:r w:rsidR="002A5929" w:rsidRPr="00CE2B54">
        <w:t xml:space="preserve"> nabídkov</w:t>
      </w:r>
      <w:r w:rsidR="00284ABD">
        <w:t>é</w:t>
      </w:r>
      <w:r w:rsidR="002A5929" w:rsidRPr="00CE2B54">
        <w:t xml:space="preserve"> cen</w:t>
      </w:r>
      <w:r w:rsidR="00284ABD">
        <w:t>y</w:t>
      </w:r>
      <w:r w:rsidR="002A5929" w:rsidRPr="00CE2B54">
        <w:t xml:space="preserve"> </w:t>
      </w:r>
      <w:r w:rsidR="000E2E6F">
        <w:t>uvede účastník</w:t>
      </w:r>
      <w:r w:rsidR="002A5929" w:rsidRPr="00CE2B54">
        <w:t xml:space="preserve"> nejvýše na dvě desetinná místa, jinak budou ceny na dvě desetinná místa zaokrouhleny automaticky a tyto zaokrouhlené ceny bud</w:t>
      </w:r>
      <w:r w:rsidR="002D708A">
        <w:t>ou považovány za ceny nabídkové</w:t>
      </w:r>
      <w:r w:rsidR="002A16BC">
        <w:t xml:space="preserve"> (sloupec č. 3)</w:t>
      </w:r>
      <w:r w:rsidR="002D708A">
        <w:t>.</w:t>
      </w:r>
    </w:p>
    <w:p w14:paraId="4E92432F" w14:textId="7C13DF58" w:rsidR="002A16BC" w:rsidRPr="00A53777" w:rsidRDefault="002A16BC" w:rsidP="002A5929">
      <w:r>
        <w:t>Předpokládané počty Man-</w:t>
      </w:r>
      <w:proofErr w:type="spellStart"/>
      <w:r>
        <w:t>day</w:t>
      </w:r>
      <w:proofErr w:type="spellEnd"/>
      <w:r w:rsidR="00A53777">
        <w:t>, uvedené v </w:t>
      </w:r>
      <w:r w:rsidR="00A53777">
        <w:rPr>
          <w:i/>
        </w:rPr>
        <w:t>Tabulce nabídkové ceny</w:t>
      </w:r>
      <w:r w:rsidR="00A53777">
        <w:t>, jsou pouze předpokladem Zadavatele a slouží pro účely hodnocení nabídek.</w:t>
      </w:r>
    </w:p>
    <w:p w14:paraId="5366CFB4" w14:textId="37A6DD5F" w:rsidR="00C1542D" w:rsidRPr="001D59F7" w:rsidRDefault="00C1542D" w:rsidP="002A5929">
      <w:r w:rsidRPr="00982EA9">
        <w:t>Celková nabídková cena</w:t>
      </w:r>
      <w:r>
        <w:t xml:space="preserve"> bude dopočtena automaticky, </w:t>
      </w:r>
      <w:r w:rsidRPr="00467039">
        <w:t>stejně jako všechny ostatní hodnoty</w:t>
      </w:r>
      <w:r>
        <w:t>.</w:t>
      </w:r>
    </w:p>
    <w:p w14:paraId="3F6C0A83" w14:textId="1CBD4CEA" w:rsidR="00F33916" w:rsidRPr="00501122" w:rsidRDefault="00F33916" w:rsidP="00F33916">
      <w:r w:rsidRPr="00CA0C8B">
        <w:rPr>
          <w:b/>
        </w:rPr>
        <w:t>Celkovou nabídkovou cenu</w:t>
      </w:r>
      <w:r w:rsidR="00345B2D" w:rsidRPr="00CA0C8B">
        <w:rPr>
          <w:b/>
        </w:rPr>
        <w:t xml:space="preserve"> </w:t>
      </w:r>
      <w:r w:rsidR="00982EA9" w:rsidRPr="00CA0C8B">
        <w:rPr>
          <w:b/>
        </w:rPr>
        <w:t xml:space="preserve">bez DPH - </w:t>
      </w:r>
      <w:r w:rsidR="00345B2D" w:rsidRPr="00CA0C8B">
        <w:rPr>
          <w:b/>
        </w:rPr>
        <w:t>pro účely hodnocení</w:t>
      </w:r>
      <w:r w:rsidR="00982EA9">
        <w:t>,</w:t>
      </w:r>
      <w:r w:rsidR="002C5B28" w:rsidRPr="001C60E2">
        <w:t xml:space="preserve"> </w:t>
      </w:r>
      <w:r w:rsidR="00CA0C8B">
        <w:t xml:space="preserve">viz </w:t>
      </w:r>
      <w:r w:rsidR="000132AA">
        <w:t xml:space="preserve">řádek </w:t>
      </w:r>
      <w:r w:rsidR="001C60E2" w:rsidRPr="001C60E2">
        <w:t xml:space="preserve">č. </w:t>
      </w:r>
      <w:r w:rsidR="00C1542D">
        <w:t>9</w:t>
      </w:r>
      <w:r w:rsidR="001C60E2" w:rsidRPr="001C60E2">
        <w:t xml:space="preserve"> </w:t>
      </w:r>
      <w:r w:rsidR="002C5B28" w:rsidRPr="001C60E2">
        <w:rPr>
          <w:i/>
        </w:rPr>
        <w:t>Tabulky nabídkové ceny</w:t>
      </w:r>
      <w:r w:rsidR="00982EA9">
        <w:t>,</w:t>
      </w:r>
      <w:r w:rsidRPr="00501122">
        <w:t xml:space="preserve"> účastník Řízení přepíše do </w:t>
      </w:r>
      <w:r w:rsidRPr="00665D60">
        <w:rPr>
          <w:i/>
        </w:rPr>
        <w:t>Formuláře nabídky</w:t>
      </w:r>
      <w:r w:rsidRPr="00501122">
        <w:t xml:space="preserve"> a do elektronického nástroj</w:t>
      </w:r>
      <w:r w:rsidR="00C1542D">
        <w:t>e</w:t>
      </w:r>
      <w:r w:rsidRPr="00501122">
        <w:t xml:space="preserve"> Tender arena. V</w:t>
      </w:r>
      <w:r w:rsidR="00396A17">
        <w:t> </w:t>
      </w:r>
      <w:r w:rsidRPr="00501122">
        <w:t xml:space="preserve">případě, že bude v rámci nabídky účastníka uvedena rozdílná </w:t>
      </w:r>
      <w:r w:rsidR="00284ABD">
        <w:t>C</w:t>
      </w:r>
      <w:r w:rsidR="00284ABD" w:rsidRPr="00501122">
        <w:t xml:space="preserve">elková </w:t>
      </w:r>
      <w:r w:rsidRPr="00501122">
        <w:t xml:space="preserve">nabídková cena ve </w:t>
      </w:r>
      <w:r w:rsidRPr="00665D60">
        <w:rPr>
          <w:i/>
        </w:rPr>
        <w:t>Formuláři nabídky</w:t>
      </w:r>
      <w:r w:rsidRPr="00501122">
        <w:t xml:space="preserve">, </w:t>
      </w:r>
      <w:r w:rsidRPr="00665D60">
        <w:rPr>
          <w:i/>
        </w:rPr>
        <w:t>Tabulce nabídkové ceny</w:t>
      </w:r>
      <w:r w:rsidRPr="00501122">
        <w:t xml:space="preserve"> či elektronickém nástroji Tender arena, bude se jako závazná brát </w:t>
      </w:r>
      <w:r w:rsidR="00284ABD">
        <w:t>C</w:t>
      </w:r>
      <w:r w:rsidR="00284ABD" w:rsidRPr="00501122">
        <w:t xml:space="preserve">elková </w:t>
      </w:r>
      <w:r w:rsidRPr="00501122">
        <w:t xml:space="preserve">nabídková cena uvedená v </w:t>
      </w:r>
      <w:r w:rsidRPr="00665D60">
        <w:rPr>
          <w:i/>
        </w:rPr>
        <w:t>Tabulce nabídkové ceny</w:t>
      </w:r>
      <w:r w:rsidRPr="00501122">
        <w:t>.</w:t>
      </w:r>
    </w:p>
    <w:p w14:paraId="2EDC0D2C" w14:textId="669BC8C7" w:rsidR="002F4F0A" w:rsidRDefault="00F33916" w:rsidP="00F33916">
      <w:r w:rsidRPr="00501122">
        <w:t>Účastníkem nabídnuté ceny jsou konečné a nepřekročitelné</w:t>
      </w:r>
      <w:r w:rsidR="00C1542D">
        <w:t>, a</w:t>
      </w:r>
      <w:r w:rsidRPr="00501122">
        <w:t xml:space="preserve"> zahrnují veškeré náklady a poplatky účastníka vynaložené v souvislosti s plněním předmětu Veřejné zakázky.</w:t>
      </w:r>
    </w:p>
    <w:p w14:paraId="53650945" w14:textId="2E153713" w:rsidR="00C1542D" w:rsidRDefault="00C1542D" w:rsidP="00F33916">
      <w:r>
        <w:t xml:space="preserve">A dále pro vyloučení všech pochybností Zadavatel stanoví, že účastník není oprávněn v nabídce podmínit </w:t>
      </w:r>
      <w:r w:rsidRPr="00C1542D">
        <w:t xml:space="preserve">výši </w:t>
      </w:r>
      <w:r w:rsidRPr="00C1542D">
        <w:rPr>
          <w:rFonts w:cs="Arial"/>
        </w:rPr>
        <w:t>Celkové n</w:t>
      </w:r>
      <w:r w:rsidRPr="00C1542D">
        <w:t>abídkové ceny další</w:t>
      </w:r>
      <w:r>
        <w:t xml:space="preserve"> podmínkou (např. </w:t>
      </w:r>
      <w:r w:rsidRPr="00C02C89">
        <w:t>minimálním plněním</w:t>
      </w:r>
      <w:r>
        <w:t xml:space="preserve"> apod.). Jakékoliv takovéto podmínění je důvodem pro vyřazení nabídky a následně vyloučení účastníka z Řízení.</w:t>
      </w:r>
    </w:p>
    <w:p w14:paraId="4AF212B2" w14:textId="77777777" w:rsidR="002F4F0A" w:rsidRDefault="00176A2D">
      <w:pPr>
        <w:pStyle w:val="Nadpis1"/>
      </w:pPr>
      <w:bookmarkStart w:id="36" w:name="_Toc86153776"/>
      <w:r>
        <w:t>Hodnotící kritéria a způsob hodnocení</w:t>
      </w:r>
      <w:bookmarkEnd w:id="36"/>
    </w:p>
    <w:p w14:paraId="7681AD60" w14:textId="727ADAE1" w:rsidR="004716D4" w:rsidRDefault="00176A2D">
      <w:r>
        <w:t>Podané nabídky budou hodnoceny dle ekonomické výhodnosti</w:t>
      </w:r>
      <w:r w:rsidR="00B218F0">
        <w:t xml:space="preserve"> </w:t>
      </w:r>
      <w:r w:rsidR="004D5D70">
        <w:t>-</w:t>
      </w:r>
      <w:r w:rsidR="00B218F0">
        <w:t xml:space="preserve"> nejnižší</w:t>
      </w:r>
      <w:r w:rsidR="004D5D70">
        <w:t xml:space="preserve"> Celkové</w:t>
      </w:r>
      <w:r w:rsidR="00B218F0">
        <w:t xml:space="preserve"> nabídkové ceny.</w:t>
      </w:r>
      <w:r>
        <w:t xml:space="preserve"> </w:t>
      </w:r>
    </w:p>
    <w:p w14:paraId="10411D9C" w14:textId="0BF4A431" w:rsidR="004716D4" w:rsidRPr="008B0153" w:rsidRDefault="004716D4" w:rsidP="004716D4">
      <w:pPr>
        <w:spacing w:after="120"/>
        <w:rPr>
          <w:rFonts w:cs="Arial"/>
        </w:rPr>
      </w:pPr>
      <w:r>
        <w:rPr>
          <w:rFonts w:cs="Arial"/>
        </w:rPr>
        <w:t>Při h</w:t>
      </w:r>
      <w:r w:rsidRPr="008B0153">
        <w:rPr>
          <w:rFonts w:cs="Arial"/>
        </w:rPr>
        <w:t>odnocení bud</w:t>
      </w:r>
      <w:r>
        <w:rPr>
          <w:rFonts w:cs="Arial"/>
        </w:rPr>
        <w:t xml:space="preserve">ou </w:t>
      </w:r>
      <w:r w:rsidRPr="008B0153">
        <w:rPr>
          <w:rFonts w:cs="Arial"/>
        </w:rPr>
        <w:t xml:space="preserve">nabídky seřazeny ve vzestupném pořadí podle výše </w:t>
      </w:r>
      <w:r w:rsidRPr="004716D4">
        <w:rPr>
          <w:rFonts w:cs="Arial"/>
        </w:rPr>
        <w:t>Celkové nabídkové ceny vyjádřené</w:t>
      </w:r>
      <w:r w:rsidRPr="008B0153">
        <w:rPr>
          <w:rFonts w:cs="Arial"/>
        </w:rPr>
        <w:t xml:space="preserve"> v Kč bez DPH</w:t>
      </w:r>
      <w:r>
        <w:rPr>
          <w:rFonts w:cs="Arial"/>
        </w:rPr>
        <w:t>, čímž bude stanoveno jejich pořadí.</w:t>
      </w:r>
    </w:p>
    <w:p w14:paraId="5571C2BF" w14:textId="66871EC0" w:rsidR="002F4F0A" w:rsidRDefault="00176A2D">
      <w:r>
        <w:lastRenderedPageBreak/>
        <w:t xml:space="preserve">V případě rovnosti </w:t>
      </w:r>
      <w:r w:rsidR="00284ABD">
        <w:t>C</w:t>
      </w:r>
      <w:r>
        <w:t>elkové nabídkové ceny dvou či více nabídek rozhoduje o celkovém pořadí nabídek pořadí, ve kterém byly Zadavateli doručeny. Shodná nabídka, která byla doručena nejdříve, bude na prvním místě a shodná nabídka, která byla podána později, bude na dalším místě.</w:t>
      </w:r>
    </w:p>
    <w:p w14:paraId="0849086F" w14:textId="77777777" w:rsidR="002F4F0A" w:rsidRDefault="00176A2D">
      <w:pPr>
        <w:pStyle w:val="Nadpis1"/>
      </w:pPr>
      <w:bookmarkStart w:id="37" w:name="_Toc86153777"/>
      <w:r>
        <w:t>Podmínky pro uzavření Smlouvy</w:t>
      </w:r>
      <w:bookmarkEnd w:id="37"/>
    </w:p>
    <w:p w14:paraId="74D54524" w14:textId="77777777" w:rsidR="002F4F0A" w:rsidRDefault="00176A2D">
      <w:r>
        <w:t xml:space="preserve">Před uzavřením Smlouvy bude </w:t>
      </w:r>
      <w:r w:rsidR="00280A54">
        <w:t>Z</w:t>
      </w:r>
      <w:r>
        <w:t xml:space="preserve">adavatel postupovat v </w:t>
      </w:r>
      <w:r w:rsidRPr="001C60E2">
        <w:t>souladu s § 122 ZZVZ.</w:t>
      </w:r>
      <w:r>
        <w:t xml:space="preserve"> </w:t>
      </w:r>
    </w:p>
    <w:p w14:paraId="07D9895C" w14:textId="79DEE71A" w:rsidR="00021A2A" w:rsidRDefault="00021A2A">
      <w:pPr>
        <w:rPr>
          <w:rStyle w:val="Hypertextovodkaz"/>
          <w:i/>
          <w:color w:val="auto"/>
          <w:u w:val="none"/>
        </w:rPr>
      </w:pPr>
      <w:r w:rsidRPr="00492590">
        <w:rPr>
          <w:rStyle w:val="Hypertextovodkaz"/>
          <w:color w:val="auto"/>
          <w:u w:val="none"/>
        </w:rPr>
        <w:t xml:space="preserve">Účastník se zavazuje, že po celou dobu platnosti Smlouvy bude mít zajištěno plnění z pojistné Smlouvy na pojištění odpovědnosti za škodu s limitem plnění minimálně </w:t>
      </w:r>
      <w:r w:rsidR="00492590" w:rsidRPr="00492590">
        <w:rPr>
          <w:rFonts w:ascii="Arial" w:hAnsi="Arial" w:cs="Arial"/>
        </w:rPr>
        <w:t>10 </w:t>
      </w:r>
      <w:r w:rsidRPr="00492590">
        <w:rPr>
          <w:rFonts w:ascii="Arial" w:hAnsi="Arial" w:cs="Arial"/>
        </w:rPr>
        <w:t>000</w:t>
      </w:r>
      <w:r w:rsidR="00492590" w:rsidRPr="00492590">
        <w:rPr>
          <w:rFonts w:ascii="Arial" w:hAnsi="Arial" w:cs="Arial"/>
        </w:rPr>
        <w:t> </w:t>
      </w:r>
      <w:r w:rsidRPr="00492590">
        <w:rPr>
          <w:rFonts w:ascii="Arial" w:hAnsi="Arial" w:cs="Arial"/>
        </w:rPr>
        <w:t>000</w:t>
      </w:r>
      <w:r w:rsidR="00492590" w:rsidRPr="00492590">
        <w:rPr>
          <w:rFonts w:ascii="Arial" w:hAnsi="Arial" w:cs="Arial"/>
        </w:rPr>
        <w:t xml:space="preserve"> </w:t>
      </w:r>
      <w:r w:rsidRPr="00492590">
        <w:rPr>
          <w:rStyle w:val="Hypertextovodkaz"/>
          <w:color w:val="auto"/>
          <w:u w:val="none"/>
        </w:rPr>
        <w:t>Kč</w:t>
      </w:r>
      <w:r w:rsidR="00492590">
        <w:rPr>
          <w:rStyle w:val="Hypertextovodkaz"/>
          <w:color w:val="auto"/>
          <w:u w:val="none"/>
        </w:rPr>
        <w:t>;</w:t>
      </w:r>
      <w:r w:rsidR="00492590" w:rsidRPr="00492590">
        <w:rPr>
          <w:rStyle w:val="Hypertextovodkaz"/>
          <w:color w:val="auto"/>
          <w:u w:val="none"/>
        </w:rPr>
        <w:t xml:space="preserve"> </w:t>
      </w:r>
      <w:r w:rsidR="00492590">
        <w:rPr>
          <w:rStyle w:val="Hypertextovodkaz"/>
          <w:color w:val="auto"/>
          <w:u w:val="none"/>
        </w:rPr>
        <w:t xml:space="preserve">podrobněji </w:t>
      </w:r>
      <w:r w:rsidR="00492590" w:rsidRPr="001A0553">
        <w:rPr>
          <w:rStyle w:val="Hypertextovodkaz"/>
          <w:color w:val="auto"/>
          <w:u w:val="none"/>
        </w:rPr>
        <w:t xml:space="preserve">viz </w:t>
      </w:r>
      <w:r w:rsidR="000A1714" w:rsidRPr="001A0553">
        <w:rPr>
          <w:rStyle w:val="Hypertextovodkaz"/>
          <w:color w:val="auto"/>
          <w:u w:val="none"/>
        </w:rPr>
        <w:t xml:space="preserve">odst. </w:t>
      </w:r>
      <w:r w:rsidR="00492590" w:rsidRPr="001A0553">
        <w:rPr>
          <w:rStyle w:val="Hypertextovodkaz"/>
          <w:color w:val="auto"/>
          <w:u w:val="none"/>
        </w:rPr>
        <w:t xml:space="preserve">7.2 </w:t>
      </w:r>
      <w:r w:rsidR="00A53777" w:rsidRPr="004A0BFD">
        <w:rPr>
          <w:rStyle w:val="Hypertextovodkaz"/>
          <w:i/>
          <w:color w:val="auto"/>
          <w:u w:val="none"/>
        </w:rPr>
        <w:t xml:space="preserve">Návrhu </w:t>
      </w:r>
      <w:r w:rsidR="00492590" w:rsidRPr="004A0BFD">
        <w:rPr>
          <w:rStyle w:val="Hypertextovodkaz"/>
          <w:i/>
          <w:color w:val="auto"/>
          <w:u w:val="none"/>
        </w:rPr>
        <w:t>Smlouvy.</w:t>
      </w:r>
    </w:p>
    <w:p w14:paraId="31D50CD8" w14:textId="77569DB6" w:rsidR="006E6272" w:rsidRDefault="006E6272">
      <w:r>
        <w:t>Zadavatel vyzve Dodavatele před uzavřením Smlouvy</w:t>
      </w:r>
      <w:r w:rsidRPr="000405F5">
        <w:t xml:space="preserve"> </w:t>
      </w:r>
      <w:r>
        <w:t>k předložení originálu pojistné smlouvy (popř. pojistného certifikátu) nebo její ověřené kopie.</w:t>
      </w:r>
      <w:r w:rsidRPr="009B5D90">
        <w:rPr>
          <w:color w:val="000000"/>
        </w:rPr>
        <w:t xml:space="preserve"> </w:t>
      </w:r>
    </w:p>
    <w:p w14:paraId="34CA6679" w14:textId="77777777" w:rsidR="002F4F0A" w:rsidRDefault="00176A2D">
      <w:pPr>
        <w:pStyle w:val="Nadpis1"/>
      </w:pPr>
      <w:bookmarkStart w:id="38" w:name="_Toc58414394"/>
      <w:bookmarkStart w:id="39" w:name="_Toc58414494"/>
      <w:bookmarkStart w:id="40" w:name="_Toc58414395"/>
      <w:bookmarkStart w:id="41" w:name="_Toc58414495"/>
      <w:bookmarkStart w:id="42" w:name="_Toc58414396"/>
      <w:bookmarkStart w:id="43" w:name="_Toc58414496"/>
      <w:bookmarkStart w:id="44" w:name="_Toc58414397"/>
      <w:bookmarkStart w:id="45" w:name="_Toc58414497"/>
      <w:bookmarkStart w:id="46" w:name="_Toc58414398"/>
      <w:bookmarkStart w:id="47" w:name="_Toc58414498"/>
      <w:bookmarkStart w:id="48" w:name="_Toc58414399"/>
      <w:bookmarkStart w:id="49" w:name="_Toc58414499"/>
      <w:bookmarkStart w:id="50" w:name="_Toc58414400"/>
      <w:bookmarkStart w:id="51" w:name="_Toc58414500"/>
      <w:bookmarkStart w:id="52" w:name="_Toc58414401"/>
      <w:bookmarkStart w:id="53" w:name="_Toc58414501"/>
      <w:bookmarkStart w:id="54" w:name="_Toc86153778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t>Další požadavky a doporučení ke zpracování nabídek</w:t>
      </w:r>
      <w:bookmarkEnd w:id="54"/>
    </w:p>
    <w:p w14:paraId="53C9F51D" w14:textId="77777777" w:rsidR="002F4F0A" w:rsidRPr="00A413A2" w:rsidRDefault="00176A2D">
      <w:r>
        <w:t>Nabídka musí být zpracována v českém jazyce. Pokud budou n</w:t>
      </w:r>
      <w:r w:rsidR="001C60E2">
        <w:t>ěkteré doklady nebo dokumenty v </w:t>
      </w:r>
      <w:r>
        <w:t xml:space="preserve">nabídce předloženy v jiném jazyce, musí být předloženy společně s překladem do českého jazyka. Výjimku tvoří doklady ve slovenském jazyce, doklady o vzdělání v latinském jazyce </w:t>
      </w:r>
      <w:r w:rsidRPr="00291D76">
        <w:t>a odborné názvy či údaje v anglickém jazyce</w:t>
      </w:r>
      <w:r w:rsidR="00291D76" w:rsidRPr="00291D76">
        <w:t xml:space="preserve"> uvedené na předložených dokladech</w:t>
      </w:r>
      <w:r w:rsidRPr="00291D76">
        <w:t>. Zadavatel je i v těchto případech</w:t>
      </w:r>
      <w:r w:rsidRPr="00A413A2">
        <w:t xml:space="preserve"> oprávněn požadovat předložení prostého překladu dokladu.</w:t>
      </w:r>
    </w:p>
    <w:p w14:paraId="05CD4C7B" w14:textId="77777777" w:rsidR="00F12497" w:rsidRPr="00A413A2" w:rsidRDefault="00F12497">
      <w:r w:rsidRPr="001C60E2">
        <w:t xml:space="preserve">Účastník v rámci své nabídky předloží </w:t>
      </w:r>
      <w:r w:rsidRPr="001C60E2">
        <w:rPr>
          <w:i/>
        </w:rPr>
        <w:t>Tabulku nabídkové ceny</w:t>
      </w:r>
      <w:r w:rsidR="001C60E2">
        <w:t xml:space="preserve"> také v soboru Excel s příponou </w:t>
      </w:r>
      <w:proofErr w:type="spellStart"/>
      <w:r w:rsidRPr="001C60E2">
        <w:t>xlsx</w:t>
      </w:r>
      <w:proofErr w:type="spellEnd"/>
      <w:r w:rsidRPr="001C60E2">
        <w:t>.</w:t>
      </w:r>
    </w:p>
    <w:p w14:paraId="2FFBB039" w14:textId="4E0D953F" w:rsidR="003975D3" w:rsidRPr="001C60E2" w:rsidRDefault="003975D3" w:rsidP="003975D3">
      <w:pPr>
        <w:spacing w:before="120" w:after="0" w:line="240" w:lineRule="auto"/>
        <w:rPr>
          <w:rFonts w:cs="Arial"/>
        </w:rPr>
      </w:pPr>
      <w:r w:rsidRPr="001C60E2">
        <w:rPr>
          <w:rFonts w:cs="Arial"/>
        </w:rPr>
        <w:t xml:space="preserve">Nabídka </w:t>
      </w:r>
      <w:r w:rsidR="00396A17">
        <w:rPr>
          <w:rFonts w:cs="Arial"/>
        </w:rPr>
        <w:t>účastníka</w:t>
      </w:r>
      <w:r w:rsidR="00396A17" w:rsidRPr="001C60E2">
        <w:rPr>
          <w:rFonts w:cs="Arial"/>
        </w:rPr>
        <w:t xml:space="preserve"> </w:t>
      </w:r>
      <w:r w:rsidRPr="001C60E2">
        <w:rPr>
          <w:rFonts w:cs="Arial"/>
        </w:rPr>
        <w:t xml:space="preserve">bude obsahovat smlouvu o společnosti (je-li nabídka podána více dodavateli společně) nebo </w:t>
      </w:r>
      <w:r w:rsidRPr="001C60E2">
        <w:t xml:space="preserve">písemný závazek poddodavatele dle § 83 odst. 1 písm. d) </w:t>
      </w:r>
      <w:r w:rsidR="00C26D28" w:rsidRPr="001C60E2">
        <w:t>ZZVZ</w:t>
      </w:r>
      <w:r w:rsidR="00C26D28" w:rsidRPr="001C60E2">
        <w:rPr>
          <w:rFonts w:cs="Arial"/>
        </w:rPr>
        <w:t xml:space="preserve"> </w:t>
      </w:r>
      <w:r w:rsidRPr="001C60E2">
        <w:rPr>
          <w:rFonts w:cs="Arial"/>
        </w:rPr>
        <w:t>(je-li některý z kvalifikačních předpokladů prokázán prostřednictvím poddodavatele).</w:t>
      </w:r>
    </w:p>
    <w:p w14:paraId="65A4549E" w14:textId="68B3AAD4" w:rsidR="006636B5" w:rsidRPr="001C60E2" w:rsidRDefault="006636B5" w:rsidP="003975D3">
      <w:pPr>
        <w:spacing w:before="120" w:after="0" w:line="240" w:lineRule="auto"/>
        <w:rPr>
          <w:rFonts w:cs="Arial"/>
        </w:rPr>
      </w:pPr>
      <w:r w:rsidRPr="001C60E2">
        <w:rPr>
          <w:rFonts w:cs="Arial"/>
        </w:rPr>
        <w:t>V případě, že bude účastník pro plnění předmětu VZ, či jeho části, využívat poddodavatele, předloží v rámci své nabídky seznam poddodavatelů, který bude obsahovat minimálně identifikaci poddodavatele (název, sídlo, IČO), kontaktní informace poddodavatele (tel., e</w:t>
      </w:r>
      <w:r w:rsidR="00284ABD">
        <w:rPr>
          <w:rFonts w:cs="Arial"/>
        </w:rPr>
        <w:t>-</w:t>
      </w:r>
      <w:r w:rsidRPr="001C60E2">
        <w:rPr>
          <w:rFonts w:cs="Arial"/>
        </w:rPr>
        <w:t>mailová adresa) a</w:t>
      </w:r>
      <w:r w:rsidR="000F036F">
        <w:rPr>
          <w:rFonts w:cs="Arial"/>
        </w:rPr>
        <w:t> </w:t>
      </w:r>
      <w:r w:rsidRPr="001C60E2">
        <w:rPr>
          <w:rFonts w:cs="Arial"/>
        </w:rPr>
        <w:t>identifikaci části plnění VZ, kterou má účastník v úmyslu zadat poddodavateli.</w:t>
      </w:r>
    </w:p>
    <w:p w14:paraId="6C4F3066" w14:textId="77777777" w:rsidR="002F4F0A" w:rsidRPr="001C60E2" w:rsidRDefault="00176A2D">
      <w:r w:rsidRPr="001C60E2">
        <w:t>Účastník nemá právo na úhradu nákladů spojených s účastí v Řízení a nepřísluší mu náhrada za zpracování a podání nabídky.</w:t>
      </w:r>
    </w:p>
    <w:p w14:paraId="3500B4B0" w14:textId="77777777" w:rsidR="002F4F0A" w:rsidRPr="00A413A2" w:rsidRDefault="00176A2D">
      <w:r w:rsidRPr="001C60E2">
        <w:rPr>
          <w:szCs w:val="22"/>
        </w:rPr>
        <w:t>Zadavatel nepožaduje poskytnutí jistoty.</w:t>
      </w:r>
    </w:p>
    <w:p w14:paraId="772092AF" w14:textId="77777777" w:rsidR="002F4F0A" w:rsidRPr="00A413A2" w:rsidRDefault="00176A2D">
      <w:r w:rsidRPr="00A413A2">
        <w:t>V případě rozporu mezi údaji uvedenými v dokumentech:</w:t>
      </w:r>
    </w:p>
    <w:p w14:paraId="37A8401B" w14:textId="77777777" w:rsidR="002F4F0A" w:rsidRPr="00A413A2" w:rsidRDefault="00176A2D" w:rsidP="00AF786E">
      <w:pPr>
        <w:pStyle w:val="Odstavecseseznamem"/>
        <w:numPr>
          <w:ilvl w:val="0"/>
          <w:numId w:val="3"/>
        </w:numPr>
      </w:pPr>
      <w:r w:rsidRPr="00A413A2">
        <w:t>jejichž předložení je Zadavatelem v zadávacích podmínkách výslovně požadováno, a údaji uvedenými v ostatních dokumentech, které účastník v nabídce p</w:t>
      </w:r>
      <w:r w:rsidR="00982EA9">
        <w:t xml:space="preserve">ředložil, platí údaje uvedené </w:t>
      </w:r>
      <w:r w:rsidR="00982EA9" w:rsidRPr="00982EA9">
        <w:t>v</w:t>
      </w:r>
      <w:r w:rsidR="00982EA9">
        <w:t> </w:t>
      </w:r>
      <w:r w:rsidRPr="00982EA9">
        <w:t>Zadavatelem</w:t>
      </w:r>
      <w:r w:rsidRPr="00A413A2">
        <w:t xml:space="preserve"> požadovaných dokumentech;</w:t>
      </w:r>
    </w:p>
    <w:p w14:paraId="4CB02174" w14:textId="77777777" w:rsidR="002F4F0A" w:rsidRPr="00A413A2" w:rsidRDefault="00176A2D" w:rsidP="00AF786E">
      <w:pPr>
        <w:pStyle w:val="Odstavecseseznamem"/>
        <w:numPr>
          <w:ilvl w:val="0"/>
          <w:numId w:val="3"/>
        </w:numPr>
      </w:pPr>
      <w:r w:rsidRPr="00A413A2">
        <w:t>jejichž předložení v nabídce Zadavatel v zadávacích podmínkách nepožadoval, a údaji v Zadavatelem požadovaných dokumentech, mají přednost údaje uvedené v Zadavatelem požadovaných dokumentech.</w:t>
      </w:r>
    </w:p>
    <w:p w14:paraId="1C002A39" w14:textId="77777777" w:rsidR="002F4F0A" w:rsidRPr="00A413A2" w:rsidRDefault="00176A2D">
      <w:r w:rsidRPr="00A413A2">
        <w:t>Zadavatel není povinen k dokumentům a údajům, které účastník předložil v nabídce nad rámec povinností stanovených v zadávacích podmínkách, jakkoli přihlížet.</w:t>
      </w:r>
    </w:p>
    <w:p w14:paraId="4D608055" w14:textId="77777777" w:rsidR="002F4F0A" w:rsidRPr="00A413A2" w:rsidRDefault="00176A2D">
      <w:r w:rsidRPr="00A413A2">
        <w:t xml:space="preserve">Nabídky lze </w:t>
      </w:r>
      <w:r w:rsidR="00160921" w:rsidRPr="00A413A2">
        <w:t xml:space="preserve">podat </w:t>
      </w:r>
      <w:r w:rsidRPr="00A413A2">
        <w:t xml:space="preserve">výhradně v elektronické podobě. </w:t>
      </w:r>
    </w:p>
    <w:p w14:paraId="0A281C7E" w14:textId="77777777" w:rsidR="002F4F0A" w:rsidRPr="00A413A2" w:rsidRDefault="00176A2D">
      <w:r w:rsidRPr="00A413A2">
        <w:t>Každý účastník může podat pouze jednu nabídku. Účastník nesmí být současně osobou, jejímž prostřednictvím jiný účastník v Řízení prokazuje kvalifikaci.</w:t>
      </w:r>
    </w:p>
    <w:p w14:paraId="3FD9B88F" w14:textId="1E68AAC8" w:rsidR="002F4F0A" w:rsidRPr="00A413A2" w:rsidRDefault="00176A2D">
      <w:r w:rsidRPr="00A413A2">
        <w:lastRenderedPageBreak/>
        <w:t xml:space="preserve">V případě nejasností v Zadávací dokumentaci jsou účastníci oprávněni po Zadavateli požadovat </w:t>
      </w:r>
      <w:r w:rsidR="00021A2A" w:rsidRPr="00021A2A">
        <w:t>vysvětlení Zadávací dokumentace v souladu s § 98 ZZVZ.</w:t>
      </w:r>
    </w:p>
    <w:p w14:paraId="1E8A14ED" w14:textId="77777777" w:rsidR="002F4F0A" w:rsidRDefault="00176A2D">
      <w:r w:rsidRPr="00A413A2">
        <w:t>Zadavatel může poskytnout vysvětlení zadávací dokumentace i bez předchozí žádosti.</w:t>
      </w:r>
    </w:p>
    <w:p w14:paraId="4E00B26D" w14:textId="05F8B15E" w:rsidR="00021A2A" w:rsidRPr="00021A2A" w:rsidRDefault="00021A2A" w:rsidP="00021A2A">
      <w:pPr>
        <w:pStyle w:val="mcntmcntmsonormal1"/>
        <w:spacing w:before="24" w:beforeAutospacing="0" w:after="24" w:afterAutospacing="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FC18DA">
        <w:rPr>
          <w:rFonts w:ascii="Arial" w:hAnsi="Arial" w:cs="Arial"/>
          <w:iCs/>
          <w:sz w:val="20"/>
          <w:szCs w:val="20"/>
        </w:rPr>
        <w:t xml:space="preserve">Zadavatel dále upozorňuje, že každý účastník má povinnost informovat všechny subjekty údajů (včetně kontaktních osob objednavatele služeb, které uvedl v seznamu referenčních zakázek </w:t>
      </w:r>
      <w:r w:rsidRPr="00FC18DA">
        <w:rPr>
          <w:rFonts w:ascii="Arial" w:hAnsi="Arial" w:cs="Arial"/>
          <w:i/>
          <w:iCs/>
          <w:sz w:val="20"/>
          <w:szCs w:val="20"/>
        </w:rPr>
        <w:t>Formuláře nabídky</w:t>
      </w:r>
      <w:r w:rsidRPr="00FC18DA">
        <w:rPr>
          <w:rFonts w:ascii="Arial" w:hAnsi="Arial" w:cs="Arial"/>
          <w:iCs/>
          <w:sz w:val="20"/>
          <w:szCs w:val="20"/>
        </w:rPr>
        <w:t xml:space="preserve"> pro splnění technických kvalifikačních předpokladů) o zpracování jejich osobních (kontaktních) údajů Zadavatelem tak, že Zadavatelem nemusí poskytovat subjektu údajů tyto informace v souladu s odst. 3 článku 14 obecného nařízení o ochraně osobních údajů. Identifikační údaje Zadavatele jako správce zpracování, včetně osoby pověřence, práv subjektu údajů a jejich výkonu jsou dostupné na webové stránce  </w:t>
      </w:r>
      <w:hyperlink r:id="rId9" w:history="1">
        <w:r w:rsidRPr="00FC18DA">
          <w:rPr>
            <w:rStyle w:val="Hypertextovodkaz"/>
            <w:rFonts w:ascii="Arial" w:hAnsi="Arial" w:cs="Arial"/>
            <w:iCs/>
            <w:sz w:val="20"/>
            <w:szCs w:val="20"/>
          </w:rPr>
          <w:t>https://www.sfdi.cz/gdpr/</w:t>
        </w:r>
      </w:hyperlink>
      <w:r w:rsidRPr="00FC18DA">
        <w:rPr>
          <w:rFonts w:ascii="Arial" w:hAnsi="Arial" w:cs="Arial"/>
          <w:iCs/>
          <w:color w:val="908E63" w:themeColor="accent6" w:themeShade="BF"/>
          <w:sz w:val="20"/>
          <w:szCs w:val="20"/>
        </w:rPr>
        <w:t xml:space="preserve">. </w:t>
      </w:r>
      <w:r w:rsidRPr="00FC18DA">
        <w:rPr>
          <w:rFonts w:ascii="Arial" w:hAnsi="Arial" w:cs="Arial"/>
          <w:iCs/>
          <w:sz w:val="20"/>
          <w:szCs w:val="20"/>
        </w:rPr>
        <w:t xml:space="preserve">Zadavatelem zpracovává osobní údaje za účelem posouzení a hodnocení Veřejné zakázky. Právním titulem zpracování je splnění právní povinnosti, která se na správce vztahuje dle ZZVZ. Doba uložení osobní údajů je zpravidla 10 let. Při tomto zpracování nedochází k automatizovanému rozhodování, ani profilování a osobní údaje nejsou předávány do třetích zemí ani mezinárodním organizacím. </w:t>
      </w:r>
    </w:p>
    <w:p w14:paraId="7D93AA53" w14:textId="77777777" w:rsidR="002F4F0A" w:rsidRDefault="00176A2D">
      <w:pPr>
        <w:pStyle w:val="Nadpis1"/>
      </w:pPr>
      <w:bookmarkStart w:id="55" w:name="_Toc58414404"/>
      <w:bookmarkStart w:id="56" w:name="_Toc58414504"/>
      <w:bookmarkStart w:id="57" w:name="_Toc86153779"/>
      <w:bookmarkEnd w:id="55"/>
      <w:bookmarkEnd w:id="56"/>
      <w:r>
        <w:t>Lhůta, způsob a místo pro podání nabídek</w:t>
      </w:r>
      <w:bookmarkEnd w:id="57"/>
    </w:p>
    <w:p w14:paraId="24FA3D25" w14:textId="77777777" w:rsidR="002F4F0A" w:rsidRPr="00021A2A" w:rsidRDefault="00176A2D">
      <w:pPr>
        <w:pStyle w:val="Nadpis2"/>
      </w:pPr>
      <w:bookmarkStart w:id="58" w:name="_Toc86153780"/>
      <w:r w:rsidRPr="00021A2A">
        <w:t>Lhůta pro podání nabídky</w:t>
      </w:r>
      <w:bookmarkEnd w:id="58"/>
    </w:p>
    <w:p w14:paraId="2F088C2F" w14:textId="206A7B29" w:rsidR="002F4F0A" w:rsidRDefault="004424F0">
      <w:r>
        <w:t xml:space="preserve">Lhůta pro podání nabídek končí </w:t>
      </w:r>
      <w:r w:rsidR="00176A2D" w:rsidRPr="005F20AC">
        <w:t xml:space="preserve">dne </w:t>
      </w:r>
      <w:r w:rsidR="0067128E">
        <w:rPr>
          <w:b/>
        </w:rPr>
        <w:t>7. 1. 2022</w:t>
      </w:r>
      <w:r w:rsidR="005F20AC">
        <w:rPr>
          <w:b/>
        </w:rPr>
        <w:t xml:space="preserve"> </w:t>
      </w:r>
      <w:r w:rsidR="00176A2D" w:rsidRPr="005F20AC">
        <w:rPr>
          <w:b/>
        </w:rPr>
        <w:t>v 09:00 hod</w:t>
      </w:r>
      <w:r w:rsidR="00176A2D" w:rsidRPr="005F20AC">
        <w:t>.</w:t>
      </w:r>
    </w:p>
    <w:p w14:paraId="75F6B572" w14:textId="77777777" w:rsidR="002F4F0A" w:rsidRDefault="00176A2D">
      <w:r>
        <w:t>Otevírání nabídek je z důvodů elektronického podání nabídek neveřejné.</w:t>
      </w:r>
    </w:p>
    <w:p w14:paraId="149BD678" w14:textId="77777777" w:rsidR="002F4F0A" w:rsidRPr="00021A2A" w:rsidRDefault="00176A2D">
      <w:pPr>
        <w:pStyle w:val="Nadpis2"/>
      </w:pPr>
      <w:bookmarkStart w:id="59" w:name="_Toc86153781"/>
      <w:r w:rsidRPr="00021A2A">
        <w:t>Způsob a místo podání nabídek</w:t>
      </w:r>
      <w:bookmarkEnd w:id="59"/>
    </w:p>
    <w:p w14:paraId="397F7D68" w14:textId="77777777" w:rsidR="00260EDF" w:rsidRDefault="00176A2D" w:rsidP="00CA0C8B">
      <w:pPr>
        <w:spacing w:before="120" w:after="120"/>
      </w:pPr>
      <w:r>
        <w:t>Nabídky je možné podávat pouze elektronicky prostřednictvím elektronického nástroje Tender arena, místo pro podávání nabídek je shodné s adresou profilu Zadavatele:</w:t>
      </w:r>
    </w:p>
    <w:bookmarkStart w:id="60" w:name="_Toc58414410"/>
    <w:bookmarkStart w:id="61" w:name="_Toc58414510"/>
    <w:bookmarkStart w:id="62" w:name="_Toc58414411"/>
    <w:bookmarkStart w:id="63" w:name="_Toc58414511"/>
    <w:bookmarkStart w:id="64" w:name="_Toc58414412"/>
    <w:bookmarkStart w:id="65" w:name="_Toc58414512"/>
    <w:bookmarkStart w:id="66" w:name="_Toc58414413"/>
    <w:bookmarkStart w:id="67" w:name="_Toc58414513"/>
    <w:bookmarkStart w:id="68" w:name="_Toc86153782"/>
    <w:bookmarkEnd w:id="60"/>
    <w:bookmarkEnd w:id="61"/>
    <w:bookmarkEnd w:id="62"/>
    <w:bookmarkEnd w:id="63"/>
    <w:bookmarkEnd w:id="64"/>
    <w:bookmarkEnd w:id="65"/>
    <w:bookmarkEnd w:id="66"/>
    <w:bookmarkEnd w:id="67"/>
    <w:p w14:paraId="5A050C89" w14:textId="77777777" w:rsidR="00C80B49" w:rsidRDefault="00C80B49" w:rsidP="00C80B49">
      <w:pPr>
        <w:spacing w:before="0" w:after="0"/>
      </w:pPr>
      <w:r>
        <w:fldChar w:fldCharType="begin"/>
      </w:r>
      <w:r>
        <w:instrText xml:space="preserve"> HYPERLINK "https://tenderarena.cz/dodavatel/seznam-profilu-zadavatelu/detail/Z0000801" </w:instrText>
      </w:r>
      <w:r>
        <w:fldChar w:fldCharType="separate"/>
      </w:r>
      <w:r w:rsidRPr="00F65B82">
        <w:rPr>
          <w:rStyle w:val="Hypertextovodkaz"/>
        </w:rPr>
        <w:t>https://tenderarena.cz/dodavatel/seznam-profilu-zadavatelu/detail/Z0000801</w:t>
      </w:r>
      <w:r>
        <w:rPr>
          <w:rStyle w:val="Hypertextovodkaz"/>
        </w:rPr>
        <w:fldChar w:fldCharType="end"/>
      </w:r>
    </w:p>
    <w:p w14:paraId="0FB2B93C" w14:textId="77777777" w:rsidR="002F4F0A" w:rsidRDefault="00176A2D">
      <w:pPr>
        <w:pStyle w:val="Nadpis1"/>
      </w:pPr>
      <w:r>
        <w:t>Komunikace mezi Zadavatelem a účastníky</w:t>
      </w:r>
      <w:bookmarkEnd w:id="68"/>
    </w:p>
    <w:p w14:paraId="5678DEB4" w14:textId="77777777" w:rsidR="002F4F0A" w:rsidRDefault="00176A2D">
      <w:r>
        <w:t>Veškerá komunikace mezi Zadavatelem a účastníkem bude probíhat elektronicky</w:t>
      </w:r>
      <w:r w:rsidR="008A4795">
        <w:t>.</w:t>
      </w:r>
      <w:r>
        <w:t xml:space="preserve"> Zadavatel preferuje komunikaci prostřednictvím elektronického nástroje Tender arena.</w:t>
      </w:r>
    </w:p>
    <w:p w14:paraId="76048A29" w14:textId="77777777" w:rsidR="002F4F0A" w:rsidRDefault="00176A2D">
      <w:r>
        <w:t>Veškeré písemnosti zasílané prostřednictvím elektronického nástroje Tender arena se považují za řádně doručené dnem jejich doručení do uživatelského účtu adresáta písemnosti v elektronickém nástroji Tender arena. Na doručení písemnosti nemá vliv, zda byla písemnost jejím adresátem přečtena, případně, zda elektronický nástroj Tender arena adresátovi odeslal na kontaktní emailovou adresu upozornění o tom, že na jeho uživatelský účet byla doručena nová zpráva, či nikoli.</w:t>
      </w:r>
    </w:p>
    <w:p w14:paraId="273540E1" w14:textId="77777777" w:rsidR="002F4F0A" w:rsidRDefault="00176A2D">
      <w:pPr>
        <w:pStyle w:val="Nadpis1"/>
      </w:pPr>
      <w:bookmarkStart w:id="69" w:name="_Toc86153783"/>
      <w:r>
        <w:t>Přílohy</w:t>
      </w:r>
      <w:bookmarkEnd w:id="69"/>
    </w:p>
    <w:p w14:paraId="4106C67D" w14:textId="77777777" w:rsidR="002F4F0A" w:rsidRDefault="00176A2D" w:rsidP="00617A44">
      <w:pPr>
        <w:spacing w:after="120"/>
      </w:pPr>
      <w:r>
        <w:t>Nedílnou součástí této ZD jsou následující přílohy:</w:t>
      </w:r>
    </w:p>
    <w:p w14:paraId="3BF97F94" w14:textId="77777777" w:rsidR="002F4F0A" w:rsidRDefault="00176A2D" w:rsidP="00617A44">
      <w:pPr>
        <w:pStyle w:val="Odstavecseseznamem"/>
        <w:numPr>
          <w:ilvl w:val="0"/>
          <w:numId w:val="4"/>
        </w:numPr>
        <w:spacing w:before="0" w:after="0"/>
        <w:ind w:left="714" w:hanging="357"/>
        <w:contextualSpacing w:val="0"/>
      </w:pPr>
      <w:r>
        <w:t>Formulář nabídky</w:t>
      </w:r>
    </w:p>
    <w:p w14:paraId="6DA02642" w14:textId="77777777" w:rsidR="002F4F0A" w:rsidRDefault="00176A2D" w:rsidP="00AF786E">
      <w:pPr>
        <w:pStyle w:val="Odstavecseseznamem"/>
        <w:numPr>
          <w:ilvl w:val="1"/>
          <w:numId w:val="4"/>
        </w:numPr>
      </w:pPr>
      <w:r>
        <w:t>Tabulka nabídkové ceny</w:t>
      </w:r>
    </w:p>
    <w:p w14:paraId="5FA6C59A" w14:textId="028DE243" w:rsidR="00A53777" w:rsidRDefault="00A53777" w:rsidP="00AF786E">
      <w:pPr>
        <w:pStyle w:val="Odstavecseseznamem"/>
        <w:numPr>
          <w:ilvl w:val="1"/>
          <w:numId w:val="4"/>
        </w:numPr>
      </w:pPr>
      <w:r>
        <w:t>Vzor životopisů</w:t>
      </w:r>
    </w:p>
    <w:p w14:paraId="69280243" w14:textId="4B613529" w:rsidR="00D90C7F" w:rsidRDefault="00495BE3" w:rsidP="00021A2A">
      <w:pPr>
        <w:pStyle w:val="Odstavecseseznamem"/>
        <w:numPr>
          <w:ilvl w:val="0"/>
          <w:numId w:val="4"/>
        </w:numPr>
      </w:pPr>
      <w:r w:rsidRPr="00495BE3">
        <w:t>Návrh Smlouvy</w:t>
      </w:r>
    </w:p>
    <w:p w14:paraId="5EB6C52B" w14:textId="77777777" w:rsidR="001A0553" w:rsidRDefault="001A0553">
      <w:pPr>
        <w:keepNext/>
        <w:keepLines/>
      </w:pPr>
    </w:p>
    <w:p w14:paraId="0ED63025" w14:textId="77777777" w:rsidR="00EA3238" w:rsidRDefault="00EA3238">
      <w:pPr>
        <w:keepNext/>
        <w:keepLines/>
      </w:pPr>
    </w:p>
    <w:p w14:paraId="30B90671" w14:textId="77777777" w:rsidR="0065214E" w:rsidRDefault="0065214E">
      <w:pPr>
        <w:keepNext/>
        <w:keepLines/>
      </w:pPr>
    </w:p>
    <w:p w14:paraId="4538E5BB" w14:textId="77777777" w:rsidR="0065214E" w:rsidRDefault="0065214E">
      <w:pPr>
        <w:keepNext/>
        <w:keepLines/>
      </w:pPr>
    </w:p>
    <w:p w14:paraId="23756C35" w14:textId="77777777" w:rsidR="002F4F0A" w:rsidRDefault="00176A2D" w:rsidP="00580BEE">
      <w:pPr>
        <w:keepNext/>
        <w:keepLines/>
        <w:spacing w:before="360"/>
      </w:pPr>
      <w:r>
        <w:t>Ing. Zbyněk Hořelica</w:t>
      </w:r>
    </w:p>
    <w:p w14:paraId="6AC4F3FC" w14:textId="77777777" w:rsidR="002F4F0A" w:rsidRDefault="00176A2D">
      <w:pPr>
        <w:keepNext/>
        <w:keepLines/>
      </w:pPr>
      <w:r>
        <w:t>ředitel SFDI</w:t>
      </w:r>
    </w:p>
    <w:sectPr w:rsidR="002F4F0A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7783" w14:textId="77777777" w:rsidR="00467AD2" w:rsidRDefault="00467AD2">
      <w:pPr>
        <w:spacing w:before="0" w:after="0" w:line="240" w:lineRule="auto"/>
      </w:pPr>
      <w:r>
        <w:separator/>
      </w:r>
    </w:p>
  </w:endnote>
  <w:endnote w:type="continuationSeparator" w:id="0">
    <w:p w14:paraId="70BCBB68" w14:textId="77777777" w:rsidR="00467AD2" w:rsidRDefault="00467AD2">
      <w:pPr>
        <w:spacing w:before="0" w:after="0" w:line="240" w:lineRule="auto"/>
      </w:pPr>
      <w:r>
        <w:continuationSeparator/>
      </w:r>
    </w:p>
  </w:endnote>
  <w:endnote w:type="continuationNotice" w:id="1">
    <w:p w14:paraId="127A8317" w14:textId="77777777" w:rsidR="00467AD2" w:rsidRDefault="00467AD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99224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5B29E0F" w14:textId="77777777" w:rsidR="009B170D" w:rsidRDefault="009B170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14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14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667791" w14:textId="77777777" w:rsidR="009B170D" w:rsidRDefault="009B17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7DEE" w14:textId="77777777" w:rsidR="00467AD2" w:rsidRDefault="00467AD2">
      <w:pPr>
        <w:spacing w:before="0" w:after="0" w:line="240" w:lineRule="auto"/>
      </w:pPr>
      <w:r>
        <w:separator/>
      </w:r>
    </w:p>
  </w:footnote>
  <w:footnote w:type="continuationSeparator" w:id="0">
    <w:p w14:paraId="403C884D" w14:textId="77777777" w:rsidR="00467AD2" w:rsidRDefault="00467AD2">
      <w:pPr>
        <w:spacing w:before="0" w:after="0" w:line="240" w:lineRule="auto"/>
      </w:pPr>
      <w:r>
        <w:continuationSeparator/>
      </w:r>
    </w:p>
  </w:footnote>
  <w:footnote w:type="continuationNotice" w:id="1">
    <w:p w14:paraId="2B7A6749" w14:textId="77777777" w:rsidR="00467AD2" w:rsidRDefault="00467AD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8550" w14:textId="77777777" w:rsidR="009B170D" w:rsidRDefault="009B170D" w:rsidP="002D42AD">
    <w:pPr>
      <w:pStyle w:val="Zhlav"/>
      <w:tabs>
        <w:tab w:val="left" w:pos="7072"/>
      </w:tabs>
      <w:jc w:val="center"/>
    </w:pPr>
    <w:r>
      <w:rPr>
        <w:noProof/>
        <w:lang w:eastAsia="cs-CZ"/>
      </w:rPr>
      <w:drawing>
        <wp:inline distT="0" distB="0" distL="0" distR="0" wp14:anchorId="6D4A1A63" wp14:editId="4EE33104">
          <wp:extent cx="1790700" cy="742950"/>
          <wp:effectExtent l="0" t="0" r="0" b="0"/>
          <wp:docPr id="4" name="Obrázek 4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BE9"/>
    <w:multiLevelType w:val="hybridMultilevel"/>
    <w:tmpl w:val="DD0CD288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6208506A">
      <w:start w:val="1"/>
      <w:numFmt w:val="bullet"/>
      <w:lvlText w:val=""/>
      <w:lvlJc w:val="left"/>
      <w:pPr>
        <w:ind w:left="1788" w:hanging="708"/>
      </w:pPr>
      <w:rPr>
        <w:rFonts w:ascii="Symbol" w:eastAsiaTheme="minorEastAsia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34E8"/>
    <w:multiLevelType w:val="hybridMultilevel"/>
    <w:tmpl w:val="AB58DD2E"/>
    <w:lvl w:ilvl="0" w:tplc="0405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2" w15:restartNumberingAfterBreak="0">
    <w:nsid w:val="0992628C"/>
    <w:multiLevelType w:val="hybridMultilevel"/>
    <w:tmpl w:val="C3CE490C"/>
    <w:lvl w:ilvl="0" w:tplc="893EB2FC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771E"/>
    <w:multiLevelType w:val="hybridMultilevel"/>
    <w:tmpl w:val="A58EB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6C43"/>
    <w:multiLevelType w:val="hybridMultilevel"/>
    <w:tmpl w:val="32D689F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571F10"/>
    <w:multiLevelType w:val="hybridMultilevel"/>
    <w:tmpl w:val="798692F8"/>
    <w:lvl w:ilvl="0" w:tplc="A3928B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CC1718"/>
    <w:multiLevelType w:val="hybridMultilevel"/>
    <w:tmpl w:val="6B9CA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47E03"/>
    <w:multiLevelType w:val="hybridMultilevel"/>
    <w:tmpl w:val="1DB6595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D1B47CA"/>
    <w:multiLevelType w:val="hybridMultilevel"/>
    <w:tmpl w:val="316A0C10"/>
    <w:lvl w:ilvl="0" w:tplc="91CCE3D8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86CDA"/>
    <w:multiLevelType w:val="hybridMultilevel"/>
    <w:tmpl w:val="EBFA8338"/>
    <w:lvl w:ilvl="0" w:tplc="2F961A94">
      <w:start w:val="1"/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6208506A">
      <w:start w:val="1"/>
      <w:numFmt w:val="bullet"/>
      <w:lvlText w:val=""/>
      <w:lvlJc w:val="left"/>
      <w:pPr>
        <w:ind w:left="1788" w:hanging="708"/>
      </w:pPr>
      <w:rPr>
        <w:rFonts w:ascii="Symbol" w:eastAsiaTheme="minorEastAsia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85AC4"/>
    <w:multiLevelType w:val="hybridMultilevel"/>
    <w:tmpl w:val="01E02BF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E34B6C"/>
    <w:multiLevelType w:val="hybridMultilevel"/>
    <w:tmpl w:val="82B4D02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7B25"/>
    <w:multiLevelType w:val="hybridMultilevel"/>
    <w:tmpl w:val="021092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436D04"/>
    <w:multiLevelType w:val="hybridMultilevel"/>
    <w:tmpl w:val="F126C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33110"/>
    <w:multiLevelType w:val="hybridMultilevel"/>
    <w:tmpl w:val="D8EA0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41F44"/>
    <w:multiLevelType w:val="hybridMultilevel"/>
    <w:tmpl w:val="4DBC83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4208D"/>
    <w:multiLevelType w:val="hybridMultilevel"/>
    <w:tmpl w:val="50E2772A"/>
    <w:lvl w:ilvl="0" w:tplc="FBA821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D104B"/>
    <w:multiLevelType w:val="hybridMultilevel"/>
    <w:tmpl w:val="316A0C10"/>
    <w:lvl w:ilvl="0" w:tplc="91CCE3D8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1451D"/>
    <w:multiLevelType w:val="hybridMultilevel"/>
    <w:tmpl w:val="4668507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B5579B"/>
    <w:multiLevelType w:val="hybridMultilevel"/>
    <w:tmpl w:val="58284AD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43B34FA"/>
    <w:multiLevelType w:val="hybridMultilevel"/>
    <w:tmpl w:val="87346B98"/>
    <w:lvl w:ilvl="0" w:tplc="42E80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9433E"/>
    <w:multiLevelType w:val="multilevel"/>
    <w:tmpl w:val="AE6A8AE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8057D19"/>
    <w:multiLevelType w:val="hybridMultilevel"/>
    <w:tmpl w:val="DDB041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C7067"/>
    <w:multiLevelType w:val="multilevel"/>
    <w:tmpl w:val="183E6716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b/>
        <w:i w:val="0"/>
        <w:color w:val="595959" w:themeColor="text1" w:themeTint="A6"/>
        <w:sz w:val="24"/>
        <w:szCs w:val="44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Odrka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2AB751C"/>
    <w:multiLevelType w:val="hybridMultilevel"/>
    <w:tmpl w:val="271480D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32B3F86"/>
    <w:multiLevelType w:val="hybridMultilevel"/>
    <w:tmpl w:val="8822F8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B6F5B"/>
    <w:multiLevelType w:val="hybridMultilevel"/>
    <w:tmpl w:val="6EA29E9E"/>
    <w:lvl w:ilvl="0" w:tplc="04050003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7" w15:restartNumberingAfterBreak="0">
    <w:nsid w:val="6FC533E9"/>
    <w:multiLevelType w:val="hybridMultilevel"/>
    <w:tmpl w:val="03122A00"/>
    <w:lvl w:ilvl="0" w:tplc="975892A6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0E84E5B"/>
    <w:multiLevelType w:val="hybridMultilevel"/>
    <w:tmpl w:val="8014F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00114"/>
    <w:multiLevelType w:val="hybridMultilevel"/>
    <w:tmpl w:val="034E0BAC"/>
    <w:lvl w:ilvl="0" w:tplc="04050005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0" w15:restartNumberingAfterBreak="0">
    <w:nsid w:val="77CE710D"/>
    <w:multiLevelType w:val="hybridMultilevel"/>
    <w:tmpl w:val="8822F8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B3DC7"/>
    <w:multiLevelType w:val="hybridMultilevel"/>
    <w:tmpl w:val="8822F8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696239">
    <w:abstractNumId w:val="21"/>
  </w:num>
  <w:num w:numId="2" w16cid:durableId="1451315405">
    <w:abstractNumId w:val="9"/>
  </w:num>
  <w:num w:numId="3" w16cid:durableId="1938174158">
    <w:abstractNumId w:val="14"/>
  </w:num>
  <w:num w:numId="4" w16cid:durableId="1799837538">
    <w:abstractNumId w:val="13"/>
  </w:num>
  <w:num w:numId="5" w16cid:durableId="737485591">
    <w:abstractNumId w:val="23"/>
  </w:num>
  <w:num w:numId="6" w16cid:durableId="424108971">
    <w:abstractNumId w:val="16"/>
  </w:num>
  <w:num w:numId="7" w16cid:durableId="1676104153">
    <w:abstractNumId w:val="10"/>
  </w:num>
  <w:num w:numId="8" w16cid:durableId="2017027085">
    <w:abstractNumId w:val="31"/>
  </w:num>
  <w:num w:numId="9" w16cid:durableId="1909026748">
    <w:abstractNumId w:val="5"/>
  </w:num>
  <w:num w:numId="10" w16cid:durableId="2065130486">
    <w:abstractNumId w:val="30"/>
  </w:num>
  <w:num w:numId="11" w16cid:durableId="989748156">
    <w:abstractNumId w:val="7"/>
  </w:num>
  <w:num w:numId="12" w16cid:durableId="681736581">
    <w:abstractNumId w:val="29"/>
  </w:num>
  <w:num w:numId="13" w16cid:durableId="1502508599">
    <w:abstractNumId w:val="26"/>
  </w:num>
  <w:num w:numId="14" w16cid:durableId="481041870">
    <w:abstractNumId w:val="24"/>
  </w:num>
  <w:num w:numId="15" w16cid:durableId="891965497">
    <w:abstractNumId w:val="27"/>
  </w:num>
  <w:num w:numId="16" w16cid:durableId="676075685">
    <w:abstractNumId w:val="1"/>
  </w:num>
  <w:num w:numId="17" w16cid:durableId="760417010">
    <w:abstractNumId w:val="2"/>
  </w:num>
  <w:num w:numId="18" w16cid:durableId="1502697480">
    <w:abstractNumId w:val="19"/>
  </w:num>
  <w:num w:numId="19" w16cid:durableId="898595000">
    <w:abstractNumId w:val="17"/>
  </w:num>
  <w:num w:numId="20" w16cid:durableId="1518347453">
    <w:abstractNumId w:val="8"/>
  </w:num>
  <w:num w:numId="21" w16cid:durableId="619844834">
    <w:abstractNumId w:val="18"/>
  </w:num>
  <w:num w:numId="22" w16cid:durableId="1343555974">
    <w:abstractNumId w:val="12"/>
  </w:num>
  <w:num w:numId="23" w16cid:durableId="1385450861">
    <w:abstractNumId w:val="20"/>
  </w:num>
  <w:num w:numId="24" w16cid:durableId="13408934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9252782">
    <w:abstractNumId w:val="25"/>
  </w:num>
  <w:num w:numId="26" w16cid:durableId="2111898045">
    <w:abstractNumId w:val="6"/>
  </w:num>
  <w:num w:numId="27" w16cid:durableId="687945752">
    <w:abstractNumId w:val="15"/>
  </w:num>
  <w:num w:numId="28" w16cid:durableId="449471907">
    <w:abstractNumId w:val="11"/>
  </w:num>
  <w:num w:numId="29" w16cid:durableId="145325546">
    <w:abstractNumId w:val="28"/>
  </w:num>
  <w:num w:numId="30" w16cid:durableId="1792287932">
    <w:abstractNumId w:val="4"/>
  </w:num>
  <w:num w:numId="31" w16cid:durableId="2139254837">
    <w:abstractNumId w:val="3"/>
  </w:num>
  <w:num w:numId="32" w16cid:durableId="710618422">
    <w:abstractNumId w:val="22"/>
  </w:num>
  <w:num w:numId="33" w16cid:durableId="60550365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F0A"/>
    <w:rsid w:val="00002C6E"/>
    <w:rsid w:val="00005655"/>
    <w:rsid w:val="00006BDB"/>
    <w:rsid w:val="00006DC0"/>
    <w:rsid w:val="00012AF3"/>
    <w:rsid w:val="000132AA"/>
    <w:rsid w:val="00013FA4"/>
    <w:rsid w:val="00014A4C"/>
    <w:rsid w:val="00021A2A"/>
    <w:rsid w:val="00022B87"/>
    <w:rsid w:val="00024687"/>
    <w:rsid w:val="00025FF2"/>
    <w:rsid w:val="000260AA"/>
    <w:rsid w:val="00030AB1"/>
    <w:rsid w:val="000329A8"/>
    <w:rsid w:val="00034035"/>
    <w:rsid w:val="000358DB"/>
    <w:rsid w:val="00035E0D"/>
    <w:rsid w:val="00036311"/>
    <w:rsid w:val="00036606"/>
    <w:rsid w:val="00037208"/>
    <w:rsid w:val="0003776D"/>
    <w:rsid w:val="00040714"/>
    <w:rsid w:val="0004153B"/>
    <w:rsid w:val="0004172B"/>
    <w:rsid w:val="000431DD"/>
    <w:rsid w:val="00043378"/>
    <w:rsid w:val="00043A20"/>
    <w:rsid w:val="00046381"/>
    <w:rsid w:val="00047D2D"/>
    <w:rsid w:val="000523AC"/>
    <w:rsid w:val="00054A69"/>
    <w:rsid w:val="0005739E"/>
    <w:rsid w:val="00057460"/>
    <w:rsid w:val="0006003C"/>
    <w:rsid w:val="000602BF"/>
    <w:rsid w:val="00060887"/>
    <w:rsid w:val="0006161A"/>
    <w:rsid w:val="00063F8E"/>
    <w:rsid w:val="00070D65"/>
    <w:rsid w:val="000742FA"/>
    <w:rsid w:val="00076703"/>
    <w:rsid w:val="00077766"/>
    <w:rsid w:val="000804F4"/>
    <w:rsid w:val="000838A4"/>
    <w:rsid w:val="0008414C"/>
    <w:rsid w:val="00084545"/>
    <w:rsid w:val="000847DA"/>
    <w:rsid w:val="00085DD5"/>
    <w:rsid w:val="00091604"/>
    <w:rsid w:val="00094433"/>
    <w:rsid w:val="00095F81"/>
    <w:rsid w:val="00096C68"/>
    <w:rsid w:val="000A07F0"/>
    <w:rsid w:val="000A1714"/>
    <w:rsid w:val="000A268F"/>
    <w:rsid w:val="000A27FC"/>
    <w:rsid w:val="000A4767"/>
    <w:rsid w:val="000A6D9C"/>
    <w:rsid w:val="000B29D7"/>
    <w:rsid w:val="000B5C5C"/>
    <w:rsid w:val="000C15AF"/>
    <w:rsid w:val="000D0505"/>
    <w:rsid w:val="000D1707"/>
    <w:rsid w:val="000D276A"/>
    <w:rsid w:val="000D3D6D"/>
    <w:rsid w:val="000D3D93"/>
    <w:rsid w:val="000D4E9E"/>
    <w:rsid w:val="000D6611"/>
    <w:rsid w:val="000D71CA"/>
    <w:rsid w:val="000E2E6F"/>
    <w:rsid w:val="000E6535"/>
    <w:rsid w:val="000F036F"/>
    <w:rsid w:val="000F0BE3"/>
    <w:rsid w:val="000F1113"/>
    <w:rsid w:val="00101148"/>
    <w:rsid w:val="001113D2"/>
    <w:rsid w:val="001147BD"/>
    <w:rsid w:val="00116E86"/>
    <w:rsid w:val="00117E63"/>
    <w:rsid w:val="00124B6C"/>
    <w:rsid w:val="00124C4A"/>
    <w:rsid w:val="00124E15"/>
    <w:rsid w:val="00124F34"/>
    <w:rsid w:val="00125AD6"/>
    <w:rsid w:val="00130C2F"/>
    <w:rsid w:val="00131074"/>
    <w:rsid w:val="0013158B"/>
    <w:rsid w:val="0013362A"/>
    <w:rsid w:val="00133F0A"/>
    <w:rsid w:val="00136B6E"/>
    <w:rsid w:val="00137BDD"/>
    <w:rsid w:val="0014186E"/>
    <w:rsid w:val="001449C8"/>
    <w:rsid w:val="00145FCD"/>
    <w:rsid w:val="00146217"/>
    <w:rsid w:val="001478A9"/>
    <w:rsid w:val="00147AFE"/>
    <w:rsid w:val="001563A0"/>
    <w:rsid w:val="001607F1"/>
    <w:rsid w:val="00160921"/>
    <w:rsid w:val="0016123C"/>
    <w:rsid w:val="00171242"/>
    <w:rsid w:val="00172315"/>
    <w:rsid w:val="00176A2D"/>
    <w:rsid w:val="00177BE1"/>
    <w:rsid w:val="00185F90"/>
    <w:rsid w:val="00187366"/>
    <w:rsid w:val="001876A2"/>
    <w:rsid w:val="00190DF1"/>
    <w:rsid w:val="0019160D"/>
    <w:rsid w:val="00191EAF"/>
    <w:rsid w:val="00192D7C"/>
    <w:rsid w:val="00193F4B"/>
    <w:rsid w:val="00195560"/>
    <w:rsid w:val="00195B99"/>
    <w:rsid w:val="00196B84"/>
    <w:rsid w:val="001A02F6"/>
    <w:rsid w:val="001A0553"/>
    <w:rsid w:val="001A2413"/>
    <w:rsid w:val="001A56D9"/>
    <w:rsid w:val="001A69EC"/>
    <w:rsid w:val="001B1DEA"/>
    <w:rsid w:val="001B4900"/>
    <w:rsid w:val="001B6E76"/>
    <w:rsid w:val="001C60E2"/>
    <w:rsid w:val="001D0E43"/>
    <w:rsid w:val="001D3217"/>
    <w:rsid w:val="001D4B8D"/>
    <w:rsid w:val="001D59F7"/>
    <w:rsid w:val="001D6A64"/>
    <w:rsid w:val="001D711E"/>
    <w:rsid w:val="001D74FB"/>
    <w:rsid w:val="001E3147"/>
    <w:rsid w:val="001E3818"/>
    <w:rsid w:val="001E4DF7"/>
    <w:rsid w:val="001E52E2"/>
    <w:rsid w:val="001E640A"/>
    <w:rsid w:val="001F1572"/>
    <w:rsid w:val="001F3B7E"/>
    <w:rsid w:val="001F51E0"/>
    <w:rsid w:val="001F5E86"/>
    <w:rsid w:val="001F759C"/>
    <w:rsid w:val="0020060F"/>
    <w:rsid w:val="0020402D"/>
    <w:rsid w:val="00204E7C"/>
    <w:rsid w:val="002058BF"/>
    <w:rsid w:val="00207838"/>
    <w:rsid w:val="00207A90"/>
    <w:rsid w:val="00207FAA"/>
    <w:rsid w:val="002103C2"/>
    <w:rsid w:val="00212C1C"/>
    <w:rsid w:val="00214113"/>
    <w:rsid w:val="00214D93"/>
    <w:rsid w:val="002206FA"/>
    <w:rsid w:val="002225A6"/>
    <w:rsid w:val="0022313F"/>
    <w:rsid w:val="00223A20"/>
    <w:rsid w:val="00223DA3"/>
    <w:rsid w:val="00223EE0"/>
    <w:rsid w:val="00224328"/>
    <w:rsid w:val="002258EB"/>
    <w:rsid w:val="002268F5"/>
    <w:rsid w:val="00235CA8"/>
    <w:rsid w:val="002366D2"/>
    <w:rsid w:val="00241481"/>
    <w:rsid w:val="00242DB3"/>
    <w:rsid w:val="002434C8"/>
    <w:rsid w:val="002435F2"/>
    <w:rsid w:val="00243A59"/>
    <w:rsid w:val="00247B0D"/>
    <w:rsid w:val="0025385A"/>
    <w:rsid w:val="0025529A"/>
    <w:rsid w:val="00256203"/>
    <w:rsid w:val="00256A5D"/>
    <w:rsid w:val="00260EDF"/>
    <w:rsid w:val="002621C5"/>
    <w:rsid w:val="002631C3"/>
    <w:rsid w:val="00265049"/>
    <w:rsid w:val="0026528D"/>
    <w:rsid w:val="00265553"/>
    <w:rsid w:val="00266550"/>
    <w:rsid w:val="00266FC4"/>
    <w:rsid w:val="00267603"/>
    <w:rsid w:val="0027519E"/>
    <w:rsid w:val="00275D06"/>
    <w:rsid w:val="00275DB2"/>
    <w:rsid w:val="002762D0"/>
    <w:rsid w:val="00276DBC"/>
    <w:rsid w:val="00277C6E"/>
    <w:rsid w:val="00280A54"/>
    <w:rsid w:val="002836CF"/>
    <w:rsid w:val="00283F3E"/>
    <w:rsid w:val="00284AA6"/>
    <w:rsid w:val="00284ABD"/>
    <w:rsid w:val="002851BC"/>
    <w:rsid w:val="002861D5"/>
    <w:rsid w:val="002900BC"/>
    <w:rsid w:val="00291B60"/>
    <w:rsid w:val="00291D76"/>
    <w:rsid w:val="00296120"/>
    <w:rsid w:val="002A16BC"/>
    <w:rsid w:val="002A22F7"/>
    <w:rsid w:val="002A53DD"/>
    <w:rsid w:val="002A5929"/>
    <w:rsid w:val="002A76EF"/>
    <w:rsid w:val="002A7DBF"/>
    <w:rsid w:val="002B053C"/>
    <w:rsid w:val="002B6697"/>
    <w:rsid w:val="002B737A"/>
    <w:rsid w:val="002C0B33"/>
    <w:rsid w:val="002C4310"/>
    <w:rsid w:val="002C4919"/>
    <w:rsid w:val="002C53AA"/>
    <w:rsid w:val="002C5B28"/>
    <w:rsid w:val="002D02F8"/>
    <w:rsid w:val="002D0EAD"/>
    <w:rsid w:val="002D2688"/>
    <w:rsid w:val="002D358F"/>
    <w:rsid w:val="002D3CDB"/>
    <w:rsid w:val="002D42AD"/>
    <w:rsid w:val="002D708A"/>
    <w:rsid w:val="002E1DE4"/>
    <w:rsid w:val="002E20F7"/>
    <w:rsid w:val="002E52CB"/>
    <w:rsid w:val="002E5921"/>
    <w:rsid w:val="002F168E"/>
    <w:rsid w:val="002F4F0A"/>
    <w:rsid w:val="002F7D0D"/>
    <w:rsid w:val="00301869"/>
    <w:rsid w:val="00302CEB"/>
    <w:rsid w:val="00302E18"/>
    <w:rsid w:val="003054FE"/>
    <w:rsid w:val="00307082"/>
    <w:rsid w:val="003114F7"/>
    <w:rsid w:val="00312D12"/>
    <w:rsid w:val="00315912"/>
    <w:rsid w:val="00315C8B"/>
    <w:rsid w:val="0032024A"/>
    <w:rsid w:val="003233BC"/>
    <w:rsid w:val="003234B6"/>
    <w:rsid w:val="003240D9"/>
    <w:rsid w:val="003246CA"/>
    <w:rsid w:val="0032687F"/>
    <w:rsid w:val="00326DA2"/>
    <w:rsid w:val="00330AC9"/>
    <w:rsid w:val="00336613"/>
    <w:rsid w:val="00345B2D"/>
    <w:rsid w:val="00350D9E"/>
    <w:rsid w:val="00355B02"/>
    <w:rsid w:val="00363F33"/>
    <w:rsid w:val="00364FB8"/>
    <w:rsid w:val="0037176E"/>
    <w:rsid w:val="0037201F"/>
    <w:rsid w:val="00374C78"/>
    <w:rsid w:val="00385640"/>
    <w:rsid w:val="00386B52"/>
    <w:rsid w:val="00386EE4"/>
    <w:rsid w:val="003874A0"/>
    <w:rsid w:val="00387D21"/>
    <w:rsid w:val="00390CB8"/>
    <w:rsid w:val="003918E0"/>
    <w:rsid w:val="00391CD7"/>
    <w:rsid w:val="00392D6A"/>
    <w:rsid w:val="00395538"/>
    <w:rsid w:val="00396A17"/>
    <w:rsid w:val="003975D3"/>
    <w:rsid w:val="003B1793"/>
    <w:rsid w:val="003B208C"/>
    <w:rsid w:val="003B259E"/>
    <w:rsid w:val="003B4B41"/>
    <w:rsid w:val="003B7FEC"/>
    <w:rsid w:val="003C41E8"/>
    <w:rsid w:val="003C5180"/>
    <w:rsid w:val="003C55D2"/>
    <w:rsid w:val="003C79A6"/>
    <w:rsid w:val="003D2FEB"/>
    <w:rsid w:val="003D59A1"/>
    <w:rsid w:val="003D7261"/>
    <w:rsid w:val="003D7447"/>
    <w:rsid w:val="003D7FC3"/>
    <w:rsid w:val="003E1B8E"/>
    <w:rsid w:val="003E446C"/>
    <w:rsid w:val="003F206B"/>
    <w:rsid w:val="003F2E58"/>
    <w:rsid w:val="00402303"/>
    <w:rsid w:val="00402352"/>
    <w:rsid w:val="0040292D"/>
    <w:rsid w:val="00404853"/>
    <w:rsid w:val="004060B6"/>
    <w:rsid w:val="00410A12"/>
    <w:rsid w:val="00410ACC"/>
    <w:rsid w:val="00416CAA"/>
    <w:rsid w:val="004179D6"/>
    <w:rsid w:val="00417AF2"/>
    <w:rsid w:val="0042026B"/>
    <w:rsid w:val="004257A2"/>
    <w:rsid w:val="0042626D"/>
    <w:rsid w:val="00434FA7"/>
    <w:rsid w:val="0044141E"/>
    <w:rsid w:val="004424F0"/>
    <w:rsid w:val="00443435"/>
    <w:rsid w:val="00450662"/>
    <w:rsid w:val="00452701"/>
    <w:rsid w:val="004531E8"/>
    <w:rsid w:val="00455C14"/>
    <w:rsid w:val="00457C71"/>
    <w:rsid w:val="00462D43"/>
    <w:rsid w:val="00467AD2"/>
    <w:rsid w:val="004716D4"/>
    <w:rsid w:val="00472052"/>
    <w:rsid w:val="004730F8"/>
    <w:rsid w:val="00475014"/>
    <w:rsid w:val="00475EC5"/>
    <w:rsid w:val="00484D8D"/>
    <w:rsid w:val="0048636B"/>
    <w:rsid w:val="0048736B"/>
    <w:rsid w:val="00487CE7"/>
    <w:rsid w:val="00492590"/>
    <w:rsid w:val="00495BE3"/>
    <w:rsid w:val="00497538"/>
    <w:rsid w:val="004A0BFD"/>
    <w:rsid w:val="004A0E12"/>
    <w:rsid w:val="004A2C40"/>
    <w:rsid w:val="004A7C5A"/>
    <w:rsid w:val="004A7F35"/>
    <w:rsid w:val="004B0368"/>
    <w:rsid w:val="004B0670"/>
    <w:rsid w:val="004B490D"/>
    <w:rsid w:val="004B59E9"/>
    <w:rsid w:val="004B64B0"/>
    <w:rsid w:val="004B7C08"/>
    <w:rsid w:val="004C2A1A"/>
    <w:rsid w:val="004C3A05"/>
    <w:rsid w:val="004C3A89"/>
    <w:rsid w:val="004C5973"/>
    <w:rsid w:val="004C6B8D"/>
    <w:rsid w:val="004C74D1"/>
    <w:rsid w:val="004D0FB5"/>
    <w:rsid w:val="004D2425"/>
    <w:rsid w:val="004D2635"/>
    <w:rsid w:val="004D42C7"/>
    <w:rsid w:val="004D5D70"/>
    <w:rsid w:val="004F0F05"/>
    <w:rsid w:val="00500AC4"/>
    <w:rsid w:val="00501122"/>
    <w:rsid w:val="005017A8"/>
    <w:rsid w:val="005068A4"/>
    <w:rsid w:val="00512D87"/>
    <w:rsid w:val="005136EB"/>
    <w:rsid w:val="005138C9"/>
    <w:rsid w:val="00513E5A"/>
    <w:rsid w:val="005210FA"/>
    <w:rsid w:val="00524EB7"/>
    <w:rsid w:val="00526356"/>
    <w:rsid w:val="005311DF"/>
    <w:rsid w:val="00531F32"/>
    <w:rsid w:val="005345B7"/>
    <w:rsid w:val="005379FE"/>
    <w:rsid w:val="00541262"/>
    <w:rsid w:val="00544AD6"/>
    <w:rsid w:val="00544C87"/>
    <w:rsid w:val="00544E06"/>
    <w:rsid w:val="00545624"/>
    <w:rsid w:val="00547A6B"/>
    <w:rsid w:val="00547B98"/>
    <w:rsid w:val="00551AB5"/>
    <w:rsid w:val="00551B8C"/>
    <w:rsid w:val="00551FD0"/>
    <w:rsid w:val="00554BDF"/>
    <w:rsid w:val="0055783E"/>
    <w:rsid w:val="005617E6"/>
    <w:rsid w:val="00562640"/>
    <w:rsid w:val="00563856"/>
    <w:rsid w:val="0056464D"/>
    <w:rsid w:val="00564EEC"/>
    <w:rsid w:val="00565880"/>
    <w:rsid w:val="00570C46"/>
    <w:rsid w:val="00571F73"/>
    <w:rsid w:val="00572586"/>
    <w:rsid w:val="00572E46"/>
    <w:rsid w:val="00573FB9"/>
    <w:rsid w:val="00580BEE"/>
    <w:rsid w:val="00582FE0"/>
    <w:rsid w:val="00584F5E"/>
    <w:rsid w:val="0058639F"/>
    <w:rsid w:val="005911F7"/>
    <w:rsid w:val="00591F64"/>
    <w:rsid w:val="00593E8B"/>
    <w:rsid w:val="005946D7"/>
    <w:rsid w:val="0059487E"/>
    <w:rsid w:val="005954B0"/>
    <w:rsid w:val="00595A5B"/>
    <w:rsid w:val="005A1D56"/>
    <w:rsid w:val="005A3317"/>
    <w:rsid w:val="005A5DAC"/>
    <w:rsid w:val="005A6AFD"/>
    <w:rsid w:val="005B02FC"/>
    <w:rsid w:val="005B078A"/>
    <w:rsid w:val="005B082A"/>
    <w:rsid w:val="005B6630"/>
    <w:rsid w:val="005C4CAF"/>
    <w:rsid w:val="005C602A"/>
    <w:rsid w:val="005D0758"/>
    <w:rsid w:val="005D0E13"/>
    <w:rsid w:val="005D136F"/>
    <w:rsid w:val="005D205C"/>
    <w:rsid w:val="005D46B1"/>
    <w:rsid w:val="005D6A60"/>
    <w:rsid w:val="005D76DB"/>
    <w:rsid w:val="005E08BC"/>
    <w:rsid w:val="005E2402"/>
    <w:rsid w:val="005E47E6"/>
    <w:rsid w:val="005E491E"/>
    <w:rsid w:val="005E4D3D"/>
    <w:rsid w:val="005E4EB7"/>
    <w:rsid w:val="005F02E8"/>
    <w:rsid w:val="005F1FFA"/>
    <w:rsid w:val="005F20AC"/>
    <w:rsid w:val="005F7CDA"/>
    <w:rsid w:val="00600D53"/>
    <w:rsid w:val="00602434"/>
    <w:rsid w:val="006049A3"/>
    <w:rsid w:val="00612FC7"/>
    <w:rsid w:val="00613351"/>
    <w:rsid w:val="0061465A"/>
    <w:rsid w:val="006148C4"/>
    <w:rsid w:val="006159B5"/>
    <w:rsid w:val="00617A44"/>
    <w:rsid w:val="00620F85"/>
    <w:rsid w:val="00624C5C"/>
    <w:rsid w:val="0062617D"/>
    <w:rsid w:val="00631262"/>
    <w:rsid w:val="00631EF0"/>
    <w:rsid w:val="00632DA9"/>
    <w:rsid w:val="00634A1B"/>
    <w:rsid w:val="00634C01"/>
    <w:rsid w:val="00635582"/>
    <w:rsid w:val="00636DD1"/>
    <w:rsid w:val="00641620"/>
    <w:rsid w:val="0064519F"/>
    <w:rsid w:val="00650948"/>
    <w:rsid w:val="00651991"/>
    <w:rsid w:val="00652052"/>
    <w:rsid w:val="0065214E"/>
    <w:rsid w:val="00653B53"/>
    <w:rsid w:val="00655A19"/>
    <w:rsid w:val="00656FA3"/>
    <w:rsid w:val="00657C10"/>
    <w:rsid w:val="00662C07"/>
    <w:rsid w:val="006636B5"/>
    <w:rsid w:val="00665453"/>
    <w:rsid w:val="00665D60"/>
    <w:rsid w:val="006679D0"/>
    <w:rsid w:val="0067128E"/>
    <w:rsid w:val="0067165A"/>
    <w:rsid w:val="006716E7"/>
    <w:rsid w:val="00672E2C"/>
    <w:rsid w:val="0067554E"/>
    <w:rsid w:val="00675C31"/>
    <w:rsid w:val="00676D2F"/>
    <w:rsid w:val="00676F5D"/>
    <w:rsid w:val="00680776"/>
    <w:rsid w:val="00682303"/>
    <w:rsid w:val="00687F4B"/>
    <w:rsid w:val="0069112F"/>
    <w:rsid w:val="006934F7"/>
    <w:rsid w:val="00695245"/>
    <w:rsid w:val="006960CB"/>
    <w:rsid w:val="006A0285"/>
    <w:rsid w:val="006A2400"/>
    <w:rsid w:val="006A2C2B"/>
    <w:rsid w:val="006A343A"/>
    <w:rsid w:val="006A5D5A"/>
    <w:rsid w:val="006B10D4"/>
    <w:rsid w:val="006B1B52"/>
    <w:rsid w:val="006B2BCE"/>
    <w:rsid w:val="006B45B8"/>
    <w:rsid w:val="006B706E"/>
    <w:rsid w:val="006B7F1F"/>
    <w:rsid w:val="006C07C7"/>
    <w:rsid w:val="006C1304"/>
    <w:rsid w:val="006C30EC"/>
    <w:rsid w:val="006C3AC0"/>
    <w:rsid w:val="006C6487"/>
    <w:rsid w:val="006C65D2"/>
    <w:rsid w:val="006C663E"/>
    <w:rsid w:val="006D06BF"/>
    <w:rsid w:val="006D4783"/>
    <w:rsid w:val="006D4C85"/>
    <w:rsid w:val="006D4ECC"/>
    <w:rsid w:val="006D53A5"/>
    <w:rsid w:val="006D5679"/>
    <w:rsid w:val="006D7229"/>
    <w:rsid w:val="006E0D80"/>
    <w:rsid w:val="006E1467"/>
    <w:rsid w:val="006E1600"/>
    <w:rsid w:val="006E20B1"/>
    <w:rsid w:val="006E3027"/>
    <w:rsid w:val="006E5053"/>
    <w:rsid w:val="006E6272"/>
    <w:rsid w:val="006F22D4"/>
    <w:rsid w:val="006F45DB"/>
    <w:rsid w:val="006F509B"/>
    <w:rsid w:val="006F7AA6"/>
    <w:rsid w:val="006F7F2E"/>
    <w:rsid w:val="00703E96"/>
    <w:rsid w:val="0070642A"/>
    <w:rsid w:val="007073E8"/>
    <w:rsid w:val="007076BF"/>
    <w:rsid w:val="007078ED"/>
    <w:rsid w:val="00707D38"/>
    <w:rsid w:val="00710A7D"/>
    <w:rsid w:val="0071121B"/>
    <w:rsid w:val="007112C3"/>
    <w:rsid w:val="007139BF"/>
    <w:rsid w:val="00714645"/>
    <w:rsid w:val="007158CC"/>
    <w:rsid w:val="0071722B"/>
    <w:rsid w:val="00721683"/>
    <w:rsid w:val="0072538A"/>
    <w:rsid w:val="00725B25"/>
    <w:rsid w:val="0073260D"/>
    <w:rsid w:val="007343D4"/>
    <w:rsid w:val="00734DAA"/>
    <w:rsid w:val="00735CDA"/>
    <w:rsid w:val="00741E84"/>
    <w:rsid w:val="00742581"/>
    <w:rsid w:val="0074526D"/>
    <w:rsid w:val="00747137"/>
    <w:rsid w:val="00750AE3"/>
    <w:rsid w:val="00753BD6"/>
    <w:rsid w:val="00756CD9"/>
    <w:rsid w:val="0075779C"/>
    <w:rsid w:val="007631AF"/>
    <w:rsid w:val="00765637"/>
    <w:rsid w:val="00765B80"/>
    <w:rsid w:val="0077552F"/>
    <w:rsid w:val="0077576A"/>
    <w:rsid w:val="00776B05"/>
    <w:rsid w:val="007802C0"/>
    <w:rsid w:val="00783B88"/>
    <w:rsid w:val="0078405C"/>
    <w:rsid w:val="007948EA"/>
    <w:rsid w:val="007A1D1A"/>
    <w:rsid w:val="007A32D2"/>
    <w:rsid w:val="007A434F"/>
    <w:rsid w:val="007A4E00"/>
    <w:rsid w:val="007A5836"/>
    <w:rsid w:val="007A5FA0"/>
    <w:rsid w:val="007A6649"/>
    <w:rsid w:val="007A6B04"/>
    <w:rsid w:val="007A7C34"/>
    <w:rsid w:val="007B1855"/>
    <w:rsid w:val="007B2AEC"/>
    <w:rsid w:val="007B3BEE"/>
    <w:rsid w:val="007B63E3"/>
    <w:rsid w:val="007B65B1"/>
    <w:rsid w:val="007B6A9A"/>
    <w:rsid w:val="007B7185"/>
    <w:rsid w:val="007B7DC5"/>
    <w:rsid w:val="007C0018"/>
    <w:rsid w:val="007C147A"/>
    <w:rsid w:val="007C438D"/>
    <w:rsid w:val="007C66B9"/>
    <w:rsid w:val="007C6D31"/>
    <w:rsid w:val="007D555A"/>
    <w:rsid w:val="007E1BB6"/>
    <w:rsid w:val="007E7D43"/>
    <w:rsid w:val="007F103D"/>
    <w:rsid w:val="007F177D"/>
    <w:rsid w:val="007F355C"/>
    <w:rsid w:val="00802364"/>
    <w:rsid w:val="00803303"/>
    <w:rsid w:val="008045FF"/>
    <w:rsid w:val="00804E89"/>
    <w:rsid w:val="008116BE"/>
    <w:rsid w:val="0081270E"/>
    <w:rsid w:val="00813E80"/>
    <w:rsid w:val="00815997"/>
    <w:rsid w:val="00820788"/>
    <w:rsid w:val="0082179F"/>
    <w:rsid w:val="00824355"/>
    <w:rsid w:val="008275B1"/>
    <w:rsid w:val="0082771A"/>
    <w:rsid w:val="00834F30"/>
    <w:rsid w:val="008350CE"/>
    <w:rsid w:val="008352F7"/>
    <w:rsid w:val="00842E74"/>
    <w:rsid w:val="00843229"/>
    <w:rsid w:val="008438BA"/>
    <w:rsid w:val="0084490C"/>
    <w:rsid w:val="00844F39"/>
    <w:rsid w:val="00845D80"/>
    <w:rsid w:val="00847F4A"/>
    <w:rsid w:val="008511CC"/>
    <w:rsid w:val="0085437B"/>
    <w:rsid w:val="008551A1"/>
    <w:rsid w:val="0086193D"/>
    <w:rsid w:val="0086474F"/>
    <w:rsid w:val="00867377"/>
    <w:rsid w:val="00871A7D"/>
    <w:rsid w:val="00872075"/>
    <w:rsid w:val="008737EA"/>
    <w:rsid w:val="00874D7F"/>
    <w:rsid w:val="00875FD7"/>
    <w:rsid w:val="00876835"/>
    <w:rsid w:val="00880E98"/>
    <w:rsid w:val="00884732"/>
    <w:rsid w:val="00886BF5"/>
    <w:rsid w:val="00890BE3"/>
    <w:rsid w:val="0089490B"/>
    <w:rsid w:val="00894C71"/>
    <w:rsid w:val="00895AEF"/>
    <w:rsid w:val="00896DC8"/>
    <w:rsid w:val="00897096"/>
    <w:rsid w:val="00897723"/>
    <w:rsid w:val="008A0653"/>
    <w:rsid w:val="008A23D0"/>
    <w:rsid w:val="008A4795"/>
    <w:rsid w:val="008A4E32"/>
    <w:rsid w:val="008A523D"/>
    <w:rsid w:val="008A60DF"/>
    <w:rsid w:val="008B02F0"/>
    <w:rsid w:val="008B1FD2"/>
    <w:rsid w:val="008B4DDF"/>
    <w:rsid w:val="008C04E9"/>
    <w:rsid w:val="008C0E73"/>
    <w:rsid w:val="008C3704"/>
    <w:rsid w:val="008C3DF0"/>
    <w:rsid w:val="008C7C50"/>
    <w:rsid w:val="008D08C3"/>
    <w:rsid w:val="008D0D02"/>
    <w:rsid w:val="008D54B1"/>
    <w:rsid w:val="008D5F7F"/>
    <w:rsid w:val="008D79D0"/>
    <w:rsid w:val="008E1252"/>
    <w:rsid w:val="008E30BB"/>
    <w:rsid w:val="008E4460"/>
    <w:rsid w:val="008E5EC3"/>
    <w:rsid w:val="008E7AEC"/>
    <w:rsid w:val="008F044E"/>
    <w:rsid w:val="008F1305"/>
    <w:rsid w:val="008F288C"/>
    <w:rsid w:val="008F3589"/>
    <w:rsid w:val="008F58CB"/>
    <w:rsid w:val="008F5C85"/>
    <w:rsid w:val="008F65F9"/>
    <w:rsid w:val="008F6FDC"/>
    <w:rsid w:val="008F7A9B"/>
    <w:rsid w:val="00910437"/>
    <w:rsid w:val="00911ABA"/>
    <w:rsid w:val="009145B7"/>
    <w:rsid w:val="00914A6C"/>
    <w:rsid w:val="009179D2"/>
    <w:rsid w:val="00920AAB"/>
    <w:rsid w:val="00920B00"/>
    <w:rsid w:val="00921437"/>
    <w:rsid w:val="0092192B"/>
    <w:rsid w:val="00922B3E"/>
    <w:rsid w:val="009345C0"/>
    <w:rsid w:val="009349B8"/>
    <w:rsid w:val="00935131"/>
    <w:rsid w:val="00943DBF"/>
    <w:rsid w:val="00946291"/>
    <w:rsid w:val="009476B3"/>
    <w:rsid w:val="009531E7"/>
    <w:rsid w:val="0095631A"/>
    <w:rsid w:val="0095797B"/>
    <w:rsid w:val="00960258"/>
    <w:rsid w:val="00960B4D"/>
    <w:rsid w:val="00962FE9"/>
    <w:rsid w:val="009657EE"/>
    <w:rsid w:val="00967EFF"/>
    <w:rsid w:val="00970124"/>
    <w:rsid w:val="0097415E"/>
    <w:rsid w:val="00974949"/>
    <w:rsid w:val="00976B93"/>
    <w:rsid w:val="00977A35"/>
    <w:rsid w:val="009800D0"/>
    <w:rsid w:val="00980665"/>
    <w:rsid w:val="00982EA9"/>
    <w:rsid w:val="00984639"/>
    <w:rsid w:val="00985D2E"/>
    <w:rsid w:val="0099189A"/>
    <w:rsid w:val="009929B9"/>
    <w:rsid w:val="009949F9"/>
    <w:rsid w:val="00995293"/>
    <w:rsid w:val="0099595A"/>
    <w:rsid w:val="0099634B"/>
    <w:rsid w:val="00996A5D"/>
    <w:rsid w:val="00997BAE"/>
    <w:rsid w:val="00997DAD"/>
    <w:rsid w:val="00997EDE"/>
    <w:rsid w:val="009A086C"/>
    <w:rsid w:val="009A330B"/>
    <w:rsid w:val="009A37C7"/>
    <w:rsid w:val="009A4D25"/>
    <w:rsid w:val="009A4F9E"/>
    <w:rsid w:val="009A79DB"/>
    <w:rsid w:val="009B067B"/>
    <w:rsid w:val="009B08D9"/>
    <w:rsid w:val="009B170D"/>
    <w:rsid w:val="009B3219"/>
    <w:rsid w:val="009B607E"/>
    <w:rsid w:val="009C3590"/>
    <w:rsid w:val="009C57F6"/>
    <w:rsid w:val="009C6924"/>
    <w:rsid w:val="009C788D"/>
    <w:rsid w:val="009C7D19"/>
    <w:rsid w:val="009D1151"/>
    <w:rsid w:val="009D1708"/>
    <w:rsid w:val="009D77A4"/>
    <w:rsid w:val="009D7C7D"/>
    <w:rsid w:val="009E0222"/>
    <w:rsid w:val="009E17E8"/>
    <w:rsid w:val="009E403C"/>
    <w:rsid w:val="009E4D4E"/>
    <w:rsid w:val="009E4EB9"/>
    <w:rsid w:val="009E5F07"/>
    <w:rsid w:val="00A00B80"/>
    <w:rsid w:val="00A010EF"/>
    <w:rsid w:val="00A03AE0"/>
    <w:rsid w:val="00A11AF3"/>
    <w:rsid w:val="00A11C59"/>
    <w:rsid w:val="00A126A8"/>
    <w:rsid w:val="00A169D1"/>
    <w:rsid w:val="00A23138"/>
    <w:rsid w:val="00A249D8"/>
    <w:rsid w:val="00A314F8"/>
    <w:rsid w:val="00A31743"/>
    <w:rsid w:val="00A32F1A"/>
    <w:rsid w:val="00A3388C"/>
    <w:rsid w:val="00A37935"/>
    <w:rsid w:val="00A413A2"/>
    <w:rsid w:val="00A45CD8"/>
    <w:rsid w:val="00A47143"/>
    <w:rsid w:val="00A50497"/>
    <w:rsid w:val="00A517CC"/>
    <w:rsid w:val="00A5180D"/>
    <w:rsid w:val="00A52A48"/>
    <w:rsid w:val="00A53777"/>
    <w:rsid w:val="00A63058"/>
    <w:rsid w:val="00A657ED"/>
    <w:rsid w:val="00A75D74"/>
    <w:rsid w:val="00A800AB"/>
    <w:rsid w:val="00A82E3C"/>
    <w:rsid w:val="00A83A1B"/>
    <w:rsid w:val="00A8668A"/>
    <w:rsid w:val="00A91655"/>
    <w:rsid w:val="00A926FF"/>
    <w:rsid w:val="00A9590C"/>
    <w:rsid w:val="00A97C07"/>
    <w:rsid w:val="00AA093E"/>
    <w:rsid w:val="00AA0C8A"/>
    <w:rsid w:val="00AA42C1"/>
    <w:rsid w:val="00AA440C"/>
    <w:rsid w:val="00AA5793"/>
    <w:rsid w:val="00AB17A0"/>
    <w:rsid w:val="00AB3F01"/>
    <w:rsid w:val="00AB5BCB"/>
    <w:rsid w:val="00AB6BAF"/>
    <w:rsid w:val="00AB7DF1"/>
    <w:rsid w:val="00AC01B7"/>
    <w:rsid w:val="00AC32B1"/>
    <w:rsid w:val="00AC397D"/>
    <w:rsid w:val="00AC42C2"/>
    <w:rsid w:val="00AC4BD0"/>
    <w:rsid w:val="00AD1974"/>
    <w:rsid w:val="00AD30C5"/>
    <w:rsid w:val="00AE7BFF"/>
    <w:rsid w:val="00AF1030"/>
    <w:rsid w:val="00AF14A4"/>
    <w:rsid w:val="00AF3890"/>
    <w:rsid w:val="00AF52A8"/>
    <w:rsid w:val="00AF5449"/>
    <w:rsid w:val="00AF7312"/>
    <w:rsid w:val="00AF7764"/>
    <w:rsid w:val="00AF786E"/>
    <w:rsid w:val="00B0605A"/>
    <w:rsid w:val="00B07D01"/>
    <w:rsid w:val="00B11C6C"/>
    <w:rsid w:val="00B13155"/>
    <w:rsid w:val="00B13953"/>
    <w:rsid w:val="00B13A1F"/>
    <w:rsid w:val="00B16EB4"/>
    <w:rsid w:val="00B1759E"/>
    <w:rsid w:val="00B218F0"/>
    <w:rsid w:val="00B2397E"/>
    <w:rsid w:val="00B23D53"/>
    <w:rsid w:val="00B25155"/>
    <w:rsid w:val="00B25F17"/>
    <w:rsid w:val="00B2608A"/>
    <w:rsid w:val="00B31302"/>
    <w:rsid w:val="00B32208"/>
    <w:rsid w:val="00B35A60"/>
    <w:rsid w:val="00B43735"/>
    <w:rsid w:val="00B4421A"/>
    <w:rsid w:val="00B4493D"/>
    <w:rsid w:val="00B4538B"/>
    <w:rsid w:val="00B464B7"/>
    <w:rsid w:val="00B46670"/>
    <w:rsid w:val="00B522D4"/>
    <w:rsid w:val="00B5565D"/>
    <w:rsid w:val="00B57AB9"/>
    <w:rsid w:val="00B63F13"/>
    <w:rsid w:val="00B65217"/>
    <w:rsid w:val="00B65DF2"/>
    <w:rsid w:val="00B7057A"/>
    <w:rsid w:val="00B7581F"/>
    <w:rsid w:val="00B7636B"/>
    <w:rsid w:val="00B778E5"/>
    <w:rsid w:val="00B8024F"/>
    <w:rsid w:val="00B80CA2"/>
    <w:rsid w:val="00B81936"/>
    <w:rsid w:val="00B82438"/>
    <w:rsid w:val="00B862E5"/>
    <w:rsid w:val="00B8751D"/>
    <w:rsid w:val="00B87ED3"/>
    <w:rsid w:val="00B90D7A"/>
    <w:rsid w:val="00B91D6E"/>
    <w:rsid w:val="00B94B28"/>
    <w:rsid w:val="00B95F65"/>
    <w:rsid w:val="00B9666C"/>
    <w:rsid w:val="00B97E72"/>
    <w:rsid w:val="00BA35EB"/>
    <w:rsid w:val="00BA7DD1"/>
    <w:rsid w:val="00BB0147"/>
    <w:rsid w:val="00BB0D84"/>
    <w:rsid w:val="00BB1C54"/>
    <w:rsid w:val="00BB3ACF"/>
    <w:rsid w:val="00BB606B"/>
    <w:rsid w:val="00BB7E93"/>
    <w:rsid w:val="00BC0ECA"/>
    <w:rsid w:val="00BC28F2"/>
    <w:rsid w:val="00BC5763"/>
    <w:rsid w:val="00BC7AD2"/>
    <w:rsid w:val="00BD44A2"/>
    <w:rsid w:val="00BD45D7"/>
    <w:rsid w:val="00BD53ED"/>
    <w:rsid w:val="00BE237D"/>
    <w:rsid w:val="00BE43D3"/>
    <w:rsid w:val="00BE4BDF"/>
    <w:rsid w:val="00BE6316"/>
    <w:rsid w:val="00BE72F0"/>
    <w:rsid w:val="00BF083E"/>
    <w:rsid w:val="00BF1E43"/>
    <w:rsid w:val="00BF3D13"/>
    <w:rsid w:val="00BF7BED"/>
    <w:rsid w:val="00C04791"/>
    <w:rsid w:val="00C07C61"/>
    <w:rsid w:val="00C07D06"/>
    <w:rsid w:val="00C1542D"/>
    <w:rsid w:val="00C17B65"/>
    <w:rsid w:val="00C2062B"/>
    <w:rsid w:val="00C20CA1"/>
    <w:rsid w:val="00C21DBC"/>
    <w:rsid w:val="00C25A96"/>
    <w:rsid w:val="00C26D28"/>
    <w:rsid w:val="00C2773F"/>
    <w:rsid w:val="00C329A2"/>
    <w:rsid w:val="00C34188"/>
    <w:rsid w:val="00C407FA"/>
    <w:rsid w:val="00C41298"/>
    <w:rsid w:val="00C41466"/>
    <w:rsid w:val="00C417BA"/>
    <w:rsid w:val="00C42AC4"/>
    <w:rsid w:val="00C43488"/>
    <w:rsid w:val="00C43765"/>
    <w:rsid w:val="00C4637F"/>
    <w:rsid w:val="00C4707B"/>
    <w:rsid w:val="00C47D81"/>
    <w:rsid w:val="00C52BF7"/>
    <w:rsid w:val="00C619D3"/>
    <w:rsid w:val="00C61D51"/>
    <w:rsid w:val="00C61ED6"/>
    <w:rsid w:val="00C70B6B"/>
    <w:rsid w:val="00C7311E"/>
    <w:rsid w:val="00C76CFA"/>
    <w:rsid w:val="00C77973"/>
    <w:rsid w:val="00C804BB"/>
    <w:rsid w:val="00C80B49"/>
    <w:rsid w:val="00C86E48"/>
    <w:rsid w:val="00C870BD"/>
    <w:rsid w:val="00C93303"/>
    <w:rsid w:val="00C952A6"/>
    <w:rsid w:val="00C96199"/>
    <w:rsid w:val="00C975BA"/>
    <w:rsid w:val="00CA0C8B"/>
    <w:rsid w:val="00CA265B"/>
    <w:rsid w:val="00CA44D9"/>
    <w:rsid w:val="00CA5C95"/>
    <w:rsid w:val="00CB4146"/>
    <w:rsid w:val="00CB5812"/>
    <w:rsid w:val="00CB5B3E"/>
    <w:rsid w:val="00CC18DB"/>
    <w:rsid w:val="00CC26CD"/>
    <w:rsid w:val="00CC3BFB"/>
    <w:rsid w:val="00CC5861"/>
    <w:rsid w:val="00CD09B6"/>
    <w:rsid w:val="00CD70F6"/>
    <w:rsid w:val="00CE19CB"/>
    <w:rsid w:val="00CE2B54"/>
    <w:rsid w:val="00CE4574"/>
    <w:rsid w:val="00CE58C7"/>
    <w:rsid w:val="00CE7DCA"/>
    <w:rsid w:val="00CF42A0"/>
    <w:rsid w:val="00CF5F94"/>
    <w:rsid w:val="00CF669C"/>
    <w:rsid w:val="00CF7911"/>
    <w:rsid w:val="00D0156E"/>
    <w:rsid w:val="00D0315E"/>
    <w:rsid w:val="00D03CCC"/>
    <w:rsid w:val="00D072B3"/>
    <w:rsid w:val="00D11426"/>
    <w:rsid w:val="00D15BA6"/>
    <w:rsid w:val="00D17D9F"/>
    <w:rsid w:val="00D20063"/>
    <w:rsid w:val="00D218A9"/>
    <w:rsid w:val="00D22442"/>
    <w:rsid w:val="00D228AE"/>
    <w:rsid w:val="00D2351C"/>
    <w:rsid w:val="00D241C3"/>
    <w:rsid w:val="00D24BCD"/>
    <w:rsid w:val="00D27DDC"/>
    <w:rsid w:val="00D30298"/>
    <w:rsid w:val="00D30631"/>
    <w:rsid w:val="00D308C6"/>
    <w:rsid w:val="00D33274"/>
    <w:rsid w:val="00D33C75"/>
    <w:rsid w:val="00D352D3"/>
    <w:rsid w:val="00D35F58"/>
    <w:rsid w:val="00D37E45"/>
    <w:rsid w:val="00D4140D"/>
    <w:rsid w:val="00D42860"/>
    <w:rsid w:val="00D505AD"/>
    <w:rsid w:val="00D509F8"/>
    <w:rsid w:val="00D5253F"/>
    <w:rsid w:val="00D546CD"/>
    <w:rsid w:val="00D54869"/>
    <w:rsid w:val="00D6186B"/>
    <w:rsid w:val="00D62754"/>
    <w:rsid w:val="00D65202"/>
    <w:rsid w:val="00D66940"/>
    <w:rsid w:val="00D67A20"/>
    <w:rsid w:val="00D70E3F"/>
    <w:rsid w:val="00D73F41"/>
    <w:rsid w:val="00D76E67"/>
    <w:rsid w:val="00D816DF"/>
    <w:rsid w:val="00D82F08"/>
    <w:rsid w:val="00D83619"/>
    <w:rsid w:val="00D90BEE"/>
    <w:rsid w:val="00D90C7F"/>
    <w:rsid w:val="00D91AD5"/>
    <w:rsid w:val="00D91C62"/>
    <w:rsid w:val="00D91DAB"/>
    <w:rsid w:val="00D93775"/>
    <w:rsid w:val="00D95396"/>
    <w:rsid w:val="00DA17F0"/>
    <w:rsid w:val="00DA1D0F"/>
    <w:rsid w:val="00DA3A9A"/>
    <w:rsid w:val="00DA59C5"/>
    <w:rsid w:val="00DA6DD5"/>
    <w:rsid w:val="00DA6E91"/>
    <w:rsid w:val="00DA70B3"/>
    <w:rsid w:val="00DB5943"/>
    <w:rsid w:val="00DB70A2"/>
    <w:rsid w:val="00DB7FD5"/>
    <w:rsid w:val="00DC2B75"/>
    <w:rsid w:val="00DC436F"/>
    <w:rsid w:val="00DD36FA"/>
    <w:rsid w:val="00DD6C7C"/>
    <w:rsid w:val="00DE0F5C"/>
    <w:rsid w:val="00DE17C5"/>
    <w:rsid w:val="00DE17DF"/>
    <w:rsid w:val="00DE2D7A"/>
    <w:rsid w:val="00DE4D48"/>
    <w:rsid w:val="00DE5BBE"/>
    <w:rsid w:val="00DF075D"/>
    <w:rsid w:val="00DF29AF"/>
    <w:rsid w:val="00DF3947"/>
    <w:rsid w:val="00DF3A11"/>
    <w:rsid w:val="00E006CB"/>
    <w:rsid w:val="00E03932"/>
    <w:rsid w:val="00E03EDD"/>
    <w:rsid w:val="00E0431F"/>
    <w:rsid w:val="00E04A2E"/>
    <w:rsid w:val="00E05A2C"/>
    <w:rsid w:val="00E07655"/>
    <w:rsid w:val="00E11EE2"/>
    <w:rsid w:val="00E12BB2"/>
    <w:rsid w:val="00E1302F"/>
    <w:rsid w:val="00E17F32"/>
    <w:rsid w:val="00E21647"/>
    <w:rsid w:val="00E2191E"/>
    <w:rsid w:val="00E26810"/>
    <w:rsid w:val="00E27ACC"/>
    <w:rsid w:val="00E40592"/>
    <w:rsid w:val="00E4105D"/>
    <w:rsid w:val="00E42546"/>
    <w:rsid w:val="00E4611D"/>
    <w:rsid w:val="00E46D6F"/>
    <w:rsid w:val="00E52B57"/>
    <w:rsid w:val="00E54521"/>
    <w:rsid w:val="00E579ED"/>
    <w:rsid w:val="00E64134"/>
    <w:rsid w:val="00E67365"/>
    <w:rsid w:val="00E70045"/>
    <w:rsid w:val="00E73D1E"/>
    <w:rsid w:val="00E77422"/>
    <w:rsid w:val="00E7774A"/>
    <w:rsid w:val="00E778EB"/>
    <w:rsid w:val="00E82895"/>
    <w:rsid w:val="00E8748D"/>
    <w:rsid w:val="00E94A7A"/>
    <w:rsid w:val="00E94C36"/>
    <w:rsid w:val="00E97087"/>
    <w:rsid w:val="00EA004E"/>
    <w:rsid w:val="00EA21E5"/>
    <w:rsid w:val="00EA2DED"/>
    <w:rsid w:val="00EA3238"/>
    <w:rsid w:val="00EA695E"/>
    <w:rsid w:val="00EA7FBA"/>
    <w:rsid w:val="00EB1D1F"/>
    <w:rsid w:val="00EB323D"/>
    <w:rsid w:val="00EB3EE0"/>
    <w:rsid w:val="00EC2D82"/>
    <w:rsid w:val="00EC6685"/>
    <w:rsid w:val="00EC7E76"/>
    <w:rsid w:val="00ED1A14"/>
    <w:rsid w:val="00ED2903"/>
    <w:rsid w:val="00ED2A45"/>
    <w:rsid w:val="00ED3CA8"/>
    <w:rsid w:val="00ED51AB"/>
    <w:rsid w:val="00EE31EE"/>
    <w:rsid w:val="00EE3648"/>
    <w:rsid w:val="00EE3AB6"/>
    <w:rsid w:val="00EE5C00"/>
    <w:rsid w:val="00EF1A96"/>
    <w:rsid w:val="00EF1BBE"/>
    <w:rsid w:val="00F001A3"/>
    <w:rsid w:val="00F015FB"/>
    <w:rsid w:val="00F01C59"/>
    <w:rsid w:val="00F01E97"/>
    <w:rsid w:val="00F0449D"/>
    <w:rsid w:val="00F0507E"/>
    <w:rsid w:val="00F07D54"/>
    <w:rsid w:val="00F1103B"/>
    <w:rsid w:val="00F12497"/>
    <w:rsid w:val="00F12E20"/>
    <w:rsid w:val="00F14760"/>
    <w:rsid w:val="00F14D3A"/>
    <w:rsid w:val="00F1511B"/>
    <w:rsid w:val="00F15933"/>
    <w:rsid w:val="00F16C71"/>
    <w:rsid w:val="00F2004A"/>
    <w:rsid w:val="00F201E3"/>
    <w:rsid w:val="00F22647"/>
    <w:rsid w:val="00F234AD"/>
    <w:rsid w:val="00F235F1"/>
    <w:rsid w:val="00F247AD"/>
    <w:rsid w:val="00F26E23"/>
    <w:rsid w:val="00F27035"/>
    <w:rsid w:val="00F27D50"/>
    <w:rsid w:val="00F31C26"/>
    <w:rsid w:val="00F33916"/>
    <w:rsid w:val="00F41E5E"/>
    <w:rsid w:val="00F430BF"/>
    <w:rsid w:val="00F50ED2"/>
    <w:rsid w:val="00F57F0A"/>
    <w:rsid w:val="00F60FF9"/>
    <w:rsid w:val="00F63C40"/>
    <w:rsid w:val="00F63D03"/>
    <w:rsid w:val="00F649ED"/>
    <w:rsid w:val="00F64F7D"/>
    <w:rsid w:val="00F65383"/>
    <w:rsid w:val="00F717F1"/>
    <w:rsid w:val="00F739FC"/>
    <w:rsid w:val="00F860AE"/>
    <w:rsid w:val="00F86D4D"/>
    <w:rsid w:val="00F906B9"/>
    <w:rsid w:val="00F9080F"/>
    <w:rsid w:val="00F91E4E"/>
    <w:rsid w:val="00F92155"/>
    <w:rsid w:val="00F942E4"/>
    <w:rsid w:val="00F94D92"/>
    <w:rsid w:val="00F963FC"/>
    <w:rsid w:val="00F97A9E"/>
    <w:rsid w:val="00FA1124"/>
    <w:rsid w:val="00FA2F93"/>
    <w:rsid w:val="00FA3D05"/>
    <w:rsid w:val="00FA54D5"/>
    <w:rsid w:val="00FA54EC"/>
    <w:rsid w:val="00FB3F25"/>
    <w:rsid w:val="00FC1C24"/>
    <w:rsid w:val="00FC26AE"/>
    <w:rsid w:val="00FC3C64"/>
    <w:rsid w:val="00FC4CD0"/>
    <w:rsid w:val="00FD2380"/>
    <w:rsid w:val="00FD55C7"/>
    <w:rsid w:val="00FD67DC"/>
    <w:rsid w:val="00FD6837"/>
    <w:rsid w:val="00FE0413"/>
    <w:rsid w:val="00FE1A53"/>
    <w:rsid w:val="00FE1AAF"/>
    <w:rsid w:val="00FE2AE6"/>
    <w:rsid w:val="00FE348F"/>
    <w:rsid w:val="00FE3EA7"/>
    <w:rsid w:val="00FE5444"/>
    <w:rsid w:val="00FE6CBF"/>
    <w:rsid w:val="00FE6F19"/>
    <w:rsid w:val="00FF06E4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AF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3A0"/>
    <w:pPr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numPr>
        <w:numId w:val="1"/>
      </w:numPr>
      <w:pBdr>
        <w:top w:val="single" w:sz="24" w:space="0" w:color="7A7A7A" w:themeColor="accent1"/>
        <w:left w:val="single" w:sz="24" w:space="0" w:color="7A7A7A" w:themeColor="accent1"/>
        <w:bottom w:val="single" w:sz="24" w:space="0" w:color="7A7A7A" w:themeColor="accent1"/>
        <w:right w:val="single" w:sz="24" w:space="0" w:color="7A7A7A" w:themeColor="accent1"/>
      </w:pBdr>
      <w:shd w:val="clear" w:color="auto" w:fill="7A7A7A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numPr>
        <w:ilvl w:val="1"/>
        <w:numId w:val="1"/>
      </w:numPr>
      <w:pBdr>
        <w:top w:val="single" w:sz="24" w:space="0" w:color="E4E4E4" w:themeColor="accent1" w:themeTint="33"/>
        <w:left w:val="single" w:sz="24" w:space="0" w:color="E4E4E4" w:themeColor="accent1" w:themeTint="33"/>
        <w:bottom w:val="single" w:sz="24" w:space="0" w:color="E4E4E4" w:themeColor="accent1" w:themeTint="33"/>
        <w:right w:val="single" w:sz="24" w:space="0" w:color="E4E4E4" w:themeColor="accent1" w:themeTint="33"/>
      </w:pBdr>
      <w:shd w:val="clear" w:color="auto" w:fill="E4E4E4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numPr>
        <w:ilvl w:val="2"/>
        <w:numId w:val="1"/>
      </w:numPr>
      <w:pBdr>
        <w:top w:val="single" w:sz="6" w:space="2" w:color="7A7A7A" w:themeColor="accent1"/>
        <w:left w:val="single" w:sz="6" w:space="2" w:color="7A7A7A" w:themeColor="accent1"/>
      </w:pBdr>
      <w:spacing w:before="300" w:after="0"/>
      <w:outlineLvl w:val="2"/>
    </w:pPr>
    <w:rPr>
      <w:caps/>
      <w:color w:val="3C3C3C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numPr>
        <w:ilvl w:val="3"/>
        <w:numId w:val="1"/>
      </w:numPr>
      <w:pBdr>
        <w:top w:val="dotted" w:sz="6" w:space="2" w:color="7A7A7A" w:themeColor="accent1"/>
        <w:left w:val="dotted" w:sz="6" w:space="2" w:color="7A7A7A" w:themeColor="accent1"/>
      </w:pBdr>
      <w:spacing w:before="300" w:after="0"/>
      <w:outlineLvl w:val="3"/>
    </w:pPr>
    <w:rPr>
      <w:caps/>
      <w:color w:val="5B5B5B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numPr>
        <w:ilvl w:val="4"/>
        <w:numId w:val="1"/>
      </w:numPr>
      <w:pBdr>
        <w:bottom w:val="single" w:sz="6" w:space="1" w:color="7A7A7A" w:themeColor="accent1"/>
      </w:pBdr>
      <w:spacing w:before="300" w:after="0"/>
      <w:outlineLvl w:val="4"/>
    </w:pPr>
    <w:rPr>
      <w:caps/>
      <w:color w:val="5B5B5B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numPr>
        <w:ilvl w:val="5"/>
        <w:numId w:val="1"/>
      </w:numPr>
      <w:pBdr>
        <w:bottom w:val="dotted" w:sz="6" w:space="1" w:color="7A7A7A" w:themeColor="accent1"/>
      </w:pBdr>
      <w:spacing w:before="300" w:after="0"/>
      <w:outlineLvl w:val="5"/>
    </w:pPr>
    <w:rPr>
      <w:caps/>
      <w:color w:val="5B5B5B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numPr>
        <w:ilvl w:val="6"/>
        <w:numId w:val="1"/>
      </w:numPr>
      <w:spacing w:before="300" w:after="0"/>
      <w:outlineLvl w:val="6"/>
    </w:pPr>
    <w:rPr>
      <w:caps/>
      <w:color w:val="5B5B5B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b/>
      <w:bCs/>
      <w:caps/>
      <w:color w:val="FFFFFF" w:themeColor="background1"/>
      <w:spacing w:val="15"/>
      <w:shd w:val="clear" w:color="auto" w:fill="7A7A7A" w:themeFill="accent1"/>
    </w:rPr>
  </w:style>
  <w:style w:type="character" w:customStyle="1" w:styleId="Nadpis2Char">
    <w:name w:val="Nadpis 2 Char"/>
    <w:basedOn w:val="Standardnpsmoodstavce"/>
    <w:link w:val="Nadpis2"/>
    <w:uiPriority w:val="9"/>
    <w:rPr>
      <w:caps/>
      <w:spacing w:val="15"/>
      <w:shd w:val="clear" w:color="auto" w:fill="E4E4E4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Pr>
      <w:caps/>
      <w:color w:val="3C3C3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Pr>
      <w:caps/>
      <w:color w:val="5B5B5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caps/>
      <w:color w:val="5B5B5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caps/>
      <w:color w:val="5B5B5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caps/>
      <w:color w:val="5B5B5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5B5B5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720"/>
    </w:pPr>
    <w:rPr>
      <w:caps/>
      <w:color w:val="7A7A7A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caps/>
      <w:color w:val="7A7A7A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Pr>
      <w:rFonts w:asciiTheme="minorHAnsi" w:hAnsiTheme="minorHAnsi"/>
      <w:b/>
      <w:bCs/>
    </w:rPr>
  </w:style>
  <w:style w:type="character" w:styleId="Zdraznn">
    <w:name w:val="Emphasis"/>
    <w:uiPriority w:val="20"/>
    <w:qFormat/>
    <w:rPr>
      <w:caps/>
      <w:color w:val="3C3C3C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pPr>
      <w:spacing w:before="0" w:after="0" w:line="240" w:lineRule="auto"/>
    </w:p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Odstavec"/>
    <w:basedOn w:val="Normln"/>
    <w:link w:val="OdstavecseseznamemChar"/>
    <w:uiPriority w:val="34"/>
    <w:qFormat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7A7A7A" w:themeColor="accent1"/>
        <w:left w:val="single" w:sz="4" w:space="10" w:color="7A7A7A" w:themeColor="accent1"/>
      </w:pBdr>
      <w:spacing w:after="0"/>
      <w:ind w:left="1296" w:right="1152"/>
    </w:pPr>
    <w:rPr>
      <w:i/>
      <w:iCs/>
      <w:color w:val="7A7A7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7A7A7A" w:themeColor="accent1"/>
      <w:sz w:val="20"/>
      <w:szCs w:val="20"/>
    </w:rPr>
  </w:style>
  <w:style w:type="character" w:styleId="Zdraznnjemn">
    <w:name w:val="Subtle Emphasis"/>
    <w:uiPriority w:val="19"/>
    <w:qFormat/>
    <w:rPr>
      <w:i/>
      <w:iCs/>
      <w:color w:val="3C3C3C" w:themeColor="accent1" w:themeShade="7F"/>
    </w:rPr>
  </w:style>
  <w:style w:type="character" w:styleId="Zdraznnintenzivn">
    <w:name w:val="Intense Emphasis"/>
    <w:uiPriority w:val="21"/>
    <w:qFormat/>
    <w:rPr>
      <w:rFonts w:asciiTheme="minorHAnsi" w:hAnsiTheme="minorHAnsi"/>
      <w:b/>
      <w:bCs/>
      <w:caps/>
      <w:color w:val="3C3C3C" w:themeColor="accent1" w:themeShade="7F"/>
      <w:spacing w:val="10"/>
    </w:rPr>
  </w:style>
  <w:style w:type="character" w:styleId="Odkazjemn">
    <w:name w:val="Subtle Reference"/>
    <w:uiPriority w:val="31"/>
    <w:qFormat/>
    <w:rPr>
      <w:b/>
      <w:bCs/>
      <w:color w:val="7A7A7A" w:themeColor="accent1"/>
    </w:rPr>
  </w:style>
  <w:style w:type="character" w:styleId="Odkazintenzivn">
    <w:name w:val="Intense Reference"/>
    <w:uiPriority w:val="32"/>
    <w:qFormat/>
    <w:rPr>
      <w:b/>
      <w:bCs/>
      <w:i/>
      <w:iCs/>
      <w:caps/>
      <w:color w:val="7A7A7A" w:themeColor="accent1"/>
    </w:rPr>
  </w:style>
  <w:style w:type="character" w:styleId="Nzevknihy">
    <w:name w:val="Book Title"/>
    <w:uiPriority w:val="33"/>
    <w:qFormat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  <w:rPr>
      <w:lang w:bidi="en-US"/>
    </w:rPr>
  </w:style>
  <w:style w:type="character" w:customStyle="1" w:styleId="BezmezerChar">
    <w:name w:val="Bez mezer Char"/>
    <w:basedOn w:val="Standardnpsmoodstavce"/>
    <w:link w:val="Bezmezer"/>
    <w:uiPriority w:val="1"/>
    <w:rPr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Pr>
      <w:color w:val="CC9900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Obsah3">
    <w:name w:val="toc 3"/>
    <w:basedOn w:val="Normln"/>
    <w:next w:val="Normln"/>
    <w:autoRedefine/>
    <w:uiPriority w:val="39"/>
    <w:unhideWhenUsed/>
    <w:pPr>
      <w:spacing w:after="100"/>
      <w:ind w:left="400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qFormat/>
    <w:rPr>
      <w:sz w:val="20"/>
      <w:szCs w:val="20"/>
    </w:rPr>
  </w:style>
  <w:style w:type="table" w:customStyle="1" w:styleId="Mkatabulky111">
    <w:name w:val="Mřížka tabulky111"/>
    <w:basedOn w:val="Normlntabulka"/>
    <w:next w:val="Mkatabulky"/>
    <w:uiPriority w:val="39"/>
    <w:pPr>
      <w:spacing w:before="120" w:after="0" w:line="240" w:lineRule="auto"/>
      <w:ind w:left="68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2">
    <w:name w:val="Mřížka tabulky112"/>
    <w:basedOn w:val="Normlntabulka"/>
    <w:next w:val="Mkatabulky"/>
    <w:uiPriority w:val="39"/>
    <w:pPr>
      <w:spacing w:before="120" w:after="0" w:line="240" w:lineRule="auto"/>
      <w:ind w:left="68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0"/>
      <w:szCs w:val="20"/>
    </w:rPr>
  </w:style>
  <w:style w:type="paragraph" w:styleId="Revize">
    <w:name w:val="Revision"/>
    <w:hidden/>
    <w:uiPriority w:val="99"/>
    <w:semiHidden/>
    <w:pPr>
      <w:spacing w:before="0" w:after="0" w:line="240" w:lineRule="auto"/>
    </w:pPr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69696" w:themeColor="followed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Arial" w:hAnsi="Arial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link w:val="TextpoznpodarouChar"/>
    <w:semiHidden/>
    <w:pPr>
      <w:spacing w:before="0" w:after="0" w:line="240" w:lineRule="auto"/>
      <w:jc w:val="left"/>
    </w:pPr>
    <w:rPr>
      <w:rFonts w:ascii="Arial" w:hAnsi="Arial"/>
      <w:sz w:val="22"/>
      <w:szCs w:val="22"/>
    </w:rPr>
  </w:style>
  <w:style w:type="character" w:customStyle="1" w:styleId="TextpoznpodarouChar1">
    <w:name w:val="Text pozn. pod čarou Char1"/>
    <w:basedOn w:val="Standardnpsmoodstavce"/>
    <w:uiPriority w:val="99"/>
    <w:semiHidden/>
    <w:rPr>
      <w:sz w:val="20"/>
      <w:szCs w:val="20"/>
    </w:rPr>
  </w:style>
  <w:style w:type="table" w:styleId="Svtlmkazvraznn1">
    <w:name w:val="Light Grid Accent 1"/>
    <w:basedOn w:val="Normlntabulka"/>
    <w:uiPriority w:val="62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A7A7A" w:themeColor="accent1"/>
        <w:left w:val="single" w:sz="8" w:space="0" w:color="7A7A7A" w:themeColor="accent1"/>
        <w:bottom w:val="single" w:sz="8" w:space="0" w:color="7A7A7A" w:themeColor="accent1"/>
        <w:right w:val="single" w:sz="8" w:space="0" w:color="7A7A7A" w:themeColor="accent1"/>
        <w:insideH w:val="single" w:sz="8" w:space="0" w:color="7A7A7A" w:themeColor="accent1"/>
        <w:insideV w:val="single" w:sz="8" w:space="0" w:color="7A7A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7A7A" w:themeColor="accent1"/>
          <w:left w:val="single" w:sz="8" w:space="0" w:color="7A7A7A" w:themeColor="accent1"/>
          <w:bottom w:val="single" w:sz="18" w:space="0" w:color="7A7A7A" w:themeColor="accent1"/>
          <w:right w:val="single" w:sz="8" w:space="0" w:color="7A7A7A" w:themeColor="accent1"/>
          <w:insideH w:val="nil"/>
          <w:insideV w:val="single" w:sz="8" w:space="0" w:color="7A7A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7A7A" w:themeColor="accent1"/>
          <w:left w:val="single" w:sz="8" w:space="0" w:color="7A7A7A" w:themeColor="accent1"/>
          <w:bottom w:val="single" w:sz="8" w:space="0" w:color="7A7A7A" w:themeColor="accent1"/>
          <w:right w:val="single" w:sz="8" w:space="0" w:color="7A7A7A" w:themeColor="accent1"/>
          <w:insideH w:val="nil"/>
          <w:insideV w:val="single" w:sz="8" w:space="0" w:color="7A7A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7A7A" w:themeColor="accent1"/>
          <w:left w:val="single" w:sz="8" w:space="0" w:color="7A7A7A" w:themeColor="accent1"/>
          <w:bottom w:val="single" w:sz="8" w:space="0" w:color="7A7A7A" w:themeColor="accent1"/>
          <w:right w:val="single" w:sz="8" w:space="0" w:color="7A7A7A" w:themeColor="accent1"/>
        </w:tcBorders>
      </w:tcPr>
    </w:tblStylePr>
    <w:tblStylePr w:type="band1Vert">
      <w:tblPr/>
      <w:tcPr>
        <w:tcBorders>
          <w:top w:val="single" w:sz="8" w:space="0" w:color="7A7A7A" w:themeColor="accent1"/>
          <w:left w:val="single" w:sz="8" w:space="0" w:color="7A7A7A" w:themeColor="accent1"/>
          <w:bottom w:val="single" w:sz="8" w:space="0" w:color="7A7A7A" w:themeColor="accent1"/>
          <w:right w:val="single" w:sz="8" w:space="0" w:color="7A7A7A" w:themeColor="accent1"/>
        </w:tcBorders>
        <w:shd w:val="clear" w:color="auto" w:fill="DEDEDE" w:themeFill="accent1" w:themeFillTint="3F"/>
      </w:tcPr>
    </w:tblStylePr>
    <w:tblStylePr w:type="band1Horz">
      <w:tblPr/>
      <w:tcPr>
        <w:tcBorders>
          <w:top w:val="single" w:sz="8" w:space="0" w:color="7A7A7A" w:themeColor="accent1"/>
          <w:left w:val="single" w:sz="8" w:space="0" w:color="7A7A7A" w:themeColor="accent1"/>
          <w:bottom w:val="single" w:sz="8" w:space="0" w:color="7A7A7A" w:themeColor="accent1"/>
          <w:right w:val="single" w:sz="8" w:space="0" w:color="7A7A7A" w:themeColor="accent1"/>
          <w:insideV w:val="single" w:sz="8" w:space="0" w:color="7A7A7A" w:themeColor="accent1"/>
        </w:tcBorders>
        <w:shd w:val="clear" w:color="auto" w:fill="DEDEDE" w:themeFill="accent1" w:themeFillTint="3F"/>
      </w:tcPr>
    </w:tblStylePr>
    <w:tblStylePr w:type="band2Horz">
      <w:tblPr/>
      <w:tcPr>
        <w:tcBorders>
          <w:top w:val="single" w:sz="8" w:space="0" w:color="7A7A7A" w:themeColor="accent1"/>
          <w:left w:val="single" w:sz="8" w:space="0" w:color="7A7A7A" w:themeColor="accent1"/>
          <w:bottom w:val="single" w:sz="8" w:space="0" w:color="7A7A7A" w:themeColor="accent1"/>
          <w:right w:val="single" w:sz="8" w:space="0" w:color="7A7A7A" w:themeColor="accent1"/>
          <w:insideV w:val="single" w:sz="8" w:space="0" w:color="7A7A7A" w:themeColor="accent1"/>
        </w:tcBorders>
      </w:tcPr>
    </w:tblStylePr>
  </w:style>
  <w:style w:type="table" w:styleId="Svtlstnovn">
    <w:name w:val="Light Shading"/>
    <w:basedOn w:val="Normlntabulka"/>
    <w:uiPriority w:val="60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A8668A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52A6"/>
    <w:rPr>
      <w:color w:val="605E5C"/>
      <w:shd w:val="clear" w:color="auto" w:fill="E1DFDD"/>
    </w:rPr>
  </w:style>
  <w:style w:type="character" w:customStyle="1" w:styleId="Nevyeenzmnka10">
    <w:name w:val="Nevyřešená zmínka1"/>
    <w:basedOn w:val="Standardnpsmoodstavce"/>
    <w:uiPriority w:val="99"/>
    <w:semiHidden/>
    <w:unhideWhenUsed/>
    <w:rsid w:val="001E3147"/>
    <w:rPr>
      <w:color w:val="605E5C"/>
      <w:shd w:val="clear" w:color="auto" w:fill="E1DFDD"/>
    </w:rPr>
  </w:style>
  <w:style w:type="paragraph" w:customStyle="1" w:styleId="Clanek11">
    <w:name w:val="Clanek 1.1"/>
    <w:basedOn w:val="Nadpis2"/>
    <w:qFormat/>
    <w:rsid w:val="00802364"/>
    <w:pPr>
      <w:widowControl w:val="0"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567"/>
      </w:tabs>
      <w:spacing w:before="120" w:after="120" w:line="240" w:lineRule="auto"/>
      <w:ind w:left="567" w:hanging="567"/>
    </w:pPr>
    <w:rPr>
      <w:rFonts w:ascii="Times New Roman" w:eastAsia="Times New Roman" w:hAnsi="Times New Roman" w:cs="Arial"/>
      <w:bCs/>
      <w:iCs/>
      <w:caps w:val="0"/>
      <w:spacing w:val="0"/>
      <w:szCs w:val="28"/>
    </w:rPr>
  </w:style>
  <w:style w:type="paragraph" w:customStyle="1" w:styleId="l">
    <w:name w:val="Čl."/>
    <w:basedOn w:val="Normln"/>
    <w:next w:val="Odst"/>
    <w:uiPriority w:val="2"/>
    <w:qFormat/>
    <w:rsid w:val="00F942E4"/>
    <w:pPr>
      <w:keepNext/>
      <w:numPr>
        <w:numId w:val="5"/>
      </w:numPr>
      <w:pBdr>
        <w:bottom w:val="single" w:sz="12" w:space="1" w:color="595959" w:themeColor="text1" w:themeTint="A6"/>
      </w:pBdr>
      <w:spacing w:before="480" w:after="240" w:line="240" w:lineRule="auto"/>
      <w:jc w:val="left"/>
      <w:outlineLvl w:val="0"/>
    </w:pPr>
    <w:rPr>
      <w:rFonts w:ascii="Arial Black" w:eastAsiaTheme="minorHAnsi" w:hAnsi="Arial Black"/>
      <w:b/>
      <w:sz w:val="28"/>
      <w:szCs w:val="22"/>
    </w:rPr>
  </w:style>
  <w:style w:type="paragraph" w:customStyle="1" w:styleId="Odst">
    <w:name w:val="Odst."/>
    <w:basedOn w:val="Normln"/>
    <w:link w:val="OdstChar"/>
    <w:uiPriority w:val="3"/>
    <w:qFormat/>
    <w:rsid w:val="00F942E4"/>
    <w:pPr>
      <w:numPr>
        <w:ilvl w:val="1"/>
        <w:numId w:val="5"/>
      </w:numPr>
      <w:spacing w:before="0" w:after="120"/>
    </w:pPr>
    <w:rPr>
      <w:rFonts w:ascii="Arial" w:eastAsiaTheme="minorHAnsi" w:hAnsi="Arial"/>
    </w:rPr>
  </w:style>
  <w:style w:type="character" w:customStyle="1" w:styleId="OdstChar">
    <w:name w:val="Odst. Char"/>
    <w:basedOn w:val="Standardnpsmoodstavce"/>
    <w:link w:val="Odst"/>
    <w:uiPriority w:val="3"/>
    <w:rsid w:val="00F942E4"/>
    <w:rPr>
      <w:rFonts w:ascii="Arial" w:eastAsiaTheme="minorHAnsi" w:hAnsi="Arial"/>
      <w:sz w:val="20"/>
      <w:szCs w:val="20"/>
    </w:rPr>
  </w:style>
  <w:style w:type="paragraph" w:customStyle="1" w:styleId="Psm">
    <w:name w:val="Písm."/>
    <w:basedOn w:val="Normln"/>
    <w:link w:val="PsmChar"/>
    <w:uiPriority w:val="5"/>
    <w:qFormat/>
    <w:rsid w:val="00F942E4"/>
    <w:pPr>
      <w:numPr>
        <w:ilvl w:val="2"/>
        <w:numId w:val="5"/>
      </w:numPr>
      <w:spacing w:before="0" w:after="120"/>
    </w:pPr>
    <w:rPr>
      <w:rFonts w:ascii="Arial" w:eastAsiaTheme="minorHAnsi" w:hAnsi="Arial"/>
      <w:sz w:val="22"/>
    </w:rPr>
  </w:style>
  <w:style w:type="paragraph" w:customStyle="1" w:styleId="Bod">
    <w:name w:val="Bod"/>
    <w:basedOn w:val="Normln"/>
    <w:uiPriority w:val="7"/>
    <w:qFormat/>
    <w:rsid w:val="00F942E4"/>
    <w:pPr>
      <w:numPr>
        <w:ilvl w:val="3"/>
        <w:numId w:val="5"/>
      </w:numPr>
      <w:spacing w:before="0" w:after="120"/>
    </w:pPr>
    <w:rPr>
      <w:rFonts w:ascii="Arial" w:eastAsiaTheme="minorHAnsi" w:hAnsi="Arial"/>
    </w:rPr>
  </w:style>
  <w:style w:type="paragraph" w:customStyle="1" w:styleId="Odrka">
    <w:name w:val="Odrážka"/>
    <w:basedOn w:val="Normln"/>
    <w:uiPriority w:val="8"/>
    <w:qFormat/>
    <w:rsid w:val="00F942E4"/>
    <w:pPr>
      <w:numPr>
        <w:ilvl w:val="4"/>
        <w:numId w:val="5"/>
      </w:numPr>
      <w:spacing w:before="0" w:after="120"/>
    </w:pPr>
    <w:rPr>
      <w:rFonts w:ascii="Arial" w:eastAsiaTheme="minorHAnsi" w:hAnsi="Arial"/>
      <w:szCs w:val="22"/>
    </w:rPr>
  </w:style>
  <w:style w:type="character" w:customStyle="1" w:styleId="PsmChar">
    <w:name w:val="Písm. Char"/>
    <w:basedOn w:val="Standardnpsmoodstavce"/>
    <w:link w:val="Psm"/>
    <w:uiPriority w:val="5"/>
    <w:rsid w:val="001A56D9"/>
    <w:rPr>
      <w:rFonts w:ascii="Arial" w:eastAsiaTheme="minorHAnsi" w:hAnsi="Arial"/>
      <w:szCs w:val="20"/>
    </w:rPr>
  </w:style>
  <w:style w:type="character" w:customStyle="1" w:styleId="acopre">
    <w:name w:val="acopre"/>
    <w:basedOn w:val="Standardnpsmoodstavce"/>
    <w:rsid w:val="00CE2B54"/>
  </w:style>
  <w:style w:type="paragraph" w:customStyle="1" w:styleId="mcntmcntmsonormal1">
    <w:name w:val="mcntmcntmsonormal1"/>
    <w:basedOn w:val="Normln"/>
    <w:rsid w:val="00021A2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arena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fdi.cz/gdp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DB4856C4794911A39B77ACA3EC7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EB057B-4E16-4A37-BCF8-FE343C227BFB}"/>
      </w:docPartPr>
      <w:docPartBody>
        <w:p w:rsidR="0061349C" w:rsidRDefault="0061349C">
          <w:pPr>
            <w:pStyle w:val="12DB4856C4794911A39B77ACA3EC736C"/>
          </w:pPr>
          <w:r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15F60F17F6944085B0B53A583FA69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1A5B2-84FE-43F0-9452-38C3CBCC6695}"/>
      </w:docPartPr>
      <w:docPartBody>
        <w:p w:rsidR="0061349C" w:rsidRDefault="0061349C">
          <w:pPr>
            <w:pStyle w:val="15F60F17F6944085B0B53A583FA69386"/>
          </w:pPr>
          <w:r>
            <w:rPr>
              <w:rFonts w:cstheme="minorHAnsi"/>
              <w:noProof/>
              <w:highlight w:val="yellow"/>
            </w:rPr>
            <w:t>vepište</w:t>
          </w:r>
        </w:p>
      </w:docPartBody>
    </w:docPart>
    <w:docPart>
      <w:docPartPr>
        <w:name w:val="6D8C7AF7D02A4B189BCD9C0F501EA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AD9096-12E1-480E-80DB-70C7DBFEDE76}"/>
      </w:docPartPr>
      <w:docPartBody>
        <w:p w:rsidR="0061349C" w:rsidRDefault="0061349C">
          <w:pPr>
            <w:pStyle w:val="6D8C7AF7D02A4B189BCD9C0F501EA56F"/>
          </w:pPr>
          <w:r>
            <w:rPr>
              <w:rFonts w:cstheme="minorHAnsi"/>
              <w:noProof/>
              <w:highlight w:val="yellow"/>
            </w:rPr>
            <w:t>vepište</w:t>
          </w:r>
        </w:p>
      </w:docPartBody>
    </w:docPart>
    <w:docPart>
      <w:docPartPr>
        <w:name w:val="80854738F3C8484EA16CA3644B269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703DA1-E94F-43A5-BDE6-31B032D4816B}"/>
      </w:docPartPr>
      <w:docPartBody>
        <w:p w:rsidR="0061349C" w:rsidRDefault="0061349C">
          <w:pPr>
            <w:pStyle w:val="80854738F3C8484EA16CA3644B26908A"/>
          </w:pPr>
          <w:r>
            <w:rPr>
              <w:rFonts w:cstheme="minorHAnsi"/>
              <w:noProof/>
              <w:highlight w:val="yellow"/>
            </w:rPr>
            <w:t>vepište</w:t>
          </w:r>
        </w:p>
      </w:docPartBody>
    </w:docPart>
    <w:docPart>
      <w:docPartPr>
        <w:name w:val="D512BAAD853F471AA5A88A0A5327D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E2C26-C0B4-4A4A-8021-A3695E02CEAA}"/>
      </w:docPartPr>
      <w:docPartBody>
        <w:p w:rsidR="0061349C" w:rsidRDefault="0061349C">
          <w:pPr>
            <w:pStyle w:val="D512BAAD853F471AA5A88A0A5327DA5F"/>
          </w:pPr>
          <w:r>
            <w:rPr>
              <w:rFonts w:cstheme="minorHAnsi"/>
              <w:noProof/>
              <w:highlight w:val="yellow"/>
            </w:rPr>
            <w:t>vepište</w:t>
          </w:r>
        </w:p>
      </w:docPartBody>
    </w:docPart>
    <w:docPart>
      <w:docPartPr>
        <w:name w:val="DAF133A66591488F83983775AD8DD0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E6D0D4-FD73-49AA-B598-095641DFD754}"/>
      </w:docPartPr>
      <w:docPartBody>
        <w:p w:rsidR="0061349C" w:rsidRDefault="0061349C">
          <w:pPr>
            <w:pStyle w:val="DAF133A66591488F83983775AD8DD097"/>
          </w:pPr>
          <w:r>
            <w:rPr>
              <w:rFonts w:cstheme="minorHAnsi"/>
              <w:noProof/>
              <w:highlight w:val="yellow"/>
            </w:rPr>
            <w:t>vepište</w:t>
          </w:r>
        </w:p>
      </w:docPartBody>
    </w:docPart>
    <w:docPart>
      <w:docPartPr>
        <w:name w:val="8671623D5746414F95304BB9A31AA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CD446-E99C-4A0F-818D-8E5B5ABC07A1}"/>
      </w:docPartPr>
      <w:docPartBody>
        <w:p w:rsidR="0061349C" w:rsidRDefault="0061349C">
          <w:pPr>
            <w:pStyle w:val="8671623D5746414F95304BB9A31AA474"/>
          </w:pPr>
          <w:r>
            <w:rPr>
              <w:rFonts w:cstheme="minorHAnsi"/>
              <w:noProof/>
              <w:highlight w:val="yellow"/>
            </w:rPr>
            <w:t>vepište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275E3-D158-4AC0-BC5B-7AF594ACAC9A}"/>
      </w:docPartPr>
      <w:docPartBody>
        <w:p w:rsidR="0061349C" w:rsidRDefault="0061349C"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9C9AD-75B8-47D4-AC33-FC431100295B}"/>
      </w:docPartPr>
      <w:docPartBody>
        <w:p w:rsidR="0061349C" w:rsidRDefault="0061349C">
          <w:r>
            <w:rPr>
              <w:rStyle w:val="Zstupntext"/>
            </w:rPr>
            <w:t>Zvolte položku.</w:t>
          </w:r>
        </w:p>
      </w:docPartBody>
    </w:docPart>
    <w:docPart>
      <w:docPartPr>
        <w:name w:val="91A80DA0E3654E0FAA7FD74CE7791C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BB195-121C-41EF-86B8-648DC6D25824}"/>
      </w:docPartPr>
      <w:docPartBody>
        <w:p w:rsidR="008B00AE" w:rsidRDefault="00756CAE" w:rsidP="00756CAE">
          <w:pPr>
            <w:pStyle w:val="91A80DA0E3654E0FAA7FD74CE7791CC3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49C"/>
    <w:rsid w:val="00030784"/>
    <w:rsid w:val="0006249C"/>
    <w:rsid w:val="0007618A"/>
    <w:rsid w:val="0007622C"/>
    <w:rsid w:val="0028739B"/>
    <w:rsid w:val="002A3EBF"/>
    <w:rsid w:val="002B1951"/>
    <w:rsid w:val="003B6D9A"/>
    <w:rsid w:val="003F5282"/>
    <w:rsid w:val="004B2AE9"/>
    <w:rsid w:val="00565895"/>
    <w:rsid w:val="00575535"/>
    <w:rsid w:val="005D3737"/>
    <w:rsid w:val="0061349C"/>
    <w:rsid w:val="00636A6E"/>
    <w:rsid w:val="006A74AC"/>
    <w:rsid w:val="006C00AD"/>
    <w:rsid w:val="0074782C"/>
    <w:rsid w:val="00756CAE"/>
    <w:rsid w:val="008B00AE"/>
    <w:rsid w:val="008F3532"/>
    <w:rsid w:val="00944932"/>
    <w:rsid w:val="009F4DFD"/>
    <w:rsid w:val="00A5344F"/>
    <w:rsid w:val="00BB53B1"/>
    <w:rsid w:val="00C26F39"/>
    <w:rsid w:val="00CC5261"/>
    <w:rsid w:val="00CE731E"/>
    <w:rsid w:val="00D7602F"/>
    <w:rsid w:val="00EB30A6"/>
    <w:rsid w:val="00EE175C"/>
    <w:rsid w:val="00F32F3B"/>
    <w:rsid w:val="00FD315E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C5261"/>
    <w:rPr>
      <w:color w:val="808080"/>
    </w:rPr>
  </w:style>
  <w:style w:type="paragraph" w:customStyle="1" w:styleId="12DB4856C4794911A39B77ACA3EC736C">
    <w:name w:val="12DB4856C4794911A39B77ACA3EC736C"/>
    <w:rsid w:val="00FA4879"/>
  </w:style>
  <w:style w:type="paragraph" w:customStyle="1" w:styleId="15F60F17F6944085B0B53A583FA69386">
    <w:name w:val="15F60F17F6944085B0B53A583FA69386"/>
    <w:rsid w:val="00FA4879"/>
  </w:style>
  <w:style w:type="paragraph" w:customStyle="1" w:styleId="6D8C7AF7D02A4B189BCD9C0F501EA56F">
    <w:name w:val="6D8C7AF7D02A4B189BCD9C0F501EA56F"/>
    <w:rsid w:val="00FA4879"/>
  </w:style>
  <w:style w:type="paragraph" w:customStyle="1" w:styleId="80854738F3C8484EA16CA3644B26908A">
    <w:name w:val="80854738F3C8484EA16CA3644B26908A"/>
    <w:rsid w:val="00FA4879"/>
  </w:style>
  <w:style w:type="paragraph" w:customStyle="1" w:styleId="D512BAAD853F471AA5A88A0A5327DA5F">
    <w:name w:val="D512BAAD853F471AA5A88A0A5327DA5F"/>
    <w:rsid w:val="00FA4879"/>
  </w:style>
  <w:style w:type="paragraph" w:customStyle="1" w:styleId="DAF133A66591488F83983775AD8DD097">
    <w:name w:val="DAF133A66591488F83983775AD8DD097"/>
    <w:rsid w:val="00FA4879"/>
  </w:style>
  <w:style w:type="paragraph" w:customStyle="1" w:styleId="8671623D5746414F95304BB9A31AA474">
    <w:name w:val="8671623D5746414F95304BB9A31AA474"/>
    <w:rsid w:val="00FA4879"/>
  </w:style>
  <w:style w:type="paragraph" w:customStyle="1" w:styleId="91A80DA0E3654E0FAA7FD74CE7791CC31">
    <w:name w:val="91A80DA0E3654E0FAA7FD74CE7791CC31"/>
    <w:rsid w:val="00756CAE"/>
    <w:pPr>
      <w:spacing w:before="200"/>
      <w:jc w:val="both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Základní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587C-FC58-4D55-9598-118472AE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2731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2022-09-14T05:42:00Z</dcterms:created>
  <dcterms:modified xsi:type="dcterms:W3CDTF">2022-09-14T05:42:00Z</dcterms:modified>
</cp:coreProperties>
</file>