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1C0D" w14:textId="77777777" w:rsidR="008A46B8" w:rsidRDefault="00E22005">
      <w:pPr>
        <w:pStyle w:val="Nadpis2"/>
        <w:spacing w:before="78"/>
        <w:ind w:left="863"/>
      </w:pPr>
      <w:r>
        <w:t>DOHODA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SPOLEČNÉM</w:t>
      </w:r>
      <w:r>
        <w:rPr>
          <w:spacing w:val="-11"/>
        </w:rPr>
        <w:t xml:space="preserve"> </w:t>
      </w:r>
      <w:r>
        <w:t>VÝKLADU</w:t>
      </w:r>
      <w:r>
        <w:rPr>
          <w:spacing w:val="-6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rPr>
          <w:spacing w:val="-2"/>
        </w:rPr>
        <w:t>SMLOUVY</w:t>
      </w:r>
    </w:p>
    <w:p w14:paraId="3E22F783" w14:textId="77777777" w:rsidR="008A46B8" w:rsidRDefault="00E22005">
      <w:pPr>
        <w:pStyle w:val="Zkladntext"/>
        <w:spacing w:before="1"/>
        <w:ind w:left="859" w:right="301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rPr>
          <w:spacing w:val="-2"/>
        </w:rPr>
        <w:t>„Dohoda“)</w:t>
      </w:r>
    </w:p>
    <w:p w14:paraId="5E7E3FCB" w14:textId="77777777" w:rsidR="008A46B8" w:rsidRDefault="008A46B8">
      <w:pPr>
        <w:pStyle w:val="Zkladntext"/>
        <w:spacing w:before="10"/>
        <w:ind w:left="0"/>
        <w:rPr>
          <w:sz w:val="21"/>
        </w:rPr>
      </w:pPr>
    </w:p>
    <w:p w14:paraId="2C623B78" w14:textId="77777777" w:rsidR="008A46B8" w:rsidRDefault="00E22005">
      <w:pPr>
        <w:pStyle w:val="Zkladntext"/>
        <w:spacing w:line="242" w:lineRule="auto"/>
        <w:ind w:left="868" w:right="301"/>
        <w:jc w:val="center"/>
      </w:pPr>
      <w:r>
        <w:t>uzavřená</w:t>
      </w:r>
      <w:r>
        <w:rPr>
          <w:spacing w:val="-4"/>
        </w:rPr>
        <w:t xml:space="preserve"> </w:t>
      </w:r>
      <w:r>
        <w:t>dle §</w:t>
      </w:r>
      <w:r>
        <w:rPr>
          <w:spacing w:val="-1"/>
        </w:rPr>
        <w:t xml:space="preserve"> </w:t>
      </w:r>
      <w:r>
        <w:t>1746,</w:t>
      </w:r>
      <w:r>
        <w:rPr>
          <w:spacing w:val="-5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2. zákona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 Sb.,</w:t>
      </w:r>
      <w:r>
        <w:rPr>
          <w:spacing w:val="-5"/>
        </w:rPr>
        <w:t xml:space="preserve"> </w:t>
      </w:r>
      <w:r>
        <w:t>občanský</w:t>
      </w:r>
      <w:r>
        <w:rPr>
          <w:spacing w:val="-1"/>
        </w:rPr>
        <w:t xml:space="preserve"> </w:t>
      </w:r>
      <w:r>
        <w:t>zákoník,</w:t>
      </w:r>
      <w:r>
        <w:rPr>
          <w:spacing w:val="-5"/>
        </w:rPr>
        <w:t xml:space="preserve"> </w:t>
      </w:r>
      <w:r>
        <w:t>v platném znění, níže uvedeného dne, měsíce a roku</w:t>
      </w:r>
    </w:p>
    <w:p w14:paraId="4F903393" w14:textId="77777777" w:rsidR="008A46B8" w:rsidRDefault="008A46B8">
      <w:pPr>
        <w:pStyle w:val="Zkladntext"/>
        <w:spacing w:before="6"/>
        <w:ind w:left="0"/>
        <w:rPr>
          <w:sz w:val="21"/>
        </w:rPr>
      </w:pPr>
    </w:p>
    <w:p w14:paraId="6A176518" w14:textId="77777777" w:rsidR="008A46B8" w:rsidRDefault="00E22005">
      <w:pPr>
        <w:pStyle w:val="Zkladntext"/>
        <w:ind w:left="868" w:right="301"/>
        <w:jc w:val="center"/>
      </w:pPr>
      <w:r>
        <w:t>mezi</w:t>
      </w:r>
      <w:r>
        <w:rPr>
          <w:spacing w:val="-9"/>
        </w:rPr>
        <w:t xml:space="preserve"> </w:t>
      </w:r>
      <w:r>
        <w:t>těmito</w:t>
      </w:r>
      <w:r>
        <w:rPr>
          <w:spacing w:val="1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rPr>
          <w:spacing w:val="-2"/>
        </w:rPr>
        <w:t>stranami</w:t>
      </w:r>
    </w:p>
    <w:p w14:paraId="1E8E29A1" w14:textId="77777777" w:rsidR="008A46B8" w:rsidRDefault="008A46B8">
      <w:pPr>
        <w:pStyle w:val="Zkladntext"/>
        <w:ind w:left="0"/>
        <w:rPr>
          <w:sz w:val="24"/>
        </w:rPr>
      </w:pPr>
    </w:p>
    <w:p w14:paraId="4EDFCC25" w14:textId="77777777" w:rsidR="008A46B8" w:rsidRDefault="008A46B8">
      <w:pPr>
        <w:pStyle w:val="Zkladntext"/>
        <w:spacing w:before="11"/>
        <w:ind w:left="0"/>
        <w:rPr>
          <w:sz w:val="19"/>
        </w:rPr>
      </w:pPr>
    </w:p>
    <w:p w14:paraId="7AA78C4B" w14:textId="77777777" w:rsidR="008A46B8" w:rsidRDefault="00E22005">
      <w:pPr>
        <w:pStyle w:val="Nadpis2"/>
        <w:ind w:right="0"/>
        <w:jc w:val="left"/>
      </w:pPr>
      <w:r>
        <w:rPr>
          <w:color w:val="1A1A1A"/>
        </w:rPr>
        <w:t>Národní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agentura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komunikační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informační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technologie,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s.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5"/>
        </w:rPr>
        <w:t>p.</w:t>
      </w:r>
    </w:p>
    <w:p w14:paraId="08BE05D2" w14:textId="77777777" w:rsidR="008A46B8" w:rsidRDefault="00E22005">
      <w:pPr>
        <w:pStyle w:val="Zkladntext"/>
        <w:tabs>
          <w:tab w:val="left" w:pos="4926"/>
        </w:tabs>
        <w:spacing w:before="2"/>
        <w:ind w:left="820"/>
      </w:pPr>
      <w:r>
        <w:rPr>
          <w:color w:val="1A1A1A"/>
          <w:spacing w:val="-2"/>
        </w:rPr>
        <w:t>Sídlo:</w:t>
      </w:r>
      <w:r>
        <w:rPr>
          <w:color w:val="1A1A1A"/>
        </w:rPr>
        <w:tab/>
        <w:t>Kodaňská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1441/46,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Vršovice,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101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00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-5"/>
        </w:rPr>
        <w:t xml:space="preserve"> 10</w:t>
      </w:r>
    </w:p>
    <w:p w14:paraId="51758850" w14:textId="77777777" w:rsidR="00E22005" w:rsidRDefault="00E22005" w:rsidP="00E22005">
      <w:pPr>
        <w:pStyle w:val="Zkladntext"/>
        <w:tabs>
          <w:tab w:val="left" w:pos="4926"/>
        </w:tabs>
        <w:spacing w:before="1" w:line="276" w:lineRule="auto"/>
        <w:ind w:left="4926" w:right="607" w:hanging="4116"/>
      </w:pPr>
      <w:r>
        <w:rPr>
          <w:color w:val="1A1A1A"/>
          <w:spacing w:val="-2"/>
        </w:rPr>
        <w:t>Zastoupen:</w:t>
      </w:r>
      <w:r>
        <w:rPr>
          <w:color w:val="1A1A1A"/>
        </w:rPr>
        <w:tab/>
      </w:r>
      <w:r>
        <w:t>xxx</w:t>
      </w:r>
    </w:p>
    <w:p w14:paraId="6B9FEFAE" w14:textId="086623BC" w:rsidR="008A46B8" w:rsidRDefault="00E22005" w:rsidP="00E22005">
      <w:pPr>
        <w:pStyle w:val="Zkladntext"/>
        <w:tabs>
          <w:tab w:val="left" w:pos="4926"/>
        </w:tabs>
        <w:spacing w:before="1" w:line="276" w:lineRule="auto"/>
        <w:ind w:left="4926" w:right="607" w:hanging="4116"/>
      </w:pPr>
      <w:r>
        <w:rPr>
          <w:color w:val="1A1A1A"/>
          <w:spacing w:val="-5"/>
        </w:rPr>
        <w:t>IČ:</w:t>
      </w:r>
      <w:r>
        <w:rPr>
          <w:rFonts w:ascii="Times New Roman" w:hAnsi="Times New Roman"/>
          <w:color w:val="1A1A1A"/>
        </w:rPr>
        <w:tab/>
      </w:r>
      <w:r>
        <w:rPr>
          <w:color w:val="1A1A1A"/>
          <w:spacing w:val="-2"/>
        </w:rPr>
        <w:t>04767543</w:t>
      </w:r>
    </w:p>
    <w:p w14:paraId="71BAE79C" w14:textId="77777777" w:rsidR="008A46B8" w:rsidRDefault="00E22005">
      <w:pPr>
        <w:pStyle w:val="Zkladntext"/>
        <w:spacing w:before="1"/>
        <w:ind w:left="820"/>
      </w:pPr>
      <w:r>
        <w:rPr>
          <w:color w:val="1A1A1A"/>
        </w:rPr>
        <w:t>Zapsán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obchodním rejstříku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vedeném Městským soudem v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Praze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oddíl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vložka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77322 (dále jen „Účastník")</w:t>
      </w:r>
    </w:p>
    <w:p w14:paraId="2A544030" w14:textId="77777777" w:rsidR="008A46B8" w:rsidRDefault="008A46B8">
      <w:pPr>
        <w:pStyle w:val="Zkladntext"/>
        <w:ind w:left="0"/>
        <w:rPr>
          <w:sz w:val="24"/>
        </w:rPr>
      </w:pPr>
    </w:p>
    <w:p w14:paraId="7D2F364B" w14:textId="77777777" w:rsidR="008A46B8" w:rsidRDefault="008A46B8">
      <w:pPr>
        <w:pStyle w:val="Zkladntext"/>
        <w:spacing w:before="2"/>
        <w:ind w:left="0"/>
        <w:rPr>
          <w:sz w:val="20"/>
        </w:rPr>
      </w:pPr>
    </w:p>
    <w:p w14:paraId="1742D8AE" w14:textId="77777777" w:rsidR="008A46B8" w:rsidRDefault="00E22005">
      <w:pPr>
        <w:pStyle w:val="Nadpis2"/>
        <w:spacing w:line="251" w:lineRule="exact"/>
        <w:ind w:right="0"/>
        <w:jc w:val="left"/>
      </w:pPr>
      <w:r>
        <w:rPr>
          <w:color w:val="1A1A1A"/>
        </w:rPr>
        <w:t>O2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Czech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Republic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4"/>
        </w:rPr>
        <w:t>a.s.</w:t>
      </w:r>
    </w:p>
    <w:p w14:paraId="7A7F4161" w14:textId="0E5931F7" w:rsidR="008A46B8" w:rsidRDefault="00E22005">
      <w:pPr>
        <w:pStyle w:val="Zkladntext"/>
        <w:tabs>
          <w:tab w:val="left" w:pos="4926"/>
        </w:tabs>
        <w:ind w:left="820" w:right="395"/>
      </w:pPr>
      <w:r>
        <w:rPr>
          <w:color w:val="1A1A1A"/>
          <w:spacing w:val="-2"/>
        </w:rPr>
        <w:t>Sídlo:</w:t>
      </w:r>
      <w:r>
        <w:rPr>
          <w:color w:val="1A1A1A"/>
        </w:rPr>
        <w:tab/>
        <w:t>Za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Brumlovkou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266/2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140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22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Michle K podpisu Dohody oprávněn:</w:t>
      </w:r>
      <w:r>
        <w:rPr>
          <w:color w:val="1A1A1A"/>
        </w:rPr>
        <w:tab/>
        <w:t>xxx</w:t>
      </w:r>
    </w:p>
    <w:p w14:paraId="7EFC32F3" w14:textId="77777777" w:rsidR="008A46B8" w:rsidRDefault="00E22005">
      <w:pPr>
        <w:pStyle w:val="Zkladntext"/>
        <w:tabs>
          <w:tab w:val="left" w:pos="4926"/>
        </w:tabs>
        <w:spacing w:line="252" w:lineRule="exact"/>
        <w:ind w:left="820"/>
      </w:pPr>
      <w:r>
        <w:rPr>
          <w:color w:val="1A1A1A"/>
          <w:spacing w:val="-5"/>
        </w:rPr>
        <w:t>IČ:</w:t>
      </w:r>
      <w:r>
        <w:rPr>
          <w:rFonts w:ascii="Times New Roman" w:hAnsi="Times New Roman"/>
          <w:color w:val="1A1A1A"/>
        </w:rPr>
        <w:tab/>
      </w:r>
      <w:r>
        <w:rPr>
          <w:color w:val="1A1A1A"/>
          <w:spacing w:val="-2"/>
        </w:rPr>
        <w:t>60193336</w:t>
      </w:r>
    </w:p>
    <w:p w14:paraId="2C3B9947" w14:textId="77777777" w:rsidR="008A46B8" w:rsidRDefault="00E22005">
      <w:pPr>
        <w:pStyle w:val="Zkladntext"/>
        <w:ind w:left="820"/>
      </w:pPr>
      <w:r>
        <w:rPr>
          <w:color w:val="1A1A1A"/>
        </w:rPr>
        <w:t>(dále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jen</w:t>
      </w:r>
      <w:r>
        <w:rPr>
          <w:color w:val="1A1A1A"/>
          <w:spacing w:val="-16"/>
        </w:rPr>
        <w:t xml:space="preserve"> </w:t>
      </w:r>
      <w:r>
        <w:rPr>
          <w:color w:val="1A1A1A"/>
          <w:spacing w:val="-2"/>
        </w:rPr>
        <w:t>„O2")</w:t>
      </w:r>
    </w:p>
    <w:p w14:paraId="0573FC28" w14:textId="77777777" w:rsidR="008A46B8" w:rsidRDefault="008A46B8">
      <w:pPr>
        <w:pStyle w:val="Zkladntext"/>
        <w:spacing w:before="7"/>
        <w:ind w:left="0"/>
        <w:rPr>
          <w:sz w:val="25"/>
        </w:rPr>
      </w:pPr>
    </w:p>
    <w:p w14:paraId="4D9D4952" w14:textId="77777777" w:rsidR="008A46B8" w:rsidRDefault="00E22005">
      <w:pPr>
        <w:pStyle w:val="Nadpis2"/>
        <w:ind w:left="760"/>
      </w:pPr>
      <w:r>
        <w:rPr>
          <w:spacing w:val="-5"/>
        </w:rPr>
        <w:t>I.</w:t>
      </w:r>
    </w:p>
    <w:p w14:paraId="2612B0DF" w14:textId="77777777" w:rsidR="008A46B8" w:rsidRDefault="008A46B8">
      <w:pPr>
        <w:pStyle w:val="Zkladntext"/>
        <w:spacing w:before="5"/>
        <w:ind w:left="0"/>
        <w:rPr>
          <w:b/>
          <w:sz w:val="28"/>
        </w:rPr>
      </w:pPr>
    </w:p>
    <w:p w14:paraId="36182BEF" w14:textId="77777777" w:rsidR="008A46B8" w:rsidRDefault="00E22005">
      <w:pPr>
        <w:pStyle w:val="Odstavecseseznamem"/>
        <w:numPr>
          <w:ilvl w:val="1"/>
          <w:numId w:val="3"/>
        </w:numPr>
        <w:tabs>
          <w:tab w:val="left" w:pos="677"/>
        </w:tabs>
        <w:spacing w:before="1"/>
        <w:jc w:val="both"/>
      </w:pPr>
      <w:r>
        <w:t>O2 a Účastník uzavřeli dne 1. 3. 2004 rámcovou smlouvu, jejímž předmětem bylo poskytování zvýhodněných podmínek pr</w:t>
      </w:r>
      <w:r>
        <w:t>o poskytování veřejně dostupných služeb elektronických komunikací (dále jen „Rámcová smlouva“). Dne 25. 2. 2014 uzavřeli O2 a Účastník dodatek č. 6 k</w:t>
      </w:r>
      <w:r>
        <w:rPr>
          <w:spacing w:val="-1"/>
        </w:rPr>
        <w:t xml:space="preserve"> </w:t>
      </w:r>
      <w:r>
        <w:t>Rámcové smlouvě. Předmětem dodatku č. 6 bylo prodloužení doby trvání Rámcové smlouvy do 28. 2. 2015, s mož</w:t>
      </w:r>
      <w:r>
        <w:t>ností opakovaného automatického prodloužení trvání Rámcové smlouvy vždy o 12 měsíců.</w:t>
      </w:r>
    </w:p>
    <w:p w14:paraId="585A5041" w14:textId="77777777" w:rsidR="008A46B8" w:rsidRDefault="00E22005">
      <w:pPr>
        <w:pStyle w:val="Odstavecseseznamem"/>
        <w:numPr>
          <w:ilvl w:val="1"/>
          <w:numId w:val="3"/>
        </w:numPr>
        <w:tabs>
          <w:tab w:val="left" w:pos="677"/>
        </w:tabs>
        <w:spacing w:before="119"/>
        <w:ind w:right="112"/>
        <w:jc w:val="both"/>
      </w:pPr>
      <w:r>
        <w:t>Veřejně dostupné služby elektronických komunikací (dále jen „Služby“) byly poskytovány na základě dílčích smluv o poskytování služeb (dále jen „Účastnické smlouvy“). Účast</w:t>
      </w:r>
      <w:r>
        <w:t>nické smlouvy byly po dobu trvání Rámcové smlouvy uzavírány na dobu neurčitou.</w:t>
      </w:r>
    </w:p>
    <w:p w14:paraId="1BC5C50D" w14:textId="77777777" w:rsidR="008A46B8" w:rsidRDefault="00E22005">
      <w:pPr>
        <w:pStyle w:val="Odstavecseseznamem"/>
        <w:numPr>
          <w:ilvl w:val="1"/>
          <w:numId w:val="3"/>
        </w:numPr>
        <w:tabs>
          <w:tab w:val="left" w:pos="677"/>
        </w:tabs>
        <w:spacing w:before="120"/>
        <w:ind w:right="114"/>
        <w:jc w:val="both"/>
      </w:pPr>
      <w:r>
        <w:t>Dne 18. 11. 2021 zaslala společnost O2 Účastníkovi jednostranné oznámení o ukončení automatického prodlužování Rámcové smlouvy (dále jen „Oznámení“).</w:t>
      </w:r>
    </w:p>
    <w:p w14:paraId="0D254BBB" w14:textId="77777777" w:rsidR="008A46B8" w:rsidRDefault="00E22005">
      <w:pPr>
        <w:pStyle w:val="Nadpis2"/>
        <w:spacing w:before="123"/>
        <w:ind w:left="697"/>
      </w:pPr>
      <w:r>
        <w:rPr>
          <w:spacing w:val="-5"/>
        </w:rPr>
        <w:t>II.</w:t>
      </w:r>
    </w:p>
    <w:p w14:paraId="6AD70DC3" w14:textId="77777777" w:rsidR="008A46B8" w:rsidRDefault="008A46B8">
      <w:pPr>
        <w:pStyle w:val="Zkladntext"/>
        <w:spacing w:before="2"/>
        <w:ind w:left="0"/>
        <w:rPr>
          <w:b/>
          <w:sz w:val="25"/>
        </w:rPr>
      </w:pPr>
    </w:p>
    <w:p w14:paraId="5737E0F5" w14:textId="77777777" w:rsidR="008A46B8" w:rsidRDefault="00E22005">
      <w:pPr>
        <w:pStyle w:val="Odstavecseseznamem"/>
        <w:numPr>
          <w:ilvl w:val="1"/>
          <w:numId w:val="2"/>
        </w:numPr>
        <w:tabs>
          <w:tab w:val="left" w:pos="677"/>
        </w:tabs>
        <w:spacing w:before="0"/>
        <w:jc w:val="both"/>
      </w:pPr>
      <w:r>
        <w:t>Smluvní strany konstatují, že Rámcová smlouva pozbyla účinnosti ke dni 28. 2. 2022, a Účastník není od 1. 3. 2022 oprávněn uzavírat se společností O2 žádné další Účastnické smlouvy, a společnost O2 není povinna poskytovat Účastníkovi žádné další nové služb</w:t>
      </w:r>
      <w:r>
        <w:t>y elektronických komunikací za zvýhodněných podmínek nad rámec rozsahu služeb poskytovaných do 28. 2. 2022.</w:t>
      </w:r>
    </w:p>
    <w:p w14:paraId="15BDFF3B" w14:textId="77777777" w:rsidR="008A46B8" w:rsidRDefault="00E22005">
      <w:pPr>
        <w:pStyle w:val="Odstavecseseznamem"/>
        <w:numPr>
          <w:ilvl w:val="1"/>
          <w:numId w:val="2"/>
        </w:numPr>
        <w:tabs>
          <w:tab w:val="left" w:pos="677"/>
        </w:tabs>
        <w:jc w:val="both"/>
      </w:pPr>
      <w:r>
        <w:t>Smluvní strany konstatují, že Účastnické smlouvy (na základě kterých jsou Služby poskytovány)</w:t>
      </w:r>
      <w:r>
        <w:rPr>
          <w:spacing w:val="-3"/>
        </w:rPr>
        <w:t xml:space="preserve"> </w:t>
      </w:r>
      <w:r>
        <w:t>zůstávají i</w:t>
      </w:r>
      <w:r>
        <w:rPr>
          <w:spacing w:val="-2"/>
        </w:rPr>
        <w:t xml:space="preserve"> </w:t>
      </w:r>
      <w:r>
        <w:t>nadále v</w:t>
      </w:r>
      <w:r>
        <w:rPr>
          <w:spacing w:val="-6"/>
        </w:rPr>
        <w:t xml:space="preserve"> </w:t>
      </w:r>
      <w:r>
        <w:t>platnosti, a ukončení Rámcové sml</w:t>
      </w:r>
      <w:r>
        <w:t>ouvy</w:t>
      </w:r>
      <w:r>
        <w:rPr>
          <w:spacing w:val="-2"/>
        </w:rPr>
        <w:t xml:space="preserve"> </w:t>
      </w:r>
      <w:r>
        <w:t>nemá vliv</w:t>
      </w:r>
      <w:r>
        <w:rPr>
          <w:spacing w:val="-2"/>
        </w:rPr>
        <w:t xml:space="preserve"> </w:t>
      </w:r>
      <w:r>
        <w:t>na jejich dobu trvání.</w:t>
      </w:r>
    </w:p>
    <w:p w14:paraId="34F54750" w14:textId="77777777" w:rsidR="008A46B8" w:rsidRDefault="00E22005">
      <w:pPr>
        <w:pStyle w:val="Odstavecseseznamem"/>
        <w:numPr>
          <w:ilvl w:val="1"/>
          <w:numId w:val="2"/>
        </w:numPr>
        <w:tabs>
          <w:tab w:val="left" w:pos="677"/>
        </w:tabs>
        <w:spacing w:before="120"/>
        <w:ind w:right="106"/>
        <w:jc w:val="both"/>
      </w:pPr>
      <w:r>
        <w:t>Podle odst. 5.3 Rámcové smlouvy platí, že po skončení platnosti Rámcové smlouvy budou všechny</w:t>
      </w:r>
      <w:r>
        <w:rPr>
          <w:spacing w:val="40"/>
        </w:rPr>
        <w:t xml:space="preserve"> </w:t>
      </w:r>
      <w:r>
        <w:t>Služby</w:t>
      </w:r>
      <w:r>
        <w:rPr>
          <w:spacing w:val="40"/>
        </w:rPr>
        <w:t xml:space="preserve"> </w:t>
      </w:r>
      <w:r>
        <w:t>účtovány</w:t>
      </w:r>
      <w:r>
        <w:rPr>
          <w:spacing w:val="40"/>
        </w:rPr>
        <w:t xml:space="preserve"> </w:t>
      </w:r>
      <w:r>
        <w:t>v běžných</w:t>
      </w:r>
      <w:r>
        <w:rPr>
          <w:spacing w:val="40"/>
        </w:rPr>
        <w:t xml:space="preserve"> </w:t>
      </w:r>
      <w:r>
        <w:t>cenách,</w:t>
      </w:r>
      <w:r>
        <w:rPr>
          <w:spacing w:val="40"/>
        </w:rPr>
        <w:t xml:space="preserve"> </w:t>
      </w:r>
      <w:r>
        <w:t>tedy</w:t>
      </w:r>
      <w:r>
        <w:rPr>
          <w:spacing w:val="40"/>
        </w:rPr>
        <w:t xml:space="preserve"> </w:t>
      </w:r>
      <w:r>
        <w:t>podle</w:t>
      </w:r>
      <w:r>
        <w:rPr>
          <w:spacing w:val="40"/>
        </w:rPr>
        <w:t xml:space="preserve"> </w:t>
      </w:r>
      <w:r>
        <w:t>Ceníku</w:t>
      </w:r>
      <w:r>
        <w:rPr>
          <w:spacing w:val="40"/>
        </w:rPr>
        <w:t xml:space="preserve"> </w:t>
      </w:r>
      <w:r>
        <w:t>základních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volitelných</w:t>
      </w:r>
    </w:p>
    <w:p w14:paraId="40BD897A" w14:textId="77777777" w:rsidR="008A46B8" w:rsidRDefault="008A46B8">
      <w:pPr>
        <w:jc w:val="both"/>
        <w:sectPr w:rsidR="008A46B8">
          <w:footerReference w:type="default" r:id="rId7"/>
          <w:type w:val="continuous"/>
          <w:pgSz w:w="11910" w:h="16840"/>
          <w:pgMar w:top="1320" w:right="1300" w:bottom="920" w:left="740" w:header="0" w:footer="732" w:gutter="0"/>
          <w:pgNumType w:start="1"/>
          <w:cols w:space="708"/>
        </w:sectPr>
      </w:pPr>
    </w:p>
    <w:p w14:paraId="424FD6C0" w14:textId="77777777" w:rsidR="008A46B8" w:rsidRDefault="00E22005">
      <w:pPr>
        <w:pStyle w:val="Zkladntext"/>
        <w:spacing w:before="78"/>
        <w:ind w:right="107"/>
        <w:jc w:val="both"/>
      </w:pPr>
      <w:r>
        <w:lastRenderedPageBreak/>
        <w:t>služeb pro firemní zákazníky vydaných společností O2 (dnes „Ceníku základních služeb pro firemní zákazníky“ a „Ceníku volitelných služeb pro firemní zákazníky“ – dále společně jen jako „Ceník“.). Rámcová smlouva dn</w:t>
      </w:r>
      <w:r>
        <w:t>e 28. 2. 2022 již pozbyla účinnosti, nicméně její text zůstává i</w:t>
      </w:r>
      <w:r>
        <w:rPr>
          <w:spacing w:val="-2"/>
        </w:rPr>
        <w:t xml:space="preserve"> </w:t>
      </w:r>
      <w:r>
        <w:t>nadále v</w:t>
      </w:r>
      <w:r>
        <w:rPr>
          <w:spacing w:val="-5"/>
        </w:rPr>
        <w:t xml:space="preserve"> </w:t>
      </w:r>
      <w:r>
        <w:t>platnosti v</w:t>
      </w:r>
      <w:r>
        <w:rPr>
          <w:spacing w:val="-5"/>
        </w:rPr>
        <w:t xml:space="preserve"> </w:t>
      </w:r>
      <w:r>
        <w:t>rozsahu týkajícím se stávajících Účastnických smluv, které byly na základě Rámcové smlouvy uzavřeny.</w:t>
      </w:r>
    </w:p>
    <w:p w14:paraId="0BEE5DE4" w14:textId="77777777" w:rsidR="008A46B8" w:rsidRDefault="00E22005">
      <w:pPr>
        <w:pStyle w:val="Odstavecseseznamem"/>
        <w:numPr>
          <w:ilvl w:val="1"/>
          <w:numId w:val="2"/>
        </w:numPr>
        <w:tabs>
          <w:tab w:val="left" w:pos="677"/>
        </w:tabs>
        <w:ind w:right="107"/>
        <w:jc w:val="both"/>
      </w:pPr>
      <w:r>
        <w:t>Služby tak jsou i</w:t>
      </w:r>
      <w:r>
        <w:rPr>
          <w:spacing w:val="-2"/>
        </w:rPr>
        <w:t xml:space="preserve"> </w:t>
      </w:r>
      <w:r>
        <w:t>po 1. 3. 2022 poskytovány nadále za zvýhodněných po</w:t>
      </w:r>
      <w:r>
        <w:t xml:space="preserve">dmínek stanovených Rámcovou smlouvu, ačkoliv doba trvání Rámcové smlouvy již uplynula. Služby tak jsou poskytovány na základě Účastnických smluv. Společnost O2 a Účastník shodně prohlašují, že se dohodli na ukončení všech Účastnických smluv ke dni 31. 12. </w:t>
      </w:r>
      <w:r>
        <w:t>2022. Společnost O2 a Účastník však zároveň prohlašují, že v</w:t>
      </w:r>
      <w:r>
        <w:rPr>
          <w:spacing w:val="-3"/>
        </w:rPr>
        <w:t xml:space="preserve"> </w:t>
      </w:r>
      <w:r>
        <w:t xml:space="preserve">případě závažných důvodů hodných zřetele se zavazují spolu jednat o prodloužení termínu dle předchozí věty, a to až o 3 (tři) kalendářní </w:t>
      </w:r>
      <w:r>
        <w:rPr>
          <w:spacing w:val="-2"/>
        </w:rPr>
        <w:t>měsíce.</w:t>
      </w:r>
    </w:p>
    <w:p w14:paraId="5294BB02" w14:textId="77777777" w:rsidR="008A46B8" w:rsidRDefault="008A46B8">
      <w:pPr>
        <w:pStyle w:val="Zkladntext"/>
        <w:spacing w:before="11"/>
        <w:ind w:left="0"/>
        <w:rPr>
          <w:sz w:val="35"/>
        </w:rPr>
      </w:pPr>
    </w:p>
    <w:p w14:paraId="2ED72AFF" w14:textId="77777777" w:rsidR="008A46B8" w:rsidRDefault="00E22005">
      <w:pPr>
        <w:pStyle w:val="Nadpis2"/>
        <w:ind w:left="635"/>
      </w:pPr>
      <w:r>
        <w:rPr>
          <w:spacing w:val="-4"/>
        </w:rPr>
        <w:t>III.</w:t>
      </w:r>
    </w:p>
    <w:p w14:paraId="0F99485D" w14:textId="77777777" w:rsidR="008A46B8" w:rsidRDefault="008A46B8">
      <w:pPr>
        <w:pStyle w:val="Zkladntext"/>
        <w:spacing w:before="2"/>
        <w:ind w:left="0"/>
        <w:rPr>
          <w:b/>
          <w:sz w:val="25"/>
        </w:rPr>
      </w:pPr>
    </w:p>
    <w:p w14:paraId="0679D574" w14:textId="77777777" w:rsidR="008A46B8" w:rsidRDefault="00E22005">
      <w:pPr>
        <w:pStyle w:val="Odstavecseseznamem"/>
        <w:numPr>
          <w:ilvl w:val="1"/>
          <w:numId w:val="1"/>
        </w:numPr>
        <w:tabs>
          <w:tab w:val="left" w:pos="677"/>
        </w:tabs>
        <w:spacing w:before="0"/>
        <w:ind w:right="108"/>
      </w:pPr>
      <w:r>
        <w:t>Smluvní</w:t>
      </w:r>
      <w:r>
        <w:rPr>
          <w:spacing w:val="39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souhlasí</w:t>
      </w:r>
      <w:r>
        <w:rPr>
          <w:spacing w:val="38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uveřejněním</w:t>
      </w:r>
      <w:r>
        <w:rPr>
          <w:spacing w:val="40"/>
        </w:rPr>
        <w:t xml:space="preserve"> </w:t>
      </w:r>
      <w:r>
        <w:t>plného</w:t>
      </w:r>
      <w:r>
        <w:rPr>
          <w:spacing w:val="39"/>
        </w:rPr>
        <w:t xml:space="preserve"> </w:t>
      </w:r>
      <w:r>
        <w:t>znění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Dohody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registru</w:t>
      </w:r>
      <w:r>
        <w:rPr>
          <w:spacing w:val="39"/>
        </w:rPr>
        <w:t xml:space="preserve"> </w:t>
      </w:r>
      <w:r>
        <w:t>smluv</w:t>
      </w:r>
      <w:r>
        <w:rPr>
          <w:spacing w:val="37"/>
        </w:rPr>
        <w:t xml:space="preserve"> </w:t>
      </w:r>
      <w:r>
        <w:t>podle ZRS. Uveřejnění Dohody prostřednictvím registru smluv zajistí Účastník.</w:t>
      </w:r>
    </w:p>
    <w:p w14:paraId="0AFE896D" w14:textId="77777777" w:rsidR="008A46B8" w:rsidRDefault="00E22005">
      <w:pPr>
        <w:pStyle w:val="Odstavecseseznamem"/>
        <w:numPr>
          <w:ilvl w:val="1"/>
          <w:numId w:val="1"/>
        </w:numPr>
        <w:tabs>
          <w:tab w:val="left" w:pos="677"/>
        </w:tabs>
        <w:spacing w:before="123"/>
        <w:ind w:right="107"/>
      </w:pPr>
      <w:r>
        <w:t>Práva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povinnosti</w:t>
      </w:r>
      <w:r>
        <w:rPr>
          <w:spacing w:val="39"/>
        </w:rPr>
        <w:t xml:space="preserve"> </w:t>
      </w:r>
      <w:r>
        <w:t>touto</w:t>
      </w:r>
      <w:r>
        <w:rPr>
          <w:spacing w:val="38"/>
        </w:rPr>
        <w:t xml:space="preserve"> </w:t>
      </w:r>
      <w:r>
        <w:t>Dohodou</w:t>
      </w:r>
      <w:r>
        <w:rPr>
          <w:spacing w:val="40"/>
        </w:rPr>
        <w:t xml:space="preserve"> </w:t>
      </w:r>
      <w:r>
        <w:t>výslovně</w:t>
      </w:r>
      <w:r>
        <w:rPr>
          <w:spacing w:val="38"/>
        </w:rPr>
        <w:t xml:space="preserve"> </w:t>
      </w:r>
      <w:r>
        <w:t>neupravené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řídí</w:t>
      </w:r>
      <w:r>
        <w:rPr>
          <w:spacing w:val="38"/>
        </w:rPr>
        <w:t xml:space="preserve"> </w:t>
      </w:r>
      <w:r>
        <w:t>právními</w:t>
      </w:r>
      <w:r>
        <w:rPr>
          <w:spacing w:val="36"/>
        </w:rPr>
        <w:t xml:space="preserve"> </w:t>
      </w:r>
      <w:r>
        <w:t>předpisy</w:t>
      </w:r>
      <w:r>
        <w:rPr>
          <w:spacing w:val="40"/>
        </w:rPr>
        <w:t xml:space="preserve"> </w:t>
      </w:r>
      <w:r>
        <w:t>České republiky, zejména občanským zákoníkem.</w:t>
      </w:r>
    </w:p>
    <w:p w14:paraId="61EADC9C" w14:textId="77777777" w:rsidR="008A46B8" w:rsidRDefault="00E22005">
      <w:pPr>
        <w:pStyle w:val="Odstavecseseznamem"/>
        <w:numPr>
          <w:ilvl w:val="1"/>
          <w:numId w:val="1"/>
        </w:numPr>
        <w:tabs>
          <w:tab w:val="left" w:pos="677"/>
        </w:tabs>
        <w:ind w:right="115"/>
      </w:pPr>
      <w:r>
        <w:t>Tato Dohoda je vyhotovena ve 2 stejnopisech, z nichž každý má platnost originálu, přičemž objednatel obdrží 1 vyhotovení a dodavatel 1 vyhotovení.</w:t>
      </w:r>
    </w:p>
    <w:p w14:paraId="0A1E277D" w14:textId="77777777" w:rsidR="008A46B8" w:rsidRDefault="00E22005">
      <w:pPr>
        <w:pStyle w:val="Odstavecseseznamem"/>
        <w:numPr>
          <w:ilvl w:val="1"/>
          <w:numId w:val="1"/>
        </w:numPr>
        <w:tabs>
          <w:tab w:val="left" w:pos="677"/>
        </w:tabs>
        <w:spacing w:before="123"/>
        <w:ind w:right="117"/>
      </w:pP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potvrzují,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tuto</w:t>
      </w:r>
      <w:r>
        <w:rPr>
          <w:spacing w:val="40"/>
        </w:rPr>
        <w:t xml:space="preserve"> </w:t>
      </w:r>
      <w:r>
        <w:t>Dohodu</w:t>
      </w:r>
      <w:r>
        <w:rPr>
          <w:spacing w:val="40"/>
        </w:rPr>
        <w:t xml:space="preserve"> </w:t>
      </w:r>
      <w:r>
        <w:t>před</w:t>
      </w:r>
      <w:r>
        <w:rPr>
          <w:spacing w:val="40"/>
        </w:rPr>
        <w:t xml:space="preserve"> </w:t>
      </w:r>
      <w:r>
        <w:t>jejím</w:t>
      </w:r>
      <w:r>
        <w:rPr>
          <w:spacing w:val="40"/>
        </w:rPr>
        <w:t xml:space="preserve"> </w:t>
      </w:r>
      <w:r>
        <w:t>podpisem</w:t>
      </w:r>
      <w:r>
        <w:rPr>
          <w:spacing w:val="40"/>
        </w:rPr>
        <w:t xml:space="preserve"> </w:t>
      </w:r>
      <w:r>
        <w:t>přečetly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jejím</w:t>
      </w:r>
      <w:r>
        <w:rPr>
          <w:spacing w:val="40"/>
        </w:rPr>
        <w:t xml:space="preserve"> </w:t>
      </w:r>
      <w:r>
        <w:t>obsahem souhlasí. Na d</w:t>
      </w:r>
      <w:r>
        <w:t>ůkaz toho připojují své podpisy.</w:t>
      </w:r>
    </w:p>
    <w:p w14:paraId="41DD9F95" w14:textId="77777777" w:rsidR="008A46B8" w:rsidRDefault="00E22005">
      <w:pPr>
        <w:pStyle w:val="Odstavecseseznamem"/>
        <w:numPr>
          <w:ilvl w:val="1"/>
          <w:numId w:val="1"/>
        </w:numPr>
        <w:tabs>
          <w:tab w:val="left" w:pos="677"/>
        </w:tabs>
        <w:spacing w:before="119"/>
        <w:ind w:right="0"/>
      </w:pPr>
      <w:r>
        <w:t>Dohoda</w:t>
      </w:r>
      <w:r>
        <w:rPr>
          <w:spacing w:val="-7"/>
        </w:rPr>
        <w:t xml:space="preserve"> </w:t>
      </w:r>
      <w:r>
        <w:t>nabývá</w:t>
      </w:r>
      <w:r>
        <w:rPr>
          <w:spacing w:val="-7"/>
        </w:rPr>
        <w:t xml:space="preserve"> </w:t>
      </w:r>
      <w:r>
        <w:t>účinnosti</w:t>
      </w:r>
      <w:r>
        <w:rPr>
          <w:spacing w:val="-5"/>
        </w:rPr>
        <w:t xml:space="preserve"> </w:t>
      </w:r>
      <w:r>
        <w:t>dnem</w:t>
      </w:r>
      <w:r>
        <w:rPr>
          <w:spacing w:val="-6"/>
        </w:rPr>
        <w:t xml:space="preserve"> </w:t>
      </w:r>
      <w:r>
        <w:t>uveřejnění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registru</w:t>
      </w:r>
      <w:r>
        <w:rPr>
          <w:spacing w:val="-3"/>
        </w:rPr>
        <w:t xml:space="preserve"> </w:t>
      </w:r>
      <w:r>
        <w:rPr>
          <w:spacing w:val="-2"/>
        </w:rPr>
        <w:t>smluv.</w:t>
      </w:r>
    </w:p>
    <w:p w14:paraId="6E3FE14E" w14:textId="77777777" w:rsidR="008A46B8" w:rsidRDefault="008A46B8">
      <w:pPr>
        <w:pStyle w:val="Zkladntext"/>
        <w:ind w:left="0"/>
        <w:rPr>
          <w:sz w:val="24"/>
        </w:rPr>
      </w:pPr>
    </w:p>
    <w:p w14:paraId="23B366CC" w14:textId="77777777" w:rsidR="008A46B8" w:rsidRDefault="008A46B8">
      <w:pPr>
        <w:pStyle w:val="Zkladntext"/>
        <w:ind w:left="0"/>
        <w:rPr>
          <w:sz w:val="24"/>
        </w:rPr>
      </w:pPr>
    </w:p>
    <w:p w14:paraId="347B6485" w14:textId="77777777" w:rsidR="008A46B8" w:rsidRDefault="00E22005">
      <w:pPr>
        <w:pStyle w:val="Zkladntext"/>
        <w:tabs>
          <w:tab w:val="left" w:pos="5631"/>
        </w:tabs>
        <w:spacing w:before="150"/>
        <w:jc w:val="both"/>
      </w:pPr>
      <w:r>
        <w:t>V</w:t>
      </w:r>
      <w:r>
        <w:rPr>
          <w:spacing w:val="-2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(dle</w:t>
      </w:r>
      <w:r>
        <w:rPr>
          <w:spacing w:val="-2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rPr>
          <w:spacing w:val="-2"/>
        </w:rPr>
        <w:t>podpisu)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(dle</w:t>
      </w:r>
      <w:r>
        <w:rPr>
          <w:spacing w:val="-2"/>
        </w:rPr>
        <w:t xml:space="preserve"> </w:t>
      </w:r>
      <w:r>
        <w:t xml:space="preserve">el. </w:t>
      </w:r>
      <w:r>
        <w:rPr>
          <w:spacing w:val="-2"/>
        </w:rPr>
        <w:t>podpisu)</w:t>
      </w:r>
    </w:p>
    <w:p w14:paraId="7CCC15EF" w14:textId="77777777" w:rsidR="008A46B8" w:rsidRDefault="008A46B8">
      <w:pPr>
        <w:pStyle w:val="Zkladntext"/>
        <w:spacing w:before="6"/>
        <w:ind w:left="0"/>
        <w:rPr>
          <w:sz w:val="23"/>
        </w:rPr>
      </w:pPr>
    </w:p>
    <w:p w14:paraId="3C7266F0" w14:textId="77777777" w:rsidR="008A46B8" w:rsidRDefault="00E22005">
      <w:pPr>
        <w:pStyle w:val="Zkladntext"/>
        <w:tabs>
          <w:tab w:val="left" w:pos="5631"/>
        </w:tabs>
        <w:spacing w:before="1" w:line="290" w:lineRule="atLeast"/>
        <w:ind w:right="1920"/>
      </w:pPr>
      <w:r>
        <w:pict w14:anchorId="65684AF2">
          <v:shape id="docshape2" o:spid="_x0000_s2052" style="position:absolute;left:0;text-align:left;margin-left:376.95pt;margin-top:28.55pt;width:61.4pt;height:60.95pt;z-index:-15783424;mso-position-horizontal-relative:page" coordorigin="7539,571" coordsize="1228,1219" o:spt="100" adj="0,,0" path="m7760,1532r-107,70l7585,1669r-36,58l7539,1770r8,16l7554,1790r81,l7639,1787r-76,l7574,1742r40,-64l7678,1604r82,-72xm8064,571r-25,16l8027,625r-5,43l8021,698r1,28l8025,756r4,31l8034,820r6,32l8047,886r8,35l8064,955r-6,27l8043,1030r-25,65l7985,1173r-38,86l7903,1351r-48,92l7805,1531r-51,82l7703,1683r-50,55l7606,1774r-43,13l7639,1787r25,-15l7709,1730r51,-62l7817,1586r63,-104l7892,1478r-12,l7943,1366r48,-95l8028,1191r26,-66l8073,1070r13,-47l8130,1023r-1,-1l8103,951r9,-64l8086,887r-14,-55l8062,779r-5,-49l8055,685r1,-19l8059,634r7,-33l8081,578r31,l8096,572r-32,-1xm8735,1476r-11,2l8714,1484r-6,10l8705,1506r3,11l8714,1526r10,7l8735,1535r13,-2l8755,1528r-32,l8712,1518r,-26l8723,1482r32,l8748,1478r-13,-2xm8755,1482r-5,l8759,1492r,26l8750,1528r5,l8758,1526r6,-9l8767,1506r-3,-12l8758,1484r-3,-2xm8744,1486r-20,l8724,1522r6,l8730,1508r16,l8745,1507r-3,-1l8749,1503r-19,l8730,1493r18,l8748,1491r-4,-5xm8746,1508r-8,l8740,1512r2,4l8743,1522r6,l8748,1516r,-5l8746,1508xm8748,1493r-9,l8742,1495r,7l8738,1503r11,l8749,1498r-1,-5xm8130,1023r-44,l8140,1136r56,83l8251,1278r50,40l8343,1345r-74,14l8192,1376r-79,21l8035,1420r-78,28l7880,1478r12,l7945,1461r70,-19l8088,1424r75,-15l8239,1396r76,-11l8389,1376r94,l8463,1367r66,-3l8742,1364r-33,-18l8662,1336r-254,l8379,1319r-29,-17l8322,1283r-27,-20l8245,1214r-45,-58l8162,1092r-32,-69xm8483,1376r-94,l8471,1413r81,28l8627,1459r62,6l8715,1463r19,-5l8747,1449r2,-4l8715,1445r-49,-6l8605,1423r-70,-24l8483,1376xm8754,1436r-9,4l8732,1445r17,l8754,1436xm8742,1364r-135,l8682,1371r56,18l8759,1422r4,-9l8767,1410r,-9l8751,1369r-9,-5xm8558,1327r-34,1l8488,1330r-80,6l8662,1336r-19,-4l8558,1327xm8124,673r-7,37l8109,758r-9,58l8086,887r26,l8113,879r6,-69l8122,742r2,-69xm8112,578r-31,l8095,587r13,14l8118,621r6,30l8129,605r-11,-24l8112,578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D10004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1" type="#_x0000_t202" style="position:absolute;left:0;text-align:left;margin-left:318.3pt;margin-top:57.05pt;width:87.75pt;height:29.65pt;z-index:15729664;mso-position-horizontal-relative:page" filled="f" stroked="f">
            <v:textbox inset="0,0,0,0">
              <w:txbxContent>
                <w:p w14:paraId="49F4AE05" w14:textId="3107AA91" w:rsidR="008A46B8" w:rsidRDefault="008A46B8">
                  <w:pPr>
                    <w:spacing w:before="9"/>
                    <w:rPr>
                      <w:rFonts w:ascii="Trebuchet MS" w:hAnsi="Trebuchet MS"/>
                      <w:sz w:val="49"/>
                    </w:rPr>
                  </w:pPr>
                </w:p>
              </w:txbxContent>
            </v:textbox>
            <w10:wrap anchorx="page"/>
          </v:shape>
        </w:pict>
      </w:r>
      <w:r>
        <w:t>Národní agentura pro komunikační</w:t>
      </w:r>
      <w:r>
        <w:tab/>
        <w:t>O2</w:t>
      </w:r>
      <w:r>
        <w:rPr>
          <w:spacing w:val="-8"/>
        </w:rPr>
        <w:t xml:space="preserve"> </w:t>
      </w:r>
      <w:r>
        <w:t>Czech</w:t>
      </w:r>
      <w:r>
        <w:rPr>
          <w:spacing w:val="-12"/>
        </w:rPr>
        <w:t xml:space="preserve"> </w:t>
      </w:r>
      <w:r>
        <w:t>Republic</w:t>
      </w:r>
      <w:r>
        <w:rPr>
          <w:spacing w:val="-13"/>
        </w:rPr>
        <w:t xml:space="preserve"> </w:t>
      </w:r>
      <w:r>
        <w:t>a.s. a informační technologie, s. p.</w:t>
      </w:r>
    </w:p>
    <w:p w14:paraId="0BE3DB6F" w14:textId="77777777" w:rsidR="008A46B8" w:rsidRDefault="008A46B8">
      <w:pPr>
        <w:spacing w:line="290" w:lineRule="atLeast"/>
        <w:sectPr w:rsidR="008A46B8">
          <w:pgSz w:w="11910" w:h="16840"/>
          <w:pgMar w:top="1320" w:right="1300" w:bottom="920" w:left="740" w:header="0" w:footer="732" w:gutter="0"/>
          <w:cols w:space="708"/>
        </w:sectPr>
      </w:pPr>
    </w:p>
    <w:p w14:paraId="3F65E76C" w14:textId="77777777" w:rsidR="008A46B8" w:rsidRDefault="008A46B8">
      <w:pPr>
        <w:pStyle w:val="Zkladntext"/>
        <w:spacing w:before="2"/>
        <w:ind w:left="0"/>
        <w:rPr>
          <w:sz w:val="35"/>
        </w:rPr>
      </w:pPr>
    </w:p>
    <w:p w14:paraId="20540502" w14:textId="77777777" w:rsidR="008A46B8" w:rsidRDefault="00E22005">
      <w:pPr>
        <w:rPr>
          <w:rFonts w:ascii="Trebuchet MS"/>
          <w:sz w:val="20"/>
        </w:rPr>
      </w:pPr>
      <w:r>
        <w:br w:type="column"/>
      </w:r>
    </w:p>
    <w:p w14:paraId="7D8BF088" w14:textId="323A3966" w:rsidR="008A46B8" w:rsidRDefault="00E22005" w:rsidP="00E22005">
      <w:pPr>
        <w:pStyle w:val="Nadpis1"/>
        <w:spacing w:line="547" w:lineRule="exact"/>
        <w:ind w:left="694"/>
        <w:rPr>
          <w:sz w:val="23"/>
        </w:rPr>
      </w:pPr>
      <w:r>
        <w:br w:type="column"/>
      </w:r>
    </w:p>
    <w:p w14:paraId="7C978491" w14:textId="77777777" w:rsidR="008A46B8" w:rsidRDefault="008A46B8">
      <w:pPr>
        <w:spacing w:line="264" w:lineRule="exact"/>
        <w:rPr>
          <w:rFonts w:ascii="Trebuchet MS"/>
          <w:sz w:val="23"/>
        </w:rPr>
        <w:sectPr w:rsidR="008A46B8">
          <w:type w:val="continuous"/>
          <w:pgSz w:w="11910" w:h="16840"/>
          <w:pgMar w:top="1320" w:right="1300" w:bottom="920" w:left="740" w:header="0" w:footer="732" w:gutter="0"/>
          <w:cols w:num="4" w:space="708" w:equalWidth="0">
            <w:col w:w="2486" w:space="40"/>
            <w:col w:w="1802" w:space="604"/>
            <w:col w:w="1766" w:space="51"/>
            <w:col w:w="3121"/>
          </w:cols>
        </w:sectPr>
      </w:pPr>
    </w:p>
    <w:p w14:paraId="5BC5B5EC" w14:textId="07562154" w:rsidR="008A46B8" w:rsidRDefault="00E22005">
      <w:pPr>
        <w:pStyle w:val="Zkladntext"/>
        <w:tabs>
          <w:tab w:val="left" w:pos="5641"/>
        </w:tabs>
        <w:spacing w:line="252" w:lineRule="exact"/>
      </w:pPr>
      <w:r>
        <w:t>xxx</w:t>
      </w:r>
      <w:r>
        <w:tab/>
        <w:t>xxx</w:t>
      </w:r>
    </w:p>
    <w:p w14:paraId="4AE0F354" w14:textId="53BCA7A6" w:rsidR="008A46B8" w:rsidRDefault="00E22005">
      <w:pPr>
        <w:pStyle w:val="Zkladntext"/>
        <w:tabs>
          <w:tab w:val="left" w:pos="5641"/>
        </w:tabs>
        <w:spacing w:before="40"/>
      </w:pPr>
      <w:r>
        <w:rPr>
          <w:spacing w:val="-2"/>
        </w:rPr>
        <w:t>xxx</w:t>
      </w:r>
      <w:r>
        <w:tab/>
        <w:t>xxx</w:t>
      </w:r>
    </w:p>
    <w:p w14:paraId="32E3BA21" w14:textId="78704909" w:rsidR="008A46B8" w:rsidRDefault="00E22005">
      <w:pPr>
        <w:pStyle w:val="Zkladntext"/>
        <w:tabs>
          <w:tab w:val="left" w:pos="5631"/>
        </w:tabs>
        <w:spacing w:before="35" w:line="278" w:lineRule="auto"/>
        <w:ind w:right="1920"/>
      </w:pPr>
      <w:r>
        <w:t>Národní agentura pro komunikační</w:t>
      </w:r>
      <w:r>
        <w:tab/>
      </w:r>
      <w:r>
        <w:t>O2</w:t>
      </w:r>
      <w:r>
        <w:rPr>
          <w:spacing w:val="-8"/>
        </w:rPr>
        <w:t xml:space="preserve"> </w:t>
      </w:r>
      <w:r>
        <w:t>Czech</w:t>
      </w:r>
      <w:r>
        <w:rPr>
          <w:spacing w:val="-12"/>
        </w:rPr>
        <w:t xml:space="preserve"> </w:t>
      </w:r>
      <w:r>
        <w:t>Republic</w:t>
      </w:r>
      <w:r>
        <w:rPr>
          <w:spacing w:val="-13"/>
        </w:rPr>
        <w:t xml:space="preserve"> </w:t>
      </w:r>
      <w:r>
        <w:t>a.s. a informační technologie s.p.</w:t>
      </w:r>
    </w:p>
    <w:sectPr w:rsidR="008A46B8">
      <w:type w:val="continuous"/>
      <w:pgSz w:w="11910" w:h="16840"/>
      <w:pgMar w:top="1320" w:right="1300" w:bottom="920" w:left="74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EA8B" w14:textId="77777777" w:rsidR="00000000" w:rsidRDefault="00E22005">
      <w:r>
        <w:separator/>
      </w:r>
    </w:p>
  </w:endnote>
  <w:endnote w:type="continuationSeparator" w:id="0">
    <w:p w14:paraId="739D7D8A" w14:textId="77777777" w:rsidR="00000000" w:rsidRDefault="00E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8FD" w14:textId="77777777" w:rsidR="008A46B8" w:rsidRDefault="00E22005">
    <w:pPr>
      <w:pStyle w:val="Zkladntext"/>
      <w:spacing w:line="14" w:lineRule="auto"/>
      <w:ind w:left="0"/>
      <w:rPr>
        <w:sz w:val="20"/>
      </w:rPr>
    </w:pPr>
    <w:r>
      <w:pict w14:anchorId="2BD5F3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7.65pt;margin-top:794.35pt;width:18.05pt;height:13.3pt;z-index:-251658752;mso-position-horizontal-relative:page;mso-position-vertical-relative:page" filled="f" stroked="f">
          <v:textbox inset="0,0,0,0">
            <w:txbxContent>
              <w:p w14:paraId="04802B77" w14:textId="77777777" w:rsidR="008A46B8" w:rsidRDefault="00E22005">
                <w:pPr>
                  <w:spacing w:before="15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/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BDB8" w14:textId="77777777" w:rsidR="00000000" w:rsidRDefault="00E22005">
      <w:r>
        <w:separator/>
      </w:r>
    </w:p>
  </w:footnote>
  <w:footnote w:type="continuationSeparator" w:id="0">
    <w:p w14:paraId="27970FBD" w14:textId="77777777" w:rsidR="00000000" w:rsidRDefault="00E2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7AA4"/>
    <w:multiLevelType w:val="multilevel"/>
    <w:tmpl w:val="638C8792"/>
    <w:lvl w:ilvl="0">
      <w:start w:val="1"/>
      <w:numFmt w:val="decimal"/>
      <w:lvlText w:val="%1"/>
      <w:lvlJc w:val="left"/>
      <w:pPr>
        <w:ind w:left="67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7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46453B6"/>
    <w:multiLevelType w:val="multilevel"/>
    <w:tmpl w:val="87345774"/>
    <w:lvl w:ilvl="0">
      <w:start w:val="2"/>
      <w:numFmt w:val="decimal"/>
      <w:lvlText w:val="%1"/>
      <w:lvlJc w:val="left"/>
      <w:pPr>
        <w:ind w:left="67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7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E940B2A"/>
    <w:multiLevelType w:val="multilevel"/>
    <w:tmpl w:val="7B584CDA"/>
    <w:lvl w:ilvl="0">
      <w:start w:val="3"/>
      <w:numFmt w:val="decimal"/>
      <w:lvlText w:val="%1"/>
      <w:lvlJc w:val="left"/>
      <w:pPr>
        <w:ind w:left="676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1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7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7" w:hanging="567"/>
      </w:pPr>
      <w:rPr>
        <w:rFonts w:hint="default"/>
        <w:lang w:val="cs-CZ" w:eastAsia="en-US" w:bidi="ar-SA"/>
      </w:rPr>
    </w:lvl>
  </w:abstractNum>
  <w:num w:numId="1" w16cid:durableId="813333949">
    <w:abstractNumId w:val="2"/>
  </w:num>
  <w:num w:numId="2" w16cid:durableId="1197085114">
    <w:abstractNumId w:val="1"/>
  </w:num>
  <w:num w:numId="3" w16cid:durableId="163224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6B8"/>
    <w:rsid w:val="008A46B8"/>
    <w:rsid w:val="00E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CC1040E"/>
  <w15:docId w15:val="{2229C23C-2E98-4E7E-A3CE-EE92B176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9"/>
      <w:szCs w:val="49"/>
    </w:rPr>
  </w:style>
  <w:style w:type="paragraph" w:styleId="Nadpis2">
    <w:name w:val="heading 2"/>
    <w:basedOn w:val="Normln"/>
    <w:uiPriority w:val="9"/>
    <w:unhideWhenUsed/>
    <w:qFormat/>
    <w:pPr>
      <w:ind w:left="820" w:right="301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76"/>
    </w:pPr>
  </w:style>
  <w:style w:type="paragraph" w:styleId="Odstavecseseznamem">
    <w:name w:val="List Paragraph"/>
    <w:basedOn w:val="Normln"/>
    <w:uiPriority w:val="1"/>
    <w:qFormat/>
    <w:pPr>
      <w:spacing w:before="118"/>
      <w:ind w:left="676" w:right="105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Volková</dc:creator>
  <cp:lastModifiedBy>Zachová Jaroslava</cp:lastModifiedBy>
  <cp:revision>2</cp:revision>
  <dcterms:created xsi:type="dcterms:W3CDTF">2022-09-23T13:29:00Z</dcterms:created>
  <dcterms:modified xsi:type="dcterms:W3CDTF">2022-09-23T13:31:00Z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pro Microsoft 365</vt:lpwstr>
  </property>
</Properties>
</file>