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F731" w14:textId="77777777" w:rsidR="000A37C7" w:rsidRPr="00B93854" w:rsidRDefault="000A37C7" w:rsidP="000A37C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bookmarkStart w:id="0" w:name="_Hlk111094471"/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BIONIK Stapro Group s.r.o.</w:t>
      </w:r>
    </w:p>
    <w:p w14:paraId="21B2DAE2" w14:textId="77777777" w:rsidR="000A37C7" w:rsidRPr="00B93854" w:rsidRDefault="000A37C7" w:rsidP="000A37C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>
        <w:rPr>
          <w:rFonts w:eastAsia="Times New Roman"/>
          <w:sz w:val="20"/>
          <w:szCs w:val="20"/>
          <w:lang w:eastAsia="cs-CZ"/>
        </w:rPr>
        <w:t>:</w:t>
      </w:r>
      <w:r>
        <w:rPr>
          <w:rFonts w:eastAsia="Times New Roman"/>
          <w:sz w:val="20"/>
          <w:szCs w:val="20"/>
          <w:lang w:eastAsia="cs-CZ"/>
        </w:rPr>
        <w:tab/>
        <w:t>02040638</w:t>
      </w:r>
    </w:p>
    <w:p w14:paraId="6583DFE6" w14:textId="77777777" w:rsidR="000A37C7" w:rsidRPr="00B93854" w:rsidRDefault="000A37C7" w:rsidP="000A37C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CZ699004728</w:t>
      </w:r>
    </w:p>
    <w:p w14:paraId="0F31658E" w14:textId="77777777" w:rsidR="000A37C7" w:rsidRPr="00B93854" w:rsidRDefault="000A37C7" w:rsidP="000A37C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Pernštýnské náměstí 51, Pardubice – Staré město, PSČ 530 02</w:t>
      </w:r>
    </w:p>
    <w:p w14:paraId="7511BABF" w14:textId="77777777" w:rsidR="000A37C7" w:rsidRDefault="000A37C7" w:rsidP="000A37C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Ing. Leoš Raibr, jednatel společnosti</w:t>
      </w:r>
    </w:p>
    <w:p w14:paraId="44361A23" w14:textId="77777777" w:rsidR="000A37C7" w:rsidRPr="00B93854" w:rsidRDefault="000A37C7" w:rsidP="000A37C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Mgr. Michal Kyncl, aplikační specialista, pověřený jednat na základě písemné plné moci</w:t>
      </w:r>
    </w:p>
    <w:p w14:paraId="6A958827" w14:textId="77777777" w:rsidR="000A37C7" w:rsidRPr="00B93854" w:rsidRDefault="000A37C7" w:rsidP="000A37C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ČSOB, a.s., pobočka Pardubice</w:t>
      </w:r>
    </w:p>
    <w:p w14:paraId="05953F66" w14:textId="77777777" w:rsidR="000A37C7" w:rsidRPr="00B93854" w:rsidRDefault="000A37C7" w:rsidP="000A37C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261153304/0300</w:t>
      </w:r>
    </w:p>
    <w:p w14:paraId="49ADEFDD" w14:textId="77777777" w:rsidR="000A37C7" w:rsidRDefault="000A37C7" w:rsidP="000A37C7">
      <w:pPr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>
        <w:rPr>
          <w:rFonts w:eastAsia="Times New Roman"/>
          <w:sz w:val="20"/>
          <w:szCs w:val="20"/>
          <w:lang w:eastAsia="cs-CZ"/>
        </w:rPr>
        <w:t>u Krajského soudu v Hradci Králové</w:t>
      </w:r>
      <w:r w:rsidRPr="00B93854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 xml:space="preserve">spisová značka C </w:t>
      </w:r>
    </w:p>
    <w:p w14:paraId="30D7D9E3" w14:textId="77777777" w:rsidR="000A37C7" w:rsidRPr="00B93854" w:rsidRDefault="000A37C7" w:rsidP="000A37C7">
      <w:pPr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32600</w:t>
      </w:r>
    </w:p>
    <w:bookmarkEnd w:id="0"/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21979DD9" w:rsidR="00F56C56" w:rsidRPr="0016146E" w:rsidRDefault="007B4C5B" w:rsidP="007B4C5B">
      <w:pPr>
        <w:spacing w:after="0" w:line="240" w:lineRule="auto"/>
        <w:ind w:left="708" w:firstLine="708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                          </w:t>
      </w:r>
      <w:r w:rsidR="007A330C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562EEB2B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bookmarkStart w:id="1" w:name="_Hlk111094478"/>
      <w:r w:rsidR="000A37C7">
        <w:rPr>
          <w:rFonts w:ascii="Verdana" w:hAnsi="Verdana"/>
          <w:b/>
          <w:sz w:val="20"/>
          <w:lang w:eastAsia="cs-CZ"/>
        </w:rPr>
        <w:t>Pojízdný ultrazvukový přístroj – Sonograf Mindray</w:t>
      </w:r>
      <w:bookmarkEnd w:id="1"/>
      <w:r w:rsidR="000A37C7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</w:t>
      </w:r>
      <w:r w:rsidRPr="00E11F6B">
        <w:rPr>
          <w:rFonts w:ascii="Verdana" w:hAnsi="Verdana"/>
          <w:sz w:val="20"/>
          <w:lang w:eastAsia="cs-CZ"/>
        </w:rPr>
        <w:lastRenderedPageBreak/>
        <w:t xml:space="preserve">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456D1A2F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 xml:space="preserve">veřejné zakázce na dodávky zadávané </w:t>
      </w:r>
      <w:r w:rsidR="00253010">
        <w:rPr>
          <w:rFonts w:ascii="Verdana" w:hAnsi="Verdana"/>
          <w:sz w:val="20"/>
          <w:lang w:eastAsia="cs-CZ"/>
        </w:rPr>
        <w:t>mimo režim zákona</w:t>
      </w:r>
      <w:r w:rsidRPr="006570E2">
        <w:rPr>
          <w:rFonts w:ascii="Verdana" w:hAnsi="Verdana"/>
          <w:sz w:val="20"/>
          <w:lang w:eastAsia="cs-CZ"/>
        </w:rPr>
        <w:t xml:space="preserve">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="0069331B" w:rsidRPr="00C84CEC">
        <w:rPr>
          <w:rFonts w:ascii="Verdana" w:hAnsi="Verdana"/>
          <w:b/>
          <w:i/>
          <w:sz w:val="20"/>
          <w:lang w:eastAsia="cs-CZ"/>
        </w:rPr>
        <w:t>„</w:t>
      </w:r>
      <w:r w:rsidR="0069331B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69331B">
        <w:rPr>
          <w:rFonts w:ascii="Verdana" w:hAnsi="Verdana"/>
          <w:b/>
          <w:i/>
          <w:sz w:val="20"/>
          <w:lang w:eastAsia="cs-CZ"/>
        </w:rPr>
        <w:t xml:space="preserve"> - </w:t>
      </w:r>
      <w:r w:rsidR="000A37C7">
        <w:rPr>
          <w:rFonts w:ascii="Verdana" w:hAnsi="Verdana"/>
          <w:b/>
          <w:sz w:val="20"/>
          <w:lang w:eastAsia="cs-CZ"/>
        </w:rPr>
        <w:t>pojízdný ultrazvukový přístroj - Sonograf</w:t>
      </w:r>
      <w:r w:rsidR="0069331B" w:rsidRPr="00732FAF">
        <w:rPr>
          <w:rFonts w:ascii="Verdana" w:hAnsi="Verdana"/>
          <w:b/>
          <w:i/>
          <w:sz w:val="20"/>
          <w:lang w:eastAsia="cs-CZ"/>
        </w:rPr>
        <w:t>“</w:t>
      </w:r>
      <w:r w:rsidR="0069331B" w:rsidRPr="00732FAF">
        <w:rPr>
          <w:rFonts w:ascii="Verdana" w:hAnsi="Verdana"/>
          <w:b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37F2E265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0A37C7">
        <w:rPr>
          <w:rFonts w:ascii="Verdana" w:hAnsi="Verdana"/>
          <w:sz w:val="20"/>
          <w:lang w:eastAsia="cs-CZ"/>
        </w:rPr>
        <w:t>7.500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 xml:space="preserve">, je objednatel </w:t>
      </w:r>
      <w:r>
        <w:rPr>
          <w:rFonts w:ascii="Verdana" w:hAnsi="Verdana"/>
          <w:sz w:val="20"/>
          <w:lang w:eastAsia="cs-CZ"/>
        </w:rPr>
        <w:lastRenderedPageBreak/>
        <w:t>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0A54FF32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241D2F">
        <w:rPr>
          <w:rFonts w:ascii="Verdana" w:hAnsi="Verdana"/>
          <w:sz w:val="20"/>
          <w:lang w:eastAsia="cs-CZ"/>
        </w:rPr>
        <w:t>(OÚ)</w:t>
      </w:r>
    </w:p>
    <w:p w14:paraId="3EBFAAD7" w14:textId="142A0232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41D2F">
        <w:rPr>
          <w:rFonts w:ascii="Verdana" w:hAnsi="Verdana"/>
          <w:sz w:val="20"/>
          <w:lang w:eastAsia="cs-CZ"/>
        </w:rPr>
        <w:t>(OÚ)</w:t>
      </w:r>
    </w:p>
    <w:p w14:paraId="2DE89236" w14:textId="77777777" w:rsidR="00241D2F" w:rsidRDefault="00A13F7A" w:rsidP="00241D2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41D2F">
        <w:rPr>
          <w:rFonts w:ascii="Verdana" w:hAnsi="Verdana"/>
          <w:sz w:val="20"/>
          <w:lang w:eastAsia="cs-CZ"/>
        </w:rPr>
        <w:t>(OÚ)</w:t>
      </w:r>
    </w:p>
    <w:p w14:paraId="453A466A" w14:textId="71503AB1" w:rsidR="00AB1FA8" w:rsidRPr="002B5AA8" w:rsidRDefault="00AB1FA8" w:rsidP="00241D2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lastRenderedPageBreak/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3832A837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241D2F">
        <w:rPr>
          <w:rFonts w:ascii="Verdana" w:hAnsi="Verdana"/>
          <w:sz w:val="20"/>
          <w:lang w:eastAsia="cs-CZ"/>
        </w:rPr>
        <w:t>(OÚ)</w:t>
      </w:r>
    </w:p>
    <w:p w14:paraId="100EF2DA" w14:textId="77777777" w:rsidR="00241D2F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69331B">
        <w:rPr>
          <w:rFonts w:ascii="Verdana" w:hAnsi="Verdana"/>
          <w:sz w:val="20"/>
          <w:lang w:eastAsia="cs-CZ"/>
        </w:rPr>
        <w:tab/>
      </w:r>
      <w:r w:rsidR="00241D2F">
        <w:rPr>
          <w:rFonts w:ascii="Verdana" w:hAnsi="Verdana"/>
          <w:sz w:val="20"/>
          <w:lang w:eastAsia="cs-CZ"/>
        </w:rPr>
        <w:t>(OÚ)</w:t>
      </w:r>
    </w:p>
    <w:p w14:paraId="189B9EC2" w14:textId="6CB33559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41D2F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63"/>
        <w:gridCol w:w="43"/>
        <w:gridCol w:w="4520"/>
        <w:gridCol w:w="86"/>
      </w:tblGrid>
      <w:tr w:rsidR="004B78A7" w:rsidRPr="00882036" w14:paraId="6D5EBC58" w14:textId="77777777" w:rsidTr="004B78A7">
        <w:trPr>
          <w:gridAfter w:val="1"/>
          <w:wAfter w:w="86" w:type="dxa"/>
          <w:trHeight w:val="269"/>
          <w:jc w:val="center"/>
        </w:trPr>
        <w:tc>
          <w:tcPr>
            <w:tcW w:w="4563" w:type="dxa"/>
          </w:tcPr>
          <w:p w14:paraId="0ADDA33B" w14:textId="77777777" w:rsidR="004B78A7" w:rsidRPr="003B4CC9" w:rsidRDefault="004B78A7" w:rsidP="008E58E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>
              <w:rPr>
                <w:sz w:val="20"/>
                <w:szCs w:val="20"/>
                <w:lang w:eastAsia="cs-CZ"/>
              </w:rPr>
              <w:t> Pardubicích dne _________________</w:t>
            </w:r>
          </w:p>
        </w:tc>
        <w:tc>
          <w:tcPr>
            <w:tcW w:w="4563" w:type="dxa"/>
            <w:gridSpan w:val="2"/>
            <w:shd w:val="clear" w:color="auto" w:fill="auto"/>
          </w:tcPr>
          <w:p w14:paraId="73CBD2B1" w14:textId="77777777" w:rsidR="004B78A7" w:rsidRPr="00882036" w:rsidRDefault="004B78A7" w:rsidP="008E58E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E84E0A"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B811C9" w:rsidRPr="00882036" w14:paraId="6F22E145" w14:textId="77777777" w:rsidTr="008E58EF">
        <w:trPr>
          <w:trHeight w:val="120"/>
          <w:jc w:val="center"/>
        </w:trPr>
        <w:tc>
          <w:tcPr>
            <w:tcW w:w="4606" w:type="dxa"/>
            <w:gridSpan w:val="2"/>
          </w:tcPr>
          <w:p w14:paraId="18091484" w14:textId="77777777" w:rsidR="00B811C9" w:rsidRPr="00882036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F64C26D" w14:textId="77777777" w:rsidR="00B811C9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783AB76" w14:textId="77777777" w:rsidR="00B811C9" w:rsidRPr="00882036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1559BDF" w14:textId="77777777" w:rsidR="00B811C9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C4970DB" w14:textId="77777777" w:rsidR="00B811C9" w:rsidRDefault="00B811C9" w:rsidP="008E58E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BIONIK Stapro Group s.r.o.</w:t>
            </w:r>
          </w:p>
          <w:p w14:paraId="587B8043" w14:textId="77777777" w:rsidR="00B811C9" w:rsidRDefault="00B811C9" w:rsidP="008E58E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Mgr. Michal Kyncl</w:t>
            </w:r>
          </w:p>
          <w:p w14:paraId="14F46A2D" w14:textId="77777777" w:rsidR="00B811C9" w:rsidRDefault="00B811C9" w:rsidP="008E58E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Aplikační specialista,</w:t>
            </w:r>
          </w:p>
          <w:p w14:paraId="7F9A0008" w14:textId="77777777" w:rsidR="00B811C9" w:rsidRDefault="00B811C9" w:rsidP="008E58E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Pověřený jednat na základě písemné </w:t>
            </w:r>
          </w:p>
          <w:p w14:paraId="5200423E" w14:textId="77777777" w:rsidR="00B811C9" w:rsidRDefault="00B811C9" w:rsidP="008E58E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plné moci</w:t>
            </w:r>
          </w:p>
          <w:p w14:paraId="6EFA30CB" w14:textId="77777777" w:rsidR="00B811C9" w:rsidRPr="007B5F6A" w:rsidRDefault="00B811C9" w:rsidP="008E58E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  <w:gridSpan w:val="2"/>
          </w:tcPr>
          <w:p w14:paraId="0F2EC7A5" w14:textId="77777777" w:rsidR="00B811C9" w:rsidRPr="00882036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0ADCE00" w14:textId="77777777" w:rsidR="00B811C9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6C48D4B" w14:textId="77777777" w:rsidR="00B811C9" w:rsidRPr="00882036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D6D7865" w14:textId="77777777" w:rsidR="00B811C9" w:rsidRPr="00882036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BB0A82A" w14:textId="77777777" w:rsidR="00B811C9" w:rsidRPr="00882036" w:rsidRDefault="00B811C9" w:rsidP="008E58E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3301545" w14:textId="77777777" w:rsidR="00B811C9" w:rsidRPr="00882036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46ACD2E1" w14:textId="77777777" w:rsidR="00B811C9" w:rsidRPr="00882036" w:rsidRDefault="00B811C9" w:rsidP="008E5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</w:tbl>
    <w:p w14:paraId="3E2C4FCA" w14:textId="0033F165" w:rsidR="00B811C9" w:rsidRPr="00882036" w:rsidRDefault="00B811C9" w:rsidP="00B811C9">
      <w:pPr>
        <w:spacing w:after="0" w:line="240" w:lineRule="auto"/>
        <w:jc w:val="cent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                               </w:t>
      </w:r>
      <w:r w:rsidRPr="00882036">
        <w:rPr>
          <w:sz w:val="20"/>
          <w:szCs w:val="20"/>
          <w:lang w:eastAsia="cs-CZ"/>
        </w:rPr>
        <w:t>……………………………………………….</w:t>
      </w:r>
    </w:p>
    <w:p w14:paraId="327B5327" w14:textId="04CC91C6" w:rsidR="00B811C9" w:rsidRDefault="00B811C9" w:rsidP="00B811C9">
      <w:pPr>
        <w:spacing w:after="0" w:line="240" w:lineRule="auto"/>
        <w:ind w:left="4248"/>
        <w:jc w:val="center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      </w:t>
      </w:r>
      <w:r w:rsidRPr="00882036">
        <w:rPr>
          <w:b/>
          <w:sz w:val="20"/>
          <w:szCs w:val="20"/>
          <w:lang w:eastAsia="cs-CZ"/>
        </w:rPr>
        <w:t xml:space="preserve">Oblastní nemocnice Mladá Boleslav, </w:t>
      </w:r>
    </w:p>
    <w:p w14:paraId="44FDC08A" w14:textId="616871A6" w:rsidR="00B811C9" w:rsidRPr="00882036" w:rsidRDefault="00B811C9" w:rsidP="00B811C9">
      <w:pPr>
        <w:spacing w:after="0" w:line="240" w:lineRule="auto"/>
        <w:ind w:left="2832" w:firstLine="708"/>
        <w:jc w:val="center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                </w:t>
      </w:r>
      <w:r w:rsidRPr="00882036">
        <w:rPr>
          <w:b/>
          <w:sz w:val="20"/>
          <w:szCs w:val="20"/>
          <w:lang w:eastAsia="cs-CZ"/>
        </w:rPr>
        <w:t>a.s., nemocnice Středočeského kraje</w:t>
      </w:r>
    </w:p>
    <w:p w14:paraId="55D044E6" w14:textId="731CC829" w:rsidR="00B811C9" w:rsidRPr="00882036" w:rsidRDefault="00B811C9" w:rsidP="00B811C9">
      <w:pPr>
        <w:spacing w:after="0" w:line="240" w:lineRule="auto"/>
        <w:jc w:val="cent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                             Mgr</w:t>
      </w:r>
      <w:r w:rsidRPr="00882036">
        <w:rPr>
          <w:sz w:val="20"/>
          <w:szCs w:val="20"/>
          <w:lang w:eastAsia="cs-CZ"/>
        </w:rPr>
        <w:t xml:space="preserve">. </w:t>
      </w:r>
      <w:r>
        <w:rPr>
          <w:sz w:val="20"/>
          <w:szCs w:val="20"/>
          <w:lang w:eastAsia="cs-CZ"/>
        </w:rPr>
        <w:t>Daniel Marek</w:t>
      </w:r>
    </w:p>
    <w:p w14:paraId="71F8DD02" w14:textId="1133FB58" w:rsidR="00B811C9" w:rsidRPr="00882036" w:rsidRDefault="00B811C9" w:rsidP="00B811C9">
      <w:pPr>
        <w:spacing w:after="0" w:line="240" w:lineRule="auto"/>
        <w:ind w:left="4248"/>
        <w:jc w:val="cent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místo</w:t>
      </w:r>
      <w:r w:rsidRPr="00882036">
        <w:rPr>
          <w:sz w:val="20"/>
          <w:szCs w:val="20"/>
          <w:lang w:eastAsia="cs-CZ"/>
        </w:rPr>
        <w:t>předseda představenstva</w:t>
      </w:r>
    </w:p>
    <w:sectPr w:rsidR="00B811C9" w:rsidRPr="0088203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4215" w14:textId="77777777" w:rsidR="00C348CD" w:rsidRDefault="00C348CD">
      <w:r>
        <w:separator/>
      </w:r>
    </w:p>
  </w:endnote>
  <w:endnote w:type="continuationSeparator" w:id="0">
    <w:p w14:paraId="655D86B8" w14:textId="77777777" w:rsidR="00C348CD" w:rsidRDefault="00C3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241D2F">
      <w:fldChar w:fldCharType="begin"/>
    </w:r>
    <w:r w:rsidR="00241D2F">
      <w:instrText xml:space="preserve"> NUMPAGES  \* Arabic  \* MERGEFORMAT </w:instrText>
    </w:r>
    <w:r w:rsidR="00241D2F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241D2F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2BE0" w14:textId="77777777" w:rsidR="00C348CD" w:rsidRDefault="00C348CD">
      <w:r>
        <w:separator/>
      </w:r>
    </w:p>
  </w:footnote>
  <w:footnote w:type="continuationSeparator" w:id="0">
    <w:p w14:paraId="0705DC05" w14:textId="77777777" w:rsidR="00C348CD" w:rsidRDefault="00C3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92794305">
    <w:abstractNumId w:val="14"/>
  </w:num>
  <w:num w:numId="2" w16cid:durableId="625085236">
    <w:abstractNumId w:val="13"/>
  </w:num>
  <w:num w:numId="3" w16cid:durableId="927811707">
    <w:abstractNumId w:val="14"/>
  </w:num>
  <w:num w:numId="4" w16cid:durableId="328095215">
    <w:abstractNumId w:val="14"/>
  </w:num>
  <w:num w:numId="5" w16cid:durableId="1129785945">
    <w:abstractNumId w:val="14"/>
  </w:num>
  <w:num w:numId="6" w16cid:durableId="633143441">
    <w:abstractNumId w:val="14"/>
  </w:num>
  <w:num w:numId="7" w16cid:durableId="23410767">
    <w:abstractNumId w:val="14"/>
  </w:num>
  <w:num w:numId="8" w16cid:durableId="1920752922">
    <w:abstractNumId w:val="14"/>
  </w:num>
  <w:num w:numId="9" w16cid:durableId="1862892581">
    <w:abstractNumId w:val="14"/>
  </w:num>
  <w:num w:numId="10" w16cid:durableId="1531845123">
    <w:abstractNumId w:val="17"/>
  </w:num>
  <w:num w:numId="11" w16cid:durableId="548305108">
    <w:abstractNumId w:val="14"/>
  </w:num>
  <w:num w:numId="12" w16cid:durableId="2108192206">
    <w:abstractNumId w:val="14"/>
  </w:num>
  <w:num w:numId="13" w16cid:durableId="267586050">
    <w:abstractNumId w:val="14"/>
  </w:num>
  <w:num w:numId="14" w16cid:durableId="1244416808">
    <w:abstractNumId w:val="14"/>
  </w:num>
  <w:num w:numId="15" w16cid:durableId="43679425">
    <w:abstractNumId w:val="14"/>
  </w:num>
  <w:num w:numId="16" w16cid:durableId="1546214405">
    <w:abstractNumId w:val="18"/>
  </w:num>
  <w:num w:numId="17" w16cid:durableId="711542936">
    <w:abstractNumId w:val="16"/>
  </w:num>
  <w:num w:numId="18" w16cid:durableId="1596480754">
    <w:abstractNumId w:val="14"/>
  </w:num>
  <w:num w:numId="19" w16cid:durableId="1143692573">
    <w:abstractNumId w:val="14"/>
  </w:num>
  <w:num w:numId="20" w16cid:durableId="1604803153">
    <w:abstractNumId w:val="14"/>
  </w:num>
  <w:num w:numId="21" w16cid:durableId="109710789">
    <w:abstractNumId w:val="14"/>
  </w:num>
  <w:num w:numId="22" w16cid:durableId="68579096">
    <w:abstractNumId w:val="22"/>
  </w:num>
  <w:num w:numId="23" w16cid:durableId="766923415">
    <w:abstractNumId w:val="21"/>
  </w:num>
  <w:num w:numId="24" w16cid:durableId="298415871">
    <w:abstractNumId w:val="20"/>
  </w:num>
  <w:num w:numId="25" w16cid:durableId="300576573">
    <w:abstractNumId w:val="14"/>
  </w:num>
  <w:num w:numId="26" w16cid:durableId="1810901039">
    <w:abstractNumId w:val="14"/>
  </w:num>
  <w:num w:numId="27" w16cid:durableId="820389533">
    <w:abstractNumId w:val="14"/>
  </w:num>
  <w:num w:numId="28" w16cid:durableId="572355120">
    <w:abstractNumId w:val="11"/>
  </w:num>
  <w:num w:numId="29" w16cid:durableId="1469128908">
    <w:abstractNumId w:val="19"/>
  </w:num>
  <w:num w:numId="30" w16cid:durableId="1064185790">
    <w:abstractNumId w:val="10"/>
  </w:num>
  <w:num w:numId="31" w16cid:durableId="1907062880">
    <w:abstractNumId w:val="14"/>
  </w:num>
  <w:num w:numId="32" w16cid:durableId="589969375">
    <w:abstractNumId w:val="14"/>
  </w:num>
  <w:num w:numId="33" w16cid:durableId="193814254">
    <w:abstractNumId w:val="14"/>
  </w:num>
  <w:num w:numId="34" w16cid:durableId="2038238809">
    <w:abstractNumId w:val="14"/>
  </w:num>
  <w:num w:numId="35" w16cid:durableId="1853686796">
    <w:abstractNumId w:val="14"/>
  </w:num>
  <w:num w:numId="36" w16cid:durableId="1031496501">
    <w:abstractNumId w:val="14"/>
  </w:num>
  <w:num w:numId="37" w16cid:durableId="2047093628">
    <w:abstractNumId w:val="14"/>
  </w:num>
  <w:num w:numId="38" w16cid:durableId="1163739868">
    <w:abstractNumId w:val="14"/>
  </w:num>
  <w:num w:numId="39" w16cid:durableId="1995256385">
    <w:abstractNumId w:val="14"/>
  </w:num>
  <w:num w:numId="40" w16cid:durableId="710886495">
    <w:abstractNumId w:val="14"/>
  </w:num>
  <w:num w:numId="41" w16cid:durableId="184251206">
    <w:abstractNumId w:val="15"/>
  </w:num>
  <w:num w:numId="42" w16cid:durableId="700277140">
    <w:abstractNumId w:val="14"/>
  </w:num>
  <w:num w:numId="43" w16cid:durableId="1324698729">
    <w:abstractNumId w:val="14"/>
  </w:num>
  <w:num w:numId="44" w16cid:durableId="173616256">
    <w:abstractNumId w:val="14"/>
  </w:num>
  <w:num w:numId="45" w16cid:durableId="141709389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7C7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1D2F"/>
    <w:rsid w:val="002455B6"/>
    <w:rsid w:val="00251AB1"/>
    <w:rsid w:val="0025211B"/>
    <w:rsid w:val="00253010"/>
    <w:rsid w:val="0026484B"/>
    <w:rsid w:val="00266895"/>
    <w:rsid w:val="00266B68"/>
    <w:rsid w:val="0026761F"/>
    <w:rsid w:val="002801D5"/>
    <w:rsid w:val="00282B6F"/>
    <w:rsid w:val="00284C41"/>
    <w:rsid w:val="002855CD"/>
    <w:rsid w:val="00287860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C713C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212B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B78A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31B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B4C5B"/>
    <w:rsid w:val="007C06AA"/>
    <w:rsid w:val="007C1988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28E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4464F"/>
    <w:rsid w:val="00B504B0"/>
    <w:rsid w:val="00B5511A"/>
    <w:rsid w:val="00B61A21"/>
    <w:rsid w:val="00B63188"/>
    <w:rsid w:val="00B65EB9"/>
    <w:rsid w:val="00B7634E"/>
    <w:rsid w:val="00B800D2"/>
    <w:rsid w:val="00B811C9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3C72"/>
    <w:rsid w:val="00BE71E7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348CD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86874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67862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FAF6-087D-494F-B80D-1BE1C5E1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2365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42</cp:revision>
  <cp:lastPrinted>2022-08-30T10:38:00Z</cp:lastPrinted>
  <dcterms:created xsi:type="dcterms:W3CDTF">2021-10-19T16:42:00Z</dcterms:created>
  <dcterms:modified xsi:type="dcterms:W3CDTF">2022-09-23T11:10:00Z</dcterms:modified>
</cp:coreProperties>
</file>