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7219"/>
      </w:tblGrid>
      <w:tr w:rsidR="000F5861">
        <w:trPr>
          <w:trHeight w:hRule="exact" w:val="1181"/>
          <w:jc w:val="center"/>
        </w:trPr>
        <w:tc>
          <w:tcPr>
            <w:tcW w:w="2414" w:type="dxa"/>
            <w:shd w:val="clear" w:color="auto" w:fill="FFFFFF"/>
          </w:tcPr>
          <w:p w:rsidR="000F5861" w:rsidRDefault="000F5861">
            <w:pPr>
              <w:rPr>
                <w:sz w:val="10"/>
                <w:szCs w:val="10"/>
              </w:rPr>
            </w:pPr>
            <w:bookmarkStart w:id="0" w:name="_GoBack"/>
            <w:bookmarkEnd w:id="0"/>
          </w:p>
        </w:tc>
        <w:tc>
          <w:tcPr>
            <w:tcW w:w="7219" w:type="dxa"/>
            <w:shd w:val="clear" w:color="auto" w:fill="FFFFFF"/>
            <w:vAlign w:val="bottom"/>
          </w:tcPr>
          <w:p w:rsidR="00CA1D0C" w:rsidRDefault="000A1DC7" w:rsidP="00CA1D0C">
            <w:pPr>
              <w:pStyle w:val="Other10"/>
              <w:spacing w:after="0" w:line="240" w:lineRule="auto"/>
              <w:ind w:left="-14"/>
              <w:jc w:val="center"/>
              <w:rPr>
                <w:b/>
                <w:bCs/>
                <w:sz w:val="30"/>
                <w:szCs w:val="30"/>
              </w:rPr>
            </w:pPr>
            <w:r>
              <w:rPr>
                <w:b/>
                <w:bCs/>
                <w:sz w:val="30"/>
                <w:szCs w:val="30"/>
              </w:rPr>
              <w:t>MĚSTSKÝ ÚŘAD KROMĚŘÍŽ</w:t>
            </w:r>
          </w:p>
          <w:p w:rsidR="00CA1D0C" w:rsidRDefault="000A1DC7" w:rsidP="00CA1D0C">
            <w:pPr>
              <w:pStyle w:val="Other10"/>
              <w:spacing w:after="0" w:line="240" w:lineRule="auto"/>
              <w:ind w:left="-14"/>
              <w:jc w:val="center"/>
              <w:rPr>
                <w:b/>
                <w:bCs/>
                <w:sz w:val="22"/>
                <w:szCs w:val="22"/>
              </w:rPr>
            </w:pPr>
            <w:r>
              <w:rPr>
                <w:b/>
                <w:bCs/>
                <w:sz w:val="22"/>
                <w:szCs w:val="22"/>
              </w:rPr>
              <w:t xml:space="preserve">STAVEBNÍ ÚŘAD Oddělení státní památkové péče </w:t>
            </w:r>
          </w:p>
          <w:p w:rsidR="000F5861" w:rsidRDefault="000A1DC7" w:rsidP="00CA1D0C">
            <w:pPr>
              <w:pStyle w:val="Other10"/>
              <w:spacing w:after="0" w:line="240" w:lineRule="auto"/>
              <w:ind w:left="-14"/>
              <w:jc w:val="center"/>
              <w:rPr>
                <w:sz w:val="19"/>
                <w:szCs w:val="19"/>
              </w:rPr>
            </w:pPr>
            <w:r>
              <w:rPr>
                <w:b/>
                <w:bCs/>
                <w:sz w:val="19"/>
                <w:szCs w:val="19"/>
              </w:rPr>
              <w:t>767 01 Kroměříž, Velké náměstí 115</w:t>
            </w:r>
          </w:p>
        </w:tc>
      </w:tr>
      <w:tr w:rsidR="000F5861" w:rsidTr="00CA1D0C">
        <w:trPr>
          <w:trHeight w:hRule="exact" w:val="662"/>
          <w:jc w:val="center"/>
        </w:trPr>
        <w:tc>
          <w:tcPr>
            <w:tcW w:w="2414" w:type="dxa"/>
            <w:tcBorders>
              <w:top w:val="single" w:sz="4" w:space="0" w:color="auto"/>
            </w:tcBorders>
            <w:shd w:val="clear" w:color="auto" w:fill="FFFFFF"/>
            <w:vAlign w:val="bottom"/>
          </w:tcPr>
          <w:p w:rsidR="000F5861" w:rsidRDefault="000A1DC7">
            <w:pPr>
              <w:pStyle w:val="Other10"/>
              <w:spacing w:after="0" w:line="240" w:lineRule="auto"/>
              <w:rPr>
                <w:sz w:val="19"/>
                <w:szCs w:val="19"/>
              </w:rPr>
            </w:pPr>
            <w:r>
              <w:rPr>
                <w:sz w:val="19"/>
                <w:szCs w:val="19"/>
              </w:rPr>
              <w:t>Sp.zn. :</w:t>
            </w:r>
          </w:p>
          <w:p w:rsidR="000F5861" w:rsidRDefault="00CA1D0C">
            <w:pPr>
              <w:pStyle w:val="Other10"/>
              <w:spacing w:after="0" w:line="204" w:lineRule="auto"/>
              <w:rPr>
                <w:sz w:val="19"/>
                <w:szCs w:val="19"/>
              </w:rPr>
            </w:pPr>
            <w:r>
              <w:rPr>
                <w:sz w:val="19"/>
                <w:szCs w:val="19"/>
              </w:rPr>
              <w:t>Č.j.</w:t>
            </w:r>
          </w:p>
        </w:tc>
        <w:tc>
          <w:tcPr>
            <w:tcW w:w="7219" w:type="dxa"/>
            <w:tcBorders>
              <w:top w:val="single" w:sz="4" w:space="0" w:color="auto"/>
            </w:tcBorders>
            <w:shd w:val="clear" w:color="auto" w:fill="FFFFFF"/>
            <w:vAlign w:val="bottom"/>
          </w:tcPr>
          <w:p w:rsidR="000F5861" w:rsidRDefault="000A1DC7">
            <w:pPr>
              <w:pStyle w:val="Other10"/>
              <w:tabs>
                <w:tab w:val="left" w:pos="4771"/>
              </w:tabs>
              <w:spacing w:after="0" w:line="240" w:lineRule="auto"/>
              <w:rPr>
                <w:sz w:val="19"/>
                <w:szCs w:val="19"/>
              </w:rPr>
            </w:pPr>
            <w:r>
              <w:rPr>
                <w:sz w:val="19"/>
                <w:szCs w:val="19"/>
              </w:rPr>
              <w:t>02/083844/2021</w:t>
            </w:r>
            <w:r>
              <w:rPr>
                <w:sz w:val="19"/>
                <w:szCs w:val="19"/>
                <w:lang w:val="en-US" w:eastAsia="en-US" w:bidi="en-US"/>
              </w:rPr>
              <w:t>/St</w:t>
            </w:r>
            <w:r>
              <w:rPr>
                <w:sz w:val="19"/>
                <w:szCs w:val="19"/>
                <w:lang w:val="en-US" w:eastAsia="en-US" w:bidi="en-US"/>
              </w:rPr>
              <w:tab/>
            </w:r>
            <w:r>
              <w:rPr>
                <w:sz w:val="19"/>
                <w:szCs w:val="19"/>
              </w:rPr>
              <w:t>Kroměříž, dne 03.12.2021</w:t>
            </w:r>
          </w:p>
        </w:tc>
      </w:tr>
      <w:tr w:rsidR="000F5861">
        <w:trPr>
          <w:trHeight w:hRule="exact" w:val="350"/>
          <w:jc w:val="center"/>
        </w:trPr>
        <w:tc>
          <w:tcPr>
            <w:tcW w:w="2414" w:type="dxa"/>
            <w:shd w:val="clear" w:color="auto" w:fill="FFFFFF"/>
          </w:tcPr>
          <w:p w:rsidR="000F5861" w:rsidRDefault="000A1DC7">
            <w:pPr>
              <w:pStyle w:val="Other10"/>
              <w:spacing w:after="0" w:line="240" w:lineRule="auto"/>
              <w:rPr>
                <w:sz w:val="19"/>
                <w:szCs w:val="19"/>
              </w:rPr>
            </w:pPr>
            <w:r>
              <w:rPr>
                <w:sz w:val="19"/>
                <w:szCs w:val="19"/>
              </w:rPr>
              <w:t>Oprávněná úřední osoba:</w:t>
            </w:r>
          </w:p>
        </w:tc>
        <w:tc>
          <w:tcPr>
            <w:tcW w:w="7219" w:type="dxa"/>
            <w:shd w:val="clear" w:color="auto" w:fill="FFFFFF"/>
            <w:vAlign w:val="bottom"/>
          </w:tcPr>
          <w:p w:rsidR="000F5861" w:rsidRDefault="00CA1D0C">
            <w:pPr>
              <w:pStyle w:val="Other10"/>
              <w:spacing w:after="0" w:line="240" w:lineRule="auto"/>
              <w:rPr>
                <w:sz w:val="19"/>
                <w:szCs w:val="19"/>
              </w:rPr>
            </w:pPr>
            <w:r>
              <w:rPr>
                <w:sz w:val="19"/>
                <w:szCs w:val="19"/>
              </w:rPr>
              <w:t>xxx</w:t>
            </w:r>
          </w:p>
        </w:tc>
      </w:tr>
      <w:tr w:rsidR="000F5861">
        <w:trPr>
          <w:trHeight w:hRule="exact" w:val="221"/>
          <w:jc w:val="center"/>
        </w:trPr>
        <w:tc>
          <w:tcPr>
            <w:tcW w:w="2414" w:type="dxa"/>
            <w:shd w:val="clear" w:color="auto" w:fill="FFFFFF"/>
            <w:vAlign w:val="bottom"/>
          </w:tcPr>
          <w:p w:rsidR="000F5861" w:rsidRDefault="000A1DC7">
            <w:pPr>
              <w:pStyle w:val="Other10"/>
              <w:spacing w:after="0" w:line="240" w:lineRule="auto"/>
              <w:rPr>
                <w:sz w:val="19"/>
                <w:szCs w:val="19"/>
              </w:rPr>
            </w:pPr>
            <w:r>
              <w:rPr>
                <w:sz w:val="19"/>
                <w:szCs w:val="19"/>
              </w:rPr>
              <w:t>Telefon.:</w:t>
            </w:r>
          </w:p>
        </w:tc>
        <w:tc>
          <w:tcPr>
            <w:tcW w:w="7219" w:type="dxa"/>
            <w:shd w:val="clear" w:color="auto" w:fill="FFFFFF"/>
            <w:vAlign w:val="bottom"/>
          </w:tcPr>
          <w:p w:rsidR="000F5861" w:rsidRDefault="00CA1D0C">
            <w:pPr>
              <w:pStyle w:val="Other10"/>
              <w:spacing w:after="0" w:line="240" w:lineRule="auto"/>
              <w:rPr>
                <w:sz w:val="19"/>
                <w:szCs w:val="19"/>
              </w:rPr>
            </w:pPr>
            <w:r>
              <w:rPr>
                <w:sz w:val="19"/>
                <w:szCs w:val="19"/>
              </w:rPr>
              <w:t>xxx</w:t>
            </w:r>
          </w:p>
        </w:tc>
      </w:tr>
      <w:tr w:rsidR="000F5861" w:rsidTr="00CA1D0C">
        <w:trPr>
          <w:trHeight w:hRule="exact" w:val="513"/>
          <w:jc w:val="center"/>
        </w:trPr>
        <w:tc>
          <w:tcPr>
            <w:tcW w:w="2414" w:type="dxa"/>
            <w:tcBorders>
              <w:bottom w:val="single" w:sz="4" w:space="0" w:color="auto"/>
            </w:tcBorders>
            <w:shd w:val="clear" w:color="auto" w:fill="FFFFFF"/>
          </w:tcPr>
          <w:p w:rsidR="000F5861" w:rsidRDefault="000A1DC7">
            <w:pPr>
              <w:pStyle w:val="Other10"/>
              <w:spacing w:after="0" w:line="240" w:lineRule="auto"/>
              <w:rPr>
                <w:sz w:val="19"/>
                <w:szCs w:val="19"/>
              </w:rPr>
            </w:pPr>
            <w:r>
              <w:rPr>
                <w:sz w:val="19"/>
                <w:szCs w:val="19"/>
              </w:rPr>
              <w:t>E-mail:</w:t>
            </w:r>
          </w:p>
        </w:tc>
        <w:tc>
          <w:tcPr>
            <w:tcW w:w="7219" w:type="dxa"/>
            <w:tcBorders>
              <w:bottom w:val="single" w:sz="4" w:space="0" w:color="auto"/>
            </w:tcBorders>
            <w:shd w:val="clear" w:color="auto" w:fill="FFFFFF"/>
          </w:tcPr>
          <w:p w:rsidR="000F5861" w:rsidRDefault="00BE5185" w:rsidP="00CA1D0C">
            <w:pPr>
              <w:pStyle w:val="Other10"/>
              <w:spacing w:after="0" w:line="240" w:lineRule="auto"/>
              <w:rPr>
                <w:sz w:val="19"/>
                <w:szCs w:val="19"/>
              </w:rPr>
            </w:pPr>
            <w:hyperlink r:id="rId7" w:history="1">
              <w:r w:rsidR="00CA1D0C">
                <w:rPr>
                  <w:sz w:val="19"/>
                  <w:szCs w:val="19"/>
                  <w:lang w:val="en-US" w:eastAsia="en-US" w:bidi="en-US"/>
                </w:rPr>
                <w:t>xxx</w:t>
              </w:r>
            </w:hyperlink>
          </w:p>
        </w:tc>
      </w:tr>
    </w:tbl>
    <w:p w:rsidR="000F5861" w:rsidRDefault="000F5861">
      <w:pPr>
        <w:spacing w:after="2839" w:line="1" w:lineRule="exact"/>
      </w:pPr>
    </w:p>
    <w:p w:rsidR="000F5861" w:rsidRDefault="000A1DC7">
      <w:pPr>
        <w:pStyle w:val="Bodytext10"/>
        <w:spacing w:after="0"/>
        <w:jc w:val="both"/>
      </w:pPr>
      <w:r>
        <w:t>Městský úřad v Kroměříži, stavební úřad, oddělení státní památkové péče, jako věcně příslušný orgán státní památkové péče (dále jen „orgán SPP“) ve smyslu § 29 odst. 2 zákona č. 20/1987 Sb., o státní památkové péči, ve znění pozdějších předpisů (dále jen „zákona o státní památkové péči“), místně příslušný dle §11 zákona č. 500/2004 Sb., správní řád, ve znění pozdějších předpisů (dále jen „správní řád“), na základě žádosti, kterou orgán SPP obdržel dne 04.10.2021 od žadatele</w:t>
      </w:r>
    </w:p>
    <w:p w:rsidR="000F5861" w:rsidRDefault="000A1DC7">
      <w:pPr>
        <w:pStyle w:val="Bodytext10"/>
        <w:spacing w:after="0"/>
      </w:pPr>
      <w:r>
        <w:rPr>
          <w:b/>
          <w:bCs/>
        </w:rPr>
        <w:t>Město Kroměříž, IČO 00287351, Velké náměstí č.p. 115/1, 767 01 Kroměříž 1, kterého zastupují: Kroměřížské technické služby, s.r.o., IČO 26276437, Kaplanova č.p. 2959/6, 767 01 Kroměříži,</w:t>
      </w:r>
    </w:p>
    <w:p w:rsidR="000F5861" w:rsidRDefault="000A1DC7">
      <w:pPr>
        <w:pStyle w:val="Bodytext10"/>
        <w:spacing w:after="0"/>
        <w:jc w:val="both"/>
      </w:pPr>
      <w:r>
        <w:t>(dále jen žadatel“)</w:t>
      </w:r>
    </w:p>
    <w:p w:rsidR="000F5861" w:rsidRDefault="000A1DC7">
      <w:pPr>
        <w:pStyle w:val="Bodytext10"/>
        <w:spacing w:after="0"/>
        <w:ind w:left="900" w:hanging="900"/>
      </w:pPr>
      <w:r>
        <w:t xml:space="preserve">ve věci: </w:t>
      </w:r>
      <w:r>
        <w:rPr>
          <w:b/>
          <w:bCs/>
        </w:rPr>
        <w:t>„Zemní práce pro průzkum předpokládané studny - dvůr ZUŠ pare. č. 16,15,14 k. ú. Kroměříž“ ul. Pilařova, MPR Kroměříž,</w:t>
      </w:r>
    </w:p>
    <w:p w:rsidR="000F5861" w:rsidRDefault="000A1DC7">
      <w:pPr>
        <w:pStyle w:val="Bodytext10"/>
        <w:spacing w:after="0"/>
        <w:jc w:val="both"/>
      </w:pPr>
      <w:r>
        <w:t>vydává</w:t>
      </w:r>
    </w:p>
    <w:p w:rsidR="000F5861" w:rsidRDefault="000A1DC7">
      <w:pPr>
        <w:pStyle w:val="Bodytext10"/>
        <w:ind w:left="3420" w:hanging="3420"/>
      </w:pPr>
      <w:r>
        <w:t xml:space="preserve">v této věci podle §14 odst.2 zákona o státní památkové péči a dle §149 správního řádu toto </w:t>
      </w:r>
      <w:r>
        <w:rPr>
          <w:b/>
          <w:bCs/>
        </w:rPr>
        <w:t>závazné stanovisko č. 192:</w:t>
      </w:r>
    </w:p>
    <w:p w:rsidR="000F5861" w:rsidRDefault="000A1DC7">
      <w:pPr>
        <w:pStyle w:val="Heading110"/>
        <w:keepNext/>
        <w:keepLines/>
      </w:pPr>
      <w:bookmarkStart w:id="1" w:name="bookmark0"/>
      <w:bookmarkStart w:id="2" w:name="bookmark1"/>
      <w:bookmarkStart w:id="3" w:name="bookmark2"/>
      <w:r>
        <w:t>Záměr: „Zemní práce pro průzkum předpokládané studny - dvůr ZUŠ pare. č. 16,15,14 k. ú. Kroměříž“ ul. Pilařova, MPR Kroměříž,</w:t>
      </w:r>
      <w:bookmarkEnd w:id="1"/>
      <w:bookmarkEnd w:id="2"/>
      <w:bookmarkEnd w:id="3"/>
    </w:p>
    <w:p w:rsidR="000F5861" w:rsidRDefault="000A1DC7">
      <w:pPr>
        <w:pStyle w:val="Bodytext10"/>
        <w:spacing w:after="0"/>
        <w:ind w:firstLine="200"/>
      </w:pPr>
      <w:r>
        <w:t>dle zjištění v příloze k žádosti:</w:t>
      </w:r>
    </w:p>
    <w:p w:rsidR="000F5861" w:rsidRDefault="000A1DC7">
      <w:pPr>
        <w:pStyle w:val="Bodytext10"/>
        <w:spacing w:after="0"/>
        <w:ind w:firstLine="440"/>
        <w:jc w:val="both"/>
      </w:pPr>
      <w:r>
        <w:t>Zpráva o geofyzikální prospekci, č. 21021, Kroměříž - Dvůr kanovnických domu, Jánská č.p.</w:t>
      </w:r>
    </w:p>
    <w:p w:rsidR="000F5861" w:rsidRDefault="000A1DC7">
      <w:pPr>
        <w:pStyle w:val="Bodytext10"/>
        <w:spacing w:after="0"/>
        <w:ind w:left="440" w:firstLine="40"/>
        <w:jc w:val="both"/>
      </w:pPr>
      <w:r>
        <w:t xml:space="preserve">27-31., </w:t>
      </w:r>
      <w:r w:rsidR="00CA1D0C">
        <w:t>xxx</w:t>
      </w:r>
      <w:r>
        <w:t xml:space="preserve"> - </w:t>
      </w:r>
      <w:r w:rsidR="00CA1D0C">
        <w:t>xxx</w:t>
      </w:r>
      <w:r>
        <w:t>, Ústav archeologie a muzeologie Filozofické fakulty Masarykovy univerzity, Arna Nováka 1,602 00 Brno, zpracováno červen 2021</w:t>
      </w:r>
    </w:p>
    <w:p w:rsidR="000F5861" w:rsidRDefault="000A1DC7">
      <w:pPr>
        <w:pStyle w:val="Bodytext10"/>
        <w:spacing w:after="0"/>
        <w:ind w:firstLine="200"/>
      </w:pPr>
      <w:r>
        <w:t>uvádí žadatel tento předmětem žádosti:</w:t>
      </w:r>
    </w:p>
    <w:p w:rsidR="000F5861" w:rsidRDefault="000A1DC7">
      <w:pPr>
        <w:pStyle w:val="Bodytext10"/>
        <w:spacing w:after="0"/>
        <w:ind w:left="440" w:firstLine="40"/>
        <w:jc w:val="both"/>
      </w:pPr>
      <w:r>
        <w:rPr>
          <w:i/>
          <w:iCs/>
        </w:rPr>
        <w:t xml:space="preserve">„Podle Zprávy o geofyzikální prospekci na nádvoří Lichtenštejnského chlapeckého zpěváckého semináře č.p. 27 (41560/7-6009) a Kanovnických domů č.p. 28-31 (21246/7-6009, 19062/7- 6009, 24961/7-6009 a 16184/7-6009) bylo georadarovou prospekcí identifikováno potenciální místo, kde se v minulosti mohla nacházet dnes již nefunkční studna. Místo o velikosti </w:t>
      </w:r>
      <w:r>
        <w:rPr>
          <w:b/>
          <w:bCs/>
          <w:i/>
          <w:iCs/>
        </w:rPr>
        <w:t xml:space="preserve">cca 4x4 m </w:t>
      </w:r>
      <w:r>
        <w:rPr>
          <w:i/>
          <w:iCs/>
        </w:rPr>
        <w:t xml:space="preserve">se nachází zhruba uprostřed zkoumané plochy nádvoří v hloubce </w:t>
      </w:r>
      <w:r>
        <w:rPr>
          <w:b/>
          <w:bCs/>
          <w:i/>
          <w:iCs/>
        </w:rPr>
        <w:t xml:space="preserve">cca 80 cm </w:t>
      </w:r>
      <w:r>
        <w:rPr>
          <w:i/>
          <w:iCs/>
        </w:rPr>
        <w:t xml:space="preserve">při jihozápadním nároží pódia. </w:t>
      </w:r>
      <w:r>
        <w:rPr>
          <w:b/>
          <w:bCs/>
          <w:i/>
          <w:iCs/>
        </w:rPr>
        <w:t xml:space="preserve">Bude provedena skrývka svrchní vrstvy do výše uvedené hloubky </w:t>
      </w:r>
      <w:r>
        <w:rPr>
          <w:i/>
          <w:iCs/>
        </w:rPr>
        <w:t>k dalšímu možnému posouzení stavu identifikovaných anomálií a jejich vlivu na vlhkost zdivá uvedených objektů, případně pro zhodnocení dalšího postupu po prověření pověřeným orgánem pro splnění oznamovací povinnosti podle §22 odst. 2 zákona č. 20/1987 Sb., o státní památkové péči (Archeologický ústav A</w:t>
      </w:r>
      <w:r>
        <w:t xml:space="preserve">1/ </w:t>
      </w:r>
      <w:r>
        <w:rPr>
          <w:i/>
          <w:iCs/>
        </w:rPr>
        <w:t>ČR, Brno). “</w:t>
      </w:r>
    </w:p>
    <w:p w:rsidR="000F5861" w:rsidRDefault="000A1DC7">
      <w:pPr>
        <w:pStyle w:val="Bodytext10"/>
        <w:spacing w:after="0"/>
      </w:pPr>
      <w:r>
        <w:rPr>
          <w:b/>
          <w:bCs/>
        </w:rPr>
        <w:t xml:space="preserve">je </w:t>
      </w:r>
      <w:r>
        <w:t>podle § 14 odst. 3 zákona o státní památkové péči z hlediska státní památkové péče</w:t>
      </w:r>
    </w:p>
    <w:p w:rsidR="000F5861" w:rsidRDefault="000A1DC7">
      <w:pPr>
        <w:pStyle w:val="Bodytext10"/>
        <w:spacing w:after="120"/>
        <w:jc w:val="center"/>
      </w:pPr>
      <w:r>
        <w:rPr>
          <w:b/>
          <w:bCs/>
          <w:u w:val="single"/>
        </w:rPr>
        <w:t>přípustný s podmínkou:</w:t>
      </w:r>
    </w:p>
    <w:p w:rsidR="000F5861" w:rsidRDefault="000A1DC7">
      <w:pPr>
        <w:pStyle w:val="Bodytext10"/>
        <w:spacing w:after="60" w:line="240" w:lineRule="auto"/>
        <w:ind w:firstLine="420"/>
        <w:sectPr w:rsidR="000F5861">
          <w:pgSz w:w="11900" w:h="16840"/>
          <w:pgMar w:top="1051" w:right="913" w:bottom="1051" w:left="1353" w:header="623" w:footer="623" w:gutter="0"/>
          <w:pgNumType w:start="1"/>
          <w:cols w:space="720"/>
          <w:noEndnote/>
          <w:docGrid w:linePitch="360"/>
        </w:sectPr>
      </w:pPr>
      <w:r>
        <w:rPr>
          <w:b/>
          <w:bCs/>
        </w:rPr>
        <w:t>1. Zemní práce budou prováděny v režimu zjišťovacího archeologického výzkumu.</w:t>
      </w:r>
    </w:p>
    <w:p w:rsidR="000F5861" w:rsidRDefault="000A1DC7">
      <w:pPr>
        <w:pStyle w:val="Heading110"/>
        <w:keepNext/>
        <w:keepLines/>
        <w:spacing w:before="160"/>
        <w:jc w:val="both"/>
      </w:pPr>
      <w:bookmarkStart w:id="4" w:name="bookmark3"/>
      <w:bookmarkStart w:id="5" w:name="bookmark4"/>
      <w:bookmarkStart w:id="6" w:name="bookmark5"/>
      <w:r>
        <w:lastRenderedPageBreak/>
        <w:t>Odůvodnění:</w:t>
      </w:r>
      <w:bookmarkEnd w:id="4"/>
      <w:bookmarkEnd w:id="5"/>
      <w:bookmarkEnd w:id="6"/>
    </w:p>
    <w:p w:rsidR="000F5861" w:rsidRDefault="000A1DC7">
      <w:pPr>
        <w:pStyle w:val="Bodytext10"/>
        <w:jc w:val="both"/>
      </w:pPr>
      <w:r>
        <w:t>Pozemky nádvoří ZUŠ pare. č. 14, 15, 16 v katastrálním území Kroměříž nejsou evidovány jako kulturní památka v Ústředním seznamu kulturních památek ČR, ale nachází se na území Městské památkové rezervace Kroměříž, ve smys</w:t>
      </w:r>
      <w:r w:rsidR="00CA1D0C">
        <w:t>lu Výnosu Ministerstva kultury Č</w:t>
      </w:r>
      <w:r>
        <w:t>SR ze dne 8.9.1978 pod č.j. 15869/78-VI/1, proto se na předmět žádosti v plné míře vztahují podmínky zákona o státní památkové péči.</w:t>
      </w:r>
    </w:p>
    <w:p w:rsidR="000F5861" w:rsidRDefault="000A1DC7">
      <w:pPr>
        <w:pStyle w:val="Bodytext10"/>
        <w:jc w:val="both"/>
      </w:pPr>
      <w:r>
        <w:t>Pozemky pare. č. 14, 15, 16 v katastrálním území Kroměříž jsou ve vlastnictví žadatele.</w:t>
      </w:r>
    </w:p>
    <w:p w:rsidR="000F5861" w:rsidRDefault="000A1DC7">
      <w:pPr>
        <w:pStyle w:val="Bodytext10"/>
        <w:spacing w:after="0"/>
        <w:jc w:val="both"/>
      </w:pPr>
      <w:r>
        <w:rPr>
          <w:u w:val="single"/>
        </w:rPr>
        <w:t>Popis umístění</w:t>
      </w:r>
    </w:p>
    <w:p w:rsidR="000F5861" w:rsidRDefault="000A1DC7">
      <w:pPr>
        <w:pStyle w:val="Bodytext10"/>
        <w:jc w:val="both"/>
      </w:pPr>
      <w:r>
        <w:t xml:space="preserve">Zemní práce jsou navrženy v nádvoří budov č.p. 27- 31, které jsou spolu s nádvořím v užívání Základní umělecké školy. Nádvoří školy je přístupné z ul. Pilařova. Domy na ulici Jánská č.p. 27-31 a jejich stavební pozemky pare. č. </w:t>
      </w:r>
      <w:r>
        <w:rPr>
          <w:lang w:val="en-US" w:eastAsia="en-US" w:bidi="en-US"/>
        </w:rPr>
        <w:t xml:space="preserve">st. </w:t>
      </w:r>
      <w:r>
        <w:t>246, 247, 248, 249 a 250 k. ú. Kroměříž jsou prohlášeny za kulturní památku, avšak předloženým návrhem nejsou bezprostředně dotčeny.</w:t>
      </w:r>
    </w:p>
    <w:p w:rsidR="000F5861" w:rsidRDefault="000A1DC7">
      <w:pPr>
        <w:pStyle w:val="Bodytext10"/>
        <w:jc w:val="both"/>
      </w:pPr>
      <w:r>
        <w:t>Orgán SPP žádost účastníka řízení posoudil a vyžádal si písemné vyjádření NPÚ ÚOP v Kroměříži (v souladu s ust. § 14 odst. 6 zákona o státní památkové péči). Toto vyjádření bylo vydáno s podmínkou pod č.j. NPÚ-373/82751/2021 dne 15.10.2021, doručeno bylo na MěÚ Kroměříž dne 15.10.2021, naše č.j. MeUKM/088635/2021.</w:t>
      </w:r>
    </w:p>
    <w:p w:rsidR="000F5861" w:rsidRDefault="000A1DC7">
      <w:pPr>
        <w:pStyle w:val="Bodytext10"/>
        <w:spacing w:after="0"/>
        <w:jc w:val="both"/>
      </w:pPr>
      <w:r>
        <w:rPr>
          <w:u w:val="single"/>
        </w:rPr>
        <w:t>Průběh řízení</w:t>
      </w:r>
    </w:p>
    <w:p w:rsidR="000F5861" w:rsidRDefault="000A1DC7">
      <w:pPr>
        <w:pStyle w:val="Bodytext10"/>
        <w:jc w:val="both"/>
      </w:pPr>
      <w:r>
        <w:t>Vzhledem ke skutečnosti, že orgánu SPP jsou známy všechny podstatné skutečnosti a žádost poskytuje dostatečný podklad pro posouzení, bylo upuštěno od ústního jednání spojeného s místním šetřením. V souladu s ust. § 36 odst. 3 správního řádu vyzval dne 21.10.2021 orgán SPP účastníky řízení, aby se před vydáním rozhodnutí vyjádřili k</w:t>
      </w:r>
      <w:r w:rsidR="00CA1D0C">
        <w:t xml:space="preserve"> </w:t>
      </w:r>
      <w:r>
        <w:t>jeho podkladům do 10 dnů od obdržení oznámení o možnosti seznámit se s podklady. Odborné vyjádření bylo žadateli zasláno na vědomí elektronicky.</w:t>
      </w:r>
    </w:p>
    <w:p w:rsidR="000F5861" w:rsidRDefault="000A1DC7">
      <w:pPr>
        <w:pStyle w:val="Bodytext10"/>
        <w:jc w:val="both"/>
      </w:pPr>
      <w:r>
        <w:t>Podmínkou odborné organizace je provedení zemních prací v režimu archeologického výzkumu, což vyžaduje uzavření smlouvy s příslušnou odbornou organizací. Jelikož tento doklad nelze v řízení vyžadovat, orgán SPP neposlal výzvu na doplnění podkladů. Dne 21.10.2021 orgán SPP vyrozuměl žadatele o prodloužení lhůtu pro vydání závazného stanoviska na 60 dnů od doplnění všech podkladů žádosti, tj. od 4.10.2021. Do 2.12.2021 orgán SPP neobdržel od žadatele oficiální sdělení nebo doplnění podkladů. Ve stanovené lhůtě se žadatel k podkladům nevyjádřil.</w:t>
      </w:r>
    </w:p>
    <w:p w:rsidR="000F5861" w:rsidRDefault="000A1DC7">
      <w:pPr>
        <w:pStyle w:val="Bodytext10"/>
        <w:jc w:val="both"/>
      </w:pPr>
      <w:r>
        <w:t>Předmět žádosti je podrobně uveden ve výroku.</w:t>
      </w:r>
    </w:p>
    <w:p w:rsidR="000F5861" w:rsidRDefault="000A1DC7">
      <w:pPr>
        <w:pStyle w:val="Bodytext10"/>
        <w:spacing w:after="0" w:line="254" w:lineRule="auto"/>
        <w:jc w:val="both"/>
      </w:pPr>
      <w:r>
        <w:rPr>
          <w:u w:val="single"/>
        </w:rPr>
        <w:t xml:space="preserve">Současný stav </w:t>
      </w:r>
      <w:r w:rsidR="00CA1D0C">
        <w:rPr>
          <w:u w:val="single"/>
        </w:rPr>
        <w:t>poznání dotčených chráněných kul</w:t>
      </w:r>
      <w:r>
        <w:rPr>
          <w:u w:val="single"/>
        </w:rPr>
        <w:t>turně-historických hodnot dle č.j. NPÚ- 373/82751/2021, ze dne 15.10.2021 (cit.):</w:t>
      </w:r>
    </w:p>
    <w:p w:rsidR="000F5861" w:rsidRDefault="000A1DC7">
      <w:pPr>
        <w:pStyle w:val="Bodytext10"/>
        <w:spacing w:after="0" w:line="254" w:lineRule="auto"/>
        <w:jc w:val="both"/>
      </w:pPr>
      <w:r>
        <w:t>„Uvedená akce je situována na území městské památkové rezervace Kroměříž, kde k chráněným památkovým hodnotám patří historický půdorys města a jemu odpovídající prostorová a hmotová skladba, městské interiéry, podzemní prostory, hlavní městské dominanty v dálkových i blízkých pohledech, nemovité kulturní památky, ostatní objekty dotvářející prostředí památkové rezervace a veřejná zeleň.</w:t>
      </w:r>
    </w:p>
    <w:p w:rsidR="000F5861" w:rsidRDefault="000A1DC7">
      <w:pPr>
        <w:pStyle w:val="Bodytext10"/>
        <w:spacing w:after="0" w:line="254" w:lineRule="auto"/>
        <w:jc w:val="both"/>
      </w:pPr>
      <w:r>
        <w:t>Pro stavební činnost v památkové rezervaci byly stanoveny podmínky. Článek 2, odst. 1b Výnosu MK ČSR čj. 15.869/78 ze dne 8.9.1978 o prohlášení historického jádra města Kroměříže s Podzámeckou a Květnou zahradou za památkovou rezervaci uvádí: „... stavby dopravní, vodohospodářské, energetické, podzemní i inženýrské sítě musí být prováděny s ohledem na památkovou hodnotu objektů i území“.</w:t>
      </w:r>
    </w:p>
    <w:p w:rsidR="000F5861" w:rsidRDefault="000A1DC7">
      <w:pPr>
        <w:pStyle w:val="Bodytext10"/>
        <w:spacing w:line="254" w:lineRule="auto"/>
      </w:pPr>
      <w:r>
        <w:t>Dotčené území lze považova</w:t>
      </w:r>
      <w:r w:rsidR="00CA1D0C">
        <w:t>t za území s archeologickými nál</w:t>
      </w:r>
      <w:r>
        <w:t>ezy.</w:t>
      </w:r>
    </w:p>
    <w:p w:rsidR="003A75C2" w:rsidRDefault="000A1DC7">
      <w:pPr>
        <w:pStyle w:val="Bodytext10"/>
        <w:spacing w:line="240" w:lineRule="auto"/>
        <w:jc w:val="both"/>
      </w:pPr>
      <w:r>
        <w:rPr>
          <w:u w:val="single"/>
        </w:rPr>
        <w:t>Podmínka uvedená v č.j. NPÚ-373/82751/2021, ze dne 15.10.2021 (cit.): p</w:t>
      </w:r>
      <w:r>
        <w:t xml:space="preserve">osuzované práce budou v souladu se zájmem ochrany výše uvedených kulturněhistorických hodnot za těchto podmínek: </w:t>
      </w:r>
    </w:p>
    <w:p w:rsidR="000F5861" w:rsidRDefault="000A1DC7">
      <w:pPr>
        <w:pStyle w:val="Bodytext10"/>
        <w:spacing w:line="240" w:lineRule="auto"/>
        <w:jc w:val="both"/>
      </w:pPr>
      <w:r>
        <w:rPr>
          <w:b/>
          <w:bCs/>
        </w:rPr>
        <w:t>1. Zemní práce budou prováděny v režimu archeologického výzkumu.</w:t>
      </w:r>
    </w:p>
    <w:p w:rsidR="003A75C2" w:rsidRDefault="003A75C2">
      <w:pPr>
        <w:pStyle w:val="Bodytext10"/>
        <w:spacing w:after="0"/>
        <w:rPr>
          <w:u w:val="single"/>
        </w:rPr>
      </w:pPr>
    </w:p>
    <w:p w:rsidR="003A75C2" w:rsidRDefault="003A75C2">
      <w:pPr>
        <w:pStyle w:val="Bodytext10"/>
        <w:spacing w:after="0"/>
        <w:rPr>
          <w:u w:val="single"/>
        </w:rPr>
      </w:pPr>
    </w:p>
    <w:p w:rsidR="003A75C2" w:rsidRDefault="003A75C2">
      <w:pPr>
        <w:pStyle w:val="Bodytext10"/>
        <w:spacing w:after="0"/>
        <w:rPr>
          <w:u w:val="single"/>
        </w:rPr>
      </w:pPr>
    </w:p>
    <w:p w:rsidR="003A75C2" w:rsidRDefault="003A75C2">
      <w:pPr>
        <w:pStyle w:val="Bodytext10"/>
        <w:spacing w:after="0"/>
        <w:rPr>
          <w:u w:val="single"/>
        </w:rPr>
      </w:pPr>
    </w:p>
    <w:p w:rsidR="003A75C2" w:rsidRDefault="003A75C2">
      <w:pPr>
        <w:pStyle w:val="Bodytext10"/>
        <w:spacing w:after="0"/>
        <w:rPr>
          <w:u w:val="single"/>
        </w:rPr>
      </w:pPr>
    </w:p>
    <w:p w:rsidR="000F5861" w:rsidRDefault="000A1DC7">
      <w:pPr>
        <w:pStyle w:val="Bodytext10"/>
        <w:spacing w:after="0"/>
      </w:pPr>
      <w:r>
        <w:rPr>
          <w:u w:val="single"/>
        </w:rPr>
        <w:t>Zdůvodnění vyhodnocení žádosti a podmínky uvedené v č.j. NPÚ-373/82751/2021, ze dne 15.10.2021 (cit-):</w:t>
      </w:r>
    </w:p>
    <w:p w:rsidR="000F5861" w:rsidRDefault="000A1DC7">
      <w:pPr>
        <w:pStyle w:val="Bodytext10"/>
        <w:jc w:val="both"/>
      </w:pPr>
      <w:r>
        <w:t xml:space="preserve">„Ad 1) Žádost o závazné stanovisko popisuje zamýšlené terénní práce následovně: </w:t>
      </w:r>
      <w:r>
        <w:rPr>
          <w:i/>
          <w:iCs/>
        </w:rPr>
        <w:t>„Bude provedena skrývka svrchní vrstvy do výše uvedené hloubky pomocí techniky k dalšímu možnému posouzení stavu identifikovaných anomálií a jejich vlivu na vlhkost zdivá uvedených objektů, případně pro zhodnocení dalšího postupu po prověření pověřeným orgánem pro splnění oznamovací povinnosti podle §22 odst. 2 zákona č. 20/1987 Sb., o státní památkové péči (Archeologický ústava AV ČR, Brno).“ Z</w:t>
      </w:r>
      <w:r>
        <w:t xml:space="preserve"> formulace záměru tedy vyplývá, že nejprve bude pomocí mechanizace odkryto cca 0,80-0,90 m antropogenní uloženiny, poté bude anomálie zjištěná geofyzikálním průzkumem posouzena a na základě získaných poznatků navržen další postup a následné oznámení Archeologickému ústavu AV ČR, Brno. Takto navržený postup je z pohledu památkové péče nežádoucí. Georadarovou prospekcí byla zjištěna zhruba uprostřed zkoumané plochy nádvoří v hloubce cca 0,80-0,90 m pod úrovní terénu určitá anomálie. Tato anomálie je interpretována jako studna. </w:t>
      </w:r>
      <w:r>
        <w:rPr>
          <w:b/>
          <w:bCs/>
        </w:rPr>
        <w:t xml:space="preserve">Nekontrolovaným odtěžením nadloží zjištěné anomálie mohou být vážně poškozeny nebo zničeny archeologické situace, které by jinak mohly přispět k dataci zjištěné anomálie a její původní funkce, odhlédneme-li od možného poškození či zničení zjištěné anomálie </w:t>
      </w:r>
      <w:r>
        <w:t>(zpráva o geofyzikální prospekci neuvádí mocnost zjištěné anomálie). Z tohoto důvodu je vznesena podmínka č. 1.</w:t>
      </w:r>
    </w:p>
    <w:p w:rsidR="000F5861" w:rsidRDefault="000A1DC7">
      <w:pPr>
        <w:pStyle w:val="Heading110"/>
        <w:keepNext/>
        <w:keepLines/>
      </w:pPr>
      <w:bookmarkStart w:id="7" w:name="bookmark6"/>
      <w:bookmarkStart w:id="8" w:name="bookmark7"/>
      <w:bookmarkStart w:id="9" w:name="bookmark8"/>
      <w:r>
        <w:t>Upozornění:</w:t>
      </w:r>
      <w:bookmarkEnd w:id="7"/>
      <w:bookmarkEnd w:id="8"/>
      <w:bookmarkEnd w:id="9"/>
    </w:p>
    <w:p w:rsidR="000F5861" w:rsidRDefault="000A1DC7">
      <w:pPr>
        <w:pStyle w:val="Bodytext10"/>
        <w:spacing w:after="0"/>
        <w:jc w:val="both"/>
      </w:pPr>
      <w:r>
        <w:t>Předmětné území je klasifikováno jako území s archeologickými nálezy ve smyslu § 22 zákona č.20/1987 Sb., o státní památkové péči, ve znění pozdějších předpisů. Dle §22 od</w:t>
      </w:r>
      <w:r w:rsidR="003A75C2">
        <w:t>st. 2 zákona č.20/1987 Sb., má-l</w:t>
      </w:r>
      <w:r>
        <w:t>i se provádět stavební činnost na území s archeologickými nálezy, jsou stavebníci již od doby přípravy stavby povinni oznámit svůj záměr Archeologickému ústavu a umožnit jemu nebo oprávněné organizaci provést na dotčeném území záchranný archeologický výzkum. O archeologickém nálezu, který nebyl učiněn při provádění archeologických výzkumů, musí být učiněno oznámení Archeologickému ústavu nebo nejbližšímu muzeu buď přímo, nebo prostřednictvím obce, v jejímž územním obvodu k archeologickému nálezu došlo (§ 23 odst. 2 zákona č.20/1987 Sb.).</w:t>
      </w:r>
    </w:p>
    <w:p w:rsidR="000F5861" w:rsidRDefault="000A1DC7">
      <w:pPr>
        <w:pStyle w:val="Bodytext10"/>
      </w:pPr>
      <w:r>
        <w:t xml:space="preserve">Formulář pro splnění oznamovací povinnosti naleznete na webových stránkách Archeologického ústavu AV ČR, Brno, v.v.i.: </w:t>
      </w:r>
      <w:hyperlink r:id="rId8" w:history="1">
        <w:r>
          <w:rPr>
            <w:u w:val="single"/>
            <w:lang w:val="en-US" w:eastAsia="en-US" w:bidi="en-US"/>
          </w:rPr>
          <w:t>http://arub.avcr.cz/informace-pro-stavebniky/index.html</w:t>
        </w:r>
      </w:hyperlink>
    </w:p>
    <w:p w:rsidR="000F5861" w:rsidRDefault="000A1DC7">
      <w:pPr>
        <w:pStyle w:val="Bodytext10"/>
        <w:spacing w:after="100"/>
      </w:pPr>
      <w:r>
        <w:rPr>
          <w:u w:val="single"/>
        </w:rPr>
        <w:t>Závěr orgánu SPP</w:t>
      </w:r>
    </w:p>
    <w:p w:rsidR="000F5861" w:rsidRDefault="000A1DC7">
      <w:pPr>
        <w:pStyle w:val="Bodytext10"/>
        <w:spacing w:after="0" w:line="257" w:lineRule="auto"/>
      </w:pPr>
      <w:r>
        <w:t xml:space="preserve">Orgán SPP poskytl 26.10.2021 emailem žadateli informace z webových stránky AV Brno, odkaz na oznamovací formulář stavebníka a kontaktní osobu pro Zlínský kraj - </w:t>
      </w:r>
      <w:r w:rsidR="003A75C2">
        <w:t>xxx</w:t>
      </w:r>
      <w:r>
        <w:t>.</w:t>
      </w:r>
    </w:p>
    <w:p w:rsidR="000F5861" w:rsidRDefault="000A1DC7">
      <w:pPr>
        <w:pStyle w:val="Bodytext10"/>
        <w:spacing w:after="0" w:line="257" w:lineRule="auto"/>
      </w:pPr>
      <w:r>
        <w:t>Dne 3.12.2021 obdržel emailem od KTS:</w:t>
      </w:r>
    </w:p>
    <w:p w:rsidR="000F5861" w:rsidRDefault="000A1DC7">
      <w:pPr>
        <w:pStyle w:val="Bodytext10"/>
        <w:numPr>
          <w:ilvl w:val="0"/>
          <w:numId w:val="1"/>
        </w:numPr>
        <w:tabs>
          <w:tab w:val="left" w:pos="193"/>
        </w:tabs>
        <w:spacing w:after="0" w:line="257" w:lineRule="auto"/>
      </w:pPr>
      <w:bookmarkStart w:id="10" w:name="bookmark9"/>
      <w:bookmarkEnd w:id="10"/>
      <w:r>
        <w:t>potvrzení o splnění oznamovací povinnosti stavebníka</w:t>
      </w:r>
    </w:p>
    <w:p w:rsidR="000F5861" w:rsidRDefault="000A1DC7">
      <w:pPr>
        <w:pStyle w:val="Bodytext10"/>
        <w:numPr>
          <w:ilvl w:val="0"/>
          <w:numId w:val="1"/>
        </w:numPr>
        <w:tabs>
          <w:tab w:val="left" w:pos="198"/>
        </w:tabs>
        <w:spacing w:after="0" w:line="257" w:lineRule="auto"/>
      </w:pPr>
      <w:bookmarkStart w:id="11" w:name="bookmark10"/>
      <w:bookmarkEnd w:id="11"/>
      <w:r>
        <w:t>nepodepsaný návrh:</w:t>
      </w:r>
    </w:p>
    <w:p w:rsidR="000F5861" w:rsidRDefault="000A1DC7">
      <w:pPr>
        <w:pStyle w:val="Bodytext10"/>
        <w:spacing w:after="0"/>
        <w:ind w:firstLine="260"/>
      </w:pPr>
      <w:r>
        <w:t>„DOHODA O PROVEDENÍ ZJIŠŤOVACÍHO ARCHEOLOGICKÉHO VÝZKUMU“</w:t>
      </w:r>
    </w:p>
    <w:p w:rsidR="000F5861" w:rsidRDefault="000A1DC7">
      <w:pPr>
        <w:pStyle w:val="Bodytext10"/>
        <w:spacing w:after="0"/>
        <w:ind w:firstLine="260"/>
      </w:pPr>
      <w:r>
        <w:t>Objednatel: Kroměřížské technické služby, s.r.o.</w:t>
      </w:r>
    </w:p>
    <w:p w:rsidR="000F5861" w:rsidRDefault="000A1DC7">
      <w:pPr>
        <w:pStyle w:val="Bodytext10"/>
        <w:spacing w:after="0" w:line="290" w:lineRule="auto"/>
        <w:ind w:left="260" w:firstLine="20"/>
      </w:pPr>
      <w:r>
        <w:t xml:space="preserve">Zhotovitel: Ústav archeologické památkové péče Brno, veřejná výzkumná instituce, sídlo: Kaloudova 1321/30, 614 00 Brno, Ředitelka </w:t>
      </w:r>
      <w:r w:rsidR="003A75C2">
        <w:t>xxx</w:t>
      </w:r>
      <w:r>
        <w:t xml:space="preserve">, věcný garant: </w:t>
      </w:r>
      <w:r w:rsidR="003A75C2">
        <w:t>xxx</w:t>
      </w:r>
      <w:r>
        <w:t xml:space="preserve"> (</w:t>
      </w:r>
      <w:r w:rsidR="003A75C2">
        <w:t>xxx).</w:t>
      </w:r>
    </w:p>
    <w:p w:rsidR="000F5861" w:rsidRDefault="000A1DC7">
      <w:pPr>
        <w:pStyle w:val="Bodytext10"/>
        <w:spacing w:line="257" w:lineRule="auto"/>
        <w:jc w:val="both"/>
      </w:pPr>
      <w:r>
        <w:t>Výše uvedené je dokladem postupných kroků žadatele v přípravě akce. Jelikož nepodepsaný návrh dohody neprokazuje splnění podmínky odborného vyjádření, orgán SPP stanovuje podmínku do výroku.</w:t>
      </w:r>
    </w:p>
    <w:p w:rsidR="000F5861" w:rsidRDefault="000A1DC7">
      <w:pPr>
        <w:pStyle w:val="Heading110"/>
        <w:keepNext/>
        <w:keepLines/>
        <w:jc w:val="both"/>
      </w:pPr>
      <w:bookmarkStart w:id="12" w:name="bookmark11"/>
      <w:bookmarkStart w:id="13" w:name="bookmark12"/>
      <w:bookmarkStart w:id="14" w:name="bookmark13"/>
      <w:r>
        <w:t>Orgán SPP žadateli doporučuje prověřit</w:t>
      </w:r>
      <w:bookmarkEnd w:id="12"/>
      <w:bookmarkEnd w:id="13"/>
      <w:bookmarkEnd w:id="14"/>
    </w:p>
    <w:p w:rsidR="000F5861" w:rsidRDefault="000A1DC7">
      <w:pPr>
        <w:pStyle w:val="Bodytext10"/>
        <w:spacing w:after="0"/>
      </w:pPr>
      <w:r>
        <w:t xml:space="preserve">cca 30 let staré informace o </w:t>
      </w:r>
      <w:r>
        <w:rPr>
          <w:i/>
          <w:iCs/>
        </w:rPr>
        <w:t>"Snižování hladiny podzemní vody v areálu LŠU v Kroměříži", které by měly být archivovány v</w:t>
      </w:r>
      <w:r>
        <w:t xml:space="preserve"> geofondu České geologické služby dle emailového sdělení archeologa NPŮ ÚOP Kroměříž </w:t>
      </w:r>
      <w:r w:rsidR="003A75C2">
        <w:t>xxx</w:t>
      </w:r>
      <w:r>
        <w:t>.</w:t>
      </w:r>
    </w:p>
    <w:p w:rsidR="000F5861" w:rsidRDefault="000A1DC7">
      <w:pPr>
        <w:pStyle w:val="Bodytext10"/>
        <w:jc w:val="both"/>
      </w:pPr>
      <w:r>
        <w:t>Vlastník by se měl zaměřit na získání dostupných informací o dříve provedených nebo navržených úpravách na odstranění vlhkosti</w:t>
      </w:r>
    </w:p>
    <w:p w:rsidR="000F5861" w:rsidRDefault="000A1DC7">
      <w:pPr>
        <w:pStyle w:val="Bodytext10"/>
        <w:jc w:val="both"/>
      </w:pPr>
      <w:r>
        <w:t>Veškeré změny a další doplňky oproti předloženému záměru je nutno předem odsouhlasit s orgány státní památkové péče ve smyslu zákona o státní památkové péči.</w:t>
      </w:r>
    </w:p>
    <w:p w:rsidR="003A75C2" w:rsidRDefault="003A75C2">
      <w:pPr>
        <w:pStyle w:val="Bodytext10"/>
        <w:spacing w:line="257" w:lineRule="auto"/>
        <w:jc w:val="both"/>
      </w:pPr>
    </w:p>
    <w:p w:rsidR="003A75C2" w:rsidRDefault="003A75C2">
      <w:pPr>
        <w:pStyle w:val="Bodytext10"/>
        <w:spacing w:line="257" w:lineRule="auto"/>
        <w:jc w:val="both"/>
      </w:pPr>
    </w:p>
    <w:p w:rsidR="003A75C2" w:rsidRDefault="003A75C2">
      <w:pPr>
        <w:pStyle w:val="Bodytext10"/>
        <w:spacing w:line="257" w:lineRule="auto"/>
        <w:jc w:val="both"/>
      </w:pPr>
    </w:p>
    <w:p w:rsidR="000F5861" w:rsidRDefault="000A1DC7">
      <w:pPr>
        <w:pStyle w:val="Bodytext10"/>
        <w:spacing w:line="257" w:lineRule="auto"/>
        <w:jc w:val="both"/>
      </w:pPr>
      <w:r>
        <w:t>Městský úřad v Kroměříži, stavební úřad, oddělení státní památkové péče, vycházel při svém rozhodování ze všech dostupných podkladů a zjištění a řídil se platnými právními předpisy a nařízeními.</w:t>
      </w:r>
    </w:p>
    <w:p w:rsidR="000F5861" w:rsidRDefault="000A1DC7">
      <w:pPr>
        <w:pStyle w:val="Bodytext10"/>
        <w:spacing w:after="480"/>
        <w:jc w:val="both"/>
      </w:pPr>
      <w:r>
        <w:t>Provedením výše popsaného záměru při splnění stanovené podmínky nebudou znehodnoceny kulturní a historické hodnoty okolních zapsaných kulturní památek, Městské památkové rezervace Kroměříž, ani hodnoty chráněné jejím ochranným pásmem.</w:t>
      </w:r>
    </w:p>
    <w:p w:rsidR="000F5861" w:rsidRDefault="000A1DC7">
      <w:pPr>
        <w:pStyle w:val="Heading110"/>
        <w:keepNext/>
        <w:keepLines/>
        <w:spacing w:line="254" w:lineRule="auto"/>
        <w:jc w:val="both"/>
      </w:pPr>
      <w:bookmarkStart w:id="15" w:name="bookmark14"/>
      <w:bookmarkStart w:id="16" w:name="bookmark15"/>
      <w:bookmarkStart w:id="17" w:name="bookmark16"/>
      <w:r>
        <w:t>Poučení o opravném prostředku:</w:t>
      </w:r>
      <w:bookmarkEnd w:id="15"/>
      <w:bookmarkEnd w:id="16"/>
      <w:bookmarkEnd w:id="17"/>
    </w:p>
    <w:p w:rsidR="000F5861" w:rsidRDefault="000A1DC7">
      <w:pPr>
        <w:pStyle w:val="Bodytext10"/>
        <w:spacing w:after="940" w:line="254" w:lineRule="auto"/>
        <w:jc w:val="both"/>
      </w:pPr>
      <w:r>
        <w:t xml:space="preserve">Proti tomuto závaznému stanovisku </w:t>
      </w:r>
      <w:r>
        <w:rPr>
          <w:b/>
          <w:bCs/>
        </w:rPr>
        <w:t xml:space="preserve">nelze </w:t>
      </w:r>
      <w:r>
        <w:t xml:space="preserve">v souladu s ustanovením § 149 odst. 1 správního řádu </w:t>
      </w:r>
      <w:r>
        <w:rPr>
          <w:b/>
          <w:bCs/>
        </w:rPr>
        <w:t xml:space="preserve">podat samostatné odvolání, </w:t>
      </w:r>
      <w:r>
        <w:t xml:space="preserve">neboť tento úkon není samostatným rozhodnutím. Pokud toto závazné stanovisko znemožňuje vyhovět výše uvedené žádosti, příslušný stavební úřad v souladu s ustanovením § 149 odst. 6 správního řádu nebude provádět další dokazování a žádost zamítne. </w:t>
      </w:r>
      <w:r>
        <w:rPr>
          <w:b/>
          <w:bCs/>
        </w:rPr>
        <w:t xml:space="preserve">Až proti rozhodnutí příslušného stavebního úřadu je možné podat odvolání, </w:t>
      </w:r>
      <w:r>
        <w:t>které umožní, aby bylo v souladu s ustanovením § 149 odst. 7 správního řádu přezkoumáno toto závazné stanovisko.</w:t>
      </w:r>
    </w:p>
    <w:p w:rsidR="000F5861" w:rsidRDefault="003A75C2">
      <w:pPr>
        <w:pStyle w:val="Bodytext10"/>
        <w:spacing w:after="940"/>
        <w:jc w:val="both"/>
      </w:pPr>
      <w:r>
        <w:t xml:space="preserve"> xxx</w:t>
      </w:r>
    </w:p>
    <w:p w:rsidR="000F5861" w:rsidRDefault="000A1DC7">
      <w:pPr>
        <w:pStyle w:val="Heading110"/>
        <w:keepNext/>
        <w:keepLines/>
        <w:spacing w:line="295" w:lineRule="auto"/>
      </w:pPr>
      <w:bookmarkStart w:id="18" w:name="bookmark17"/>
      <w:bookmarkStart w:id="19" w:name="bookmark18"/>
      <w:bookmarkStart w:id="20" w:name="bookmark19"/>
      <w:r>
        <w:t>Obdrží:</w:t>
      </w:r>
      <w:bookmarkEnd w:id="18"/>
      <w:bookmarkEnd w:id="19"/>
      <w:bookmarkEnd w:id="20"/>
    </w:p>
    <w:p w:rsidR="000F5861" w:rsidRDefault="000A1DC7">
      <w:pPr>
        <w:pStyle w:val="Bodytext10"/>
        <w:spacing w:after="0" w:line="240" w:lineRule="auto"/>
      </w:pPr>
      <w:r>
        <w:t>Kroměřížské technické služby, s.r.o., IDDS: pu7gzuj</w:t>
      </w:r>
    </w:p>
    <w:p w:rsidR="000F5861" w:rsidRDefault="000A1DC7">
      <w:pPr>
        <w:pStyle w:val="Bodytext10"/>
        <w:spacing w:line="240" w:lineRule="auto"/>
        <w:ind w:firstLine="680"/>
      </w:pPr>
      <w:r>
        <w:t>sídlo: Kaplanova č.p. 2959/6, 767 01 Kroměříž 1</w:t>
      </w:r>
    </w:p>
    <w:p w:rsidR="000F5861" w:rsidRDefault="000A1DC7">
      <w:pPr>
        <w:pStyle w:val="Bodytext10"/>
        <w:spacing w:after="0" w:line="240" w:lineRule="auto"/>
      </w:pPr>
      <w:r>
        <w:t>Národní památkový ústav, územní odborné pracoviště v Kroměříži, IDDS: 2cy8h6t</w:t>
      </w:r>
    </w:p>
    <w:p w:rsidR="000F5861" w:rsidRDefault="000A1DC7">
      <w:pPr>
        <w:pStyle w:val="Bodytext10"/>
        <w:spacing w:line="240" w:lineRule="auto"/>
        <w:ind w:firstLine="680"/>
      </w:pPr>
      <w:r>
        <w:t>sídlo: Riegrovo náměstí č.p. 3228/22, 767 01 Kroměříž 1</w:t>
      </w:r>
    </w:p>
    <w:p w:rsidR="000F5861" w:rsidRDefault="000A1DC7">
      <w:pPr>
        <w:pStyle w:val="Bodytext10"/>
        <w:spacing w:after="0" w:line="295" w:lineRule="auto"/>
      </w:pPr>
      <w:r>
        <w:t>Městský úřad Kroměříž, Stavební úřad, oddělení územního rozhodování a stavebního řádu IDDS: bg2bfur</w:t>
      </w:r>
    </w:p>
    <w:p w:rsidR="000F5861" w:rsidRDefault="000A1DC7">
      <w:pPr>
        <w:pStyle w:val="Bodytext10"/>
        <w:spacing w:line="295" w:lineRule="auto"/>
        <w:ind w:firstLine="680"/>
      </w:pPr>
      <w:r>
        <w:t>sídlo: Velké náměstí č.p. 115/1, 767 01 Kroměříž 1</w:t>
      </w:r>
    </w:p>
    <w:sectPr w:rsidR="000F5861">
      <w:headerReference w:type="default" r:id="rId9"/>
      <w:pgSz w:w="11900" w:h="16840"/>
      <w:pgMar w:top="1628" w:right="1014" w:bottom="1374" w:left="1383" w:header="0" w:footer="94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85" w:rsidRDefault="00BE5185">
      <w:r>
        <w:separator/>
      </w:r>
    </w:p>
  </w:endnote>
  <w:endnote w:type="continuationSeparator" w:id="0">
    <w:p w:rsidR="00BE5185" w:rsidRDefault="00BE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85" w:rsidRDefault="00BE5185"/>
  </w:footnote>
  <w:footnote w:type="continuationSeparator" w:id="0">
    <w:p w:rsidR="00BE5185" w:rsidRDefault="00BE5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61" w:rsidRDefault="000A1DC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925195</wp:posOffset>
              </wp:positionH>
              <wp:positionV relativeFrom="page">
                <wp:posOffset>637540</wp:posOffset>
              </wp:positionV>
              <wp:extent cx="1024255" cy="234950"/>
              <wp:effectExtent l="0" t="0" r="0" b="0"/>
              <wp:wrapNone/>
              <wp:docPr id="1" name="Shape 1"/>
              <wp:cNvGraphicFramePr/>
              <a:graphic xmlns:a="http://schemas.openxmlformats.org/drawingml/2006/main">
                <a:graphicData uri="http://schemas.microsoft.com/office/word/2010/wordprocessingShape">
                  <wps:wsp>
                    <wps:cNvSpPr txBox="1"/>
                    <wps:spPr>
                      <a:xfrm>
                        <a:off x="0" y="0"/>
                        <a:ext cx="1024255" cy="234950"/>
                      </a:xfrm>
                      <a:prstGeom prst="rect">
                        <a:avLst/>
                      </a:prstGeom>
                      <a:noFill/>
                    </wps:spPr>
                    <wps:txbx>
                      <w:txbxContent>
                        <w:p w:rsidR="000F5861" w:rsidRDefault="000A1DC7">
                          <w:pPr>
                            <w:pStyle w:val="Headerorfooter20"/>
                            <w:rPr>
                              <w:sz w:val="17"/>
                              <w:szCs w:val="17"/>
                            </w:rPr>
                          </w:pPr>
                          <w:r>
                            <w:rPr>
                              <w:sz w:val="17"/>
                              <w:szCs w:val="17"/>
                            </w:rPr>
                            <w:t>Č.j. 02/083844/2021/St</w:t>
                          </w:r>
                        </w:p>
                        <w:p w:rsidR="000F5861" w:rsidRDefault="000A1DC7">
                          <w:pPr>
                            <w:pStyle w:val="Headerorfooter20"/>
                            <w:rPr>
                              <w:sz w:val="18"/>
                              <w:szCs w:val="18"/>
                            </w:rPr>
                          </w:pPr>
                          <w:r>
                            <w:rPr>
                              <w:sz w:val="18"/>
                              <w:szCs w:val="18"/>
                            </w:rPr>
                            <w:t>ZS 192/2021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850000000000009pt;margin-top:50.200000000000003pt;width:80.650000000000006pt;height:18.5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cs-CZ" w:eastAsia="cs-CZ" w:bidi="cs-CZ"/>
                      </w:rPr>
                      <w:t>Č.j. 02/083844/2021/St</w:t>
                    </w:r>
                  </w:p>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lang w:val="cs-CZ" w:eastAsia="cs-CZ" w:bidi="cs-CZ"/>
                      </w:rPr>
                      <w:t>ZS 192/2021</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3589020</wp:posOffset>
              </wp:positionH>
              <wp:positionV relativeFrom="page">
                <wp:posOffset>652780</wp:posOffset>
              </wp:positionV>
              <wp:extent cx="210185"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210185" cy="76200"/>
                      </a:xfrm>
                      <a:prstGeom prst="rect">
                        <a:avLst/>
                      </a:prstGeom>
                      <a:noFill/>
                    </wps:spPr>
                    <wps:txbx>
                      <w:txbxContent>
                        <w:p w:rsidR="000F5861" w:rsidRDefault="000A1DC7">
                          <w:pPr>
                            <w:pStyle w:val="Headerorfooter20"/>
                            <w:rPr>
                              <w:sz w:val="17"/>
                              <w:szCs w:val="17"/>
                            </w:rPr>
                          </w:pPr>
                          <w:r>
                            <w:rPr>
                              <w:sz w:val="17"/>
                              <w:szCs w:val="17"/>
                            </w:rPr>
                            <w:t xml:space="preserve">str. </w:t>
                          </w:r>
                          <w:r>
                            <w:rPr>
                              <w:sz w:val="17"/>
                              <w:szCs w:val="17"/>
                            </w:rPr>
                            <w:fldChar w:fldCharType="begin"/>
                          </w:r>
                          <w:r>
                            <w:rPr>
                              <w:sz w:val="17"/>
                              <w:szCs w:val="17"/>
                            </w:rPr>
                            <w:instrText xml:space="preserve"> PAGE \* MERGEFORMAT </w:instrText>
                          </w:r>
                          <w:r>
                            <w:rPr>
                              <w:sz w:val="17"/>
                              <w:szCs w:val="17"/>
                            </w:rPr>
                            <w:fldChar w:fldCharType="separate"/>
                          </w:r>
                          <w:r w:rsidR="003B187E">
                            <w:rPr>
                              <w:noProof/>
                              <w:sz w:val="17"/>
                              <w:szCs w:val="17"/>
                            </w:rPr>
                            <w:t>4</w:t>
                          </w:r>
                          <w:r>
                            <w:rPr>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82.6pt;margin-top:51.4pt;width:16.55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" filled="f" stroked="f">
              <v:textbox style="mso-fit-shape-to-text:t" inset="0,0,0,0">
                <w:txbxContent>
                  <w:p w:rsidR="000F5861" w:rsidRDefault="000A1DC7">
                    <w:pPr>
                      <w:pStyle w:val="Headerorfooter20"/>
                      <w:rPr>
                        <w:sz w:val="17"/>
                        <w:szCs w:val="17"/>
                      </w:rPr>
                    </w:pPr>
                    <w:r>
                      <w:rPr>
                        <w:sz w:val="17"/>
                        <w:szCs w:val="17"/>
                      </w:rPr>
                      <w:t xml:space="preserve">str. </w:t>
                    </w:r>
                    <w:r>
                      <w:rPr>
                        <w:sz w:val="17"/>
                        <w:szCs w:val="17"/>
                      </w:rPr>
                      <w:fldChar w:fldCharType="begin"/>
                    </w:r>
                    <w:r>
                      <w:rPr>
                        <w:sz w:val="17"/>
                        <w:szCs w:val="17"/>
                      </w:rPr>
                      <w:instrText xml:space="preserve"> PAGE \* MERGEFORMAT </w:instrText>
                    </w:r>
                    <w:r>
                      <w:rPr>
                        <w:sz w:val="17"/>
                        <w:szCs w:val="17"/>
                      </w:rPr>
                      <w:fldChar w:fldCharType="separate"/>
                    </w:r>
                    <w:r w:rsidR="003B187E">
                      <w:rPr>
                        <w:noProof/>
                        <w:sz w:val="17"/>
                        <w:szCs w:val="17"/>
                      </w:rPr>
                      <w:t>4</w:t>
                    </w:r>
                    <w:r>
                      <w:rPr>
                        <w:sz w:val="17"/>
                        <w:szCs w:val="1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57850"/>
    <w:multiLevelType w:val="multilevel"/>
    <w:tmpl w:val="A8F2FC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61"/>
    <w:rsid w:val="000A1DC7"/>
    <w:rsid w:val="000F5861"/>
    <w:rsid w:val="003A75C2"/>
    <w:rsid w:val="003B187E"/>
    <w:rsid w:val="00536216"/>
    <w:rsid w:val="005F475D"/>
    <w:rsid w:val="00BE5185"/>
    <w:rsid w:val="00CA1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855F8-232C-4F50-BE87-97C0C3BE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paragraph" w:customStyle="1" w:styleId="Other10">
    <w:name w:val="Other|1"/>
    <w:basedOn w:val="Normln"/>
    <w:link w:val="Other1"/>
    <w:pPr>
      <w:spacing w:after="220" w:line="252" w:lineRule="auto"/>
    </w:pPr>
    <w:rPr>
      <w:rFonts w:ascii="Arial" w:eastAsia="Arial" w:hAnsi="Arial" w:cs="Arial"/>
      <w:sz w:val="20"/>
      <w:szCs w:val="20"/>
    </w:rPr>
  </w:style>
  <w:style w:type="paragraph" w:customStyle="1" w:styleId="Bodytext10">
    <w:name w:val="Body text|1"/>
    <w:basedOn w:val="Normln"/>
    <w:link w:val="Bodytext1"/>
    <w:pPr>
      <w:spacing w:after="220" w:line="252" w:lineRule="auto"/>
    </w:pPr>
    <w:rPr>
      <w:rFonts w:ascii="Arial" w:eastAsia="Arial" w:hAnsi="Arial" w:cs="Arial"/>
      <w:sz w:val="20"/>
      <w:szCs w:val="20"/>
    </w:rPr>
  </w:style>
  <w:style w:type="paragraph" w:customStyle="1" w:styleId="Heading110">
    <w:name w:val="Heading #1|1"/>
    <w:basedOn w:val="Normln"/>
    <w:link w:val="Heading11"/>
    <w:pPr>
      <w:spacing w:line="252" w:lineRule="auto"/>
      <w:outlineLvl w:val="0"/>
    </w:pPr>
    <w:rPr>
      <w:rFonts w:ascii="Arial" w:eastAsia="Arial" w:hAnsi="Arial" w:cs="Arial"/>
      <w:b/>
      <w:bCs/>
      <w:sz w:val="20"/>
      <w:szCs w:val="20"/>
    </w:rPr>
  </w:style>
  <w:style w:type="paragraph" w:customStyle="1" w:styleId="Headerorfooter20">
    <w:name w:val="Header or footer|2"/>
    <w:basedOn w:val="Normln"/>
    <w:link w:val="Headerorfooter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rub.avcr.cz/informace-pro-stavebniky/index.html" TargetMode="External"/><Relationship Id="rId3" Type="http://schemas.openxmlformats.org/officeDocument/2006/relationships/settings" Target="settings.xml"/><Relationship Id="rId7" Type="http://schemas.openxmlformats.org/officeDocument/2006/relationships/hyperlink" Target="mailto:alena.stanova@mestok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9713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Skálová</dc:creator>
  <cp:keywords/>
  <cp:lastModifiedBy>Krejčiříková Jaroslava</cp:lastModifiedBy>
  <cp:revision>2</cp:revision>
  <dcterms:created xsi:type="dcterms:W3CDTF">2022-09-23T06:05:00Z</dcterms:created>
  <dcterms:modified xsi:type="dcterms:W3CDTF">2022-09-23T06:05:00Z</dcterms:modified>
</cp:coreProperties>
</file>