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framePr w:w="6233" w:h="490" w:wrap="auto" w:vAnchor="page" w:hAnchor="page" w:x="4537" w:y="15645"/>
        <w:rPr>
          <w:sz w:val="24"/>
          <w:szCs w:val="24"/>
          <w:color w:val="auto"/>
        </w:rPr>
      </w:pPr>
    </w:p>
    <w:p>
      <w:pPr>
        <w:spacing w:after="0" w:line="234" w:lineRule="auto"/>
        <w:framePr w:w="840" w:h="214" w:wrap="auto" w:vAnchor="page" w:hAnchor="page" w:x="9980" w:y="15645"/>
        <w:rPr>
          <w:rFonts w:ascii="Arial" w:cs="Arial" w:eastAsia="Arial" w:hAnsi="Arial"/>
          <w:sz w:val="19"/>
          <w:szCs w:val="19"/>
          <w:b w:val="1"/>
          <w:bCs w:val="1"/>
          <w:color w:val="auto"/>
        </w:rPr>
      </w:pPr>
      <w:r>
        <w:rPr>
          <w:rFonts w:ascii="Arial" w:cs="Arial" w:eastAsia="Arial" w:hAnsi="Arial"/>
          <w:sz w:val="19"/>
          <w:szCs w:val="19"/>
          <w:b w:val="1"/>
          <w:bCs w:val="1"/>
          <w:color w:val="auto"/>
        </w:rPr>
        <w:t>strana 1</w:t>
      </w:r>
    </w:p>
    <w:p>
      <w:pPr>
        <w:spacing w:after="0" w:line="308" w:lineRule="exact"/>
        <w:rPr>
          <w:rFonts w:ascii="Arial" w:cs="Arial" w:eastAsia="Arial" w:hAnsi="Arial"/>
          <w:sz w:val="19"/>
          <w:szCs w:val="19"/>
          <w:b w:val="1"/>
          <w:bCs w:val="1"/>
          <w:color w:val="auto"/>
        </w:rPr>
      </w:pPr>
    </w:p>
    <w:p>
      <w:pPr>
        <w:jc w:val="center"/>
        <w:ind w:right="20"/>
        <w:spacing w:after="0"/>
        <w:rPr>
          <w:sz w:val="20"/>
          <w:szCs w:val="20"/>
          <w:color w:val="auto"/>
        </w:rPr>
      </w:pPr>
      <w:r>
        <w:rPr>
          <w:rFonts w:ascii="Arial" w:cs="Arial" w:eastAsia="Arial" w:hAnsi="Arial"/>
          <w:sz w:val="32"/>
          <w:szCs w:val="32"/>
          <w:b w:val="1"/>
          <w:bCs w:val="1"/>
          <w:color w:val="auto"/>
        </w:rPr>
        <w:t>KUPNÍ SMLOUVA č. 19-7-6</w:t>
      </w:r>
    </w:p>
    <w:p>
      <w:pPr>
        <w:spacing w:after="0" w:line="262" w:lineRule="exact"/>
        <w:rPr>
          <w:rFonts w:ascii="Arial" w:cs="Arial" w:eastAsia="Arial" w:hAnsi="Arial"/>
          <w:sz w:val="19"/>
          <w:szCs w:val="19"/>
          <w:b w:val="1"/>
          <w:bCs w:val="1"/>
          <w:color w:val="auto"/>
        </w:rPr>
      </w:pPr>
    </w:p>
    <w:p>
      <w:pPr>
        <w:jc w:val="center"/>
        <w:ind w:right="20"/>
        <w:spacing w:after="0" w:line="237" w:lineRule="auto"/>
        <w:rPr>
          <w:sz w:val="20"/>
          <w:szCs w:val="20"/>
          <w:color w:val="auto"/>
        </w:rPr>
      </w:pPr>
      <w:r>
        <w:rPr>
          <w:rFonts w:ascii="Arial" w:cs="Arial" w:eastAsia="Arial" w:hAnsi="Arial"/>
          <w:sz w:val="22"/>
          <w:szCs w:val="22"/>
          <w:b w:val="1"/>
          <w:bCs w:val="1"/>
          <w:color w:val="auto"/>
        </w:rPr>
        <w:t>uzavřená podle ustanovení § 2079 a následujících zákona č. 89/2012 Sb., občanského zákoníku</w:t>
      </w:r>
    </w:p>
    <w:p>
      <w:pPr>
        <w:spacing w:after="0" w:line="200" w:lineRule="exact"/>
        <w:rPr>
          <w:rFonts w:ascii="Arial" w:cs="Arial" w:eastAsia="Arial" w:hAnsi="Arial"/>
          <w:sz w:val="19"/>
          <w:szCs w:val="19"/>
          <w:b w:val="1"/>
          <w:bCs w:val="1"/>
          <w:color w:val="auto"/>
        </w:rPr>
      </w:pPr>
    </w:p>
    <w:p>
      <w:pPr>
        <w:spacing w:after="0" w:line="306" w:lineRule="exact"/>
        <w:rPr>
          <w:rFonts w:ascii="Arial" w:cs="Arial" w:eastAsia="Arial" w:hAnsi="Arial"/>
          <w:sz w:val="19"/>
          <w:szCs w:val="19"/>
          <w:b w:val="1"/>
          <w:bCs w:val="1"/>
          <w:color w:val="auto"/>
        </w:rPr>
      </w:pPr>
    </w:p>
    <w:tbl>
      <w:tblPr>
        <w:tblLayout w:type="fixed"/>
        <w:tblInd w:w="0" w:type="dxa"/>
        <w:tblCellMar>
          <w:top w:w="0" w:type="dxa"/>
          <w:left w:w="0" w:type="dxa"/>
          <w:bottom w:w="0" w:type="dxa"/>
          <w:right w:w="0" w:type="dxa"/>
        </w:tblCellMar>
      </w:tblPr>
      <w:tr>
        <w:trPr>
          <w:trHeight w:val="322"/>
        </w:trPr>
        <w:tc>
          <w:tcPr>
            <w:tcW w:w="540" w:type="dxa"/>
            <w:vAlign w:val="bottom"/>
          </w:tcPr>
          <w:p>
            <w:pPr>
              <w:spacing w:after="0"/>
              <w:rPr>
                <w:sz w:val="24"/>
                <w:szCs w:val="24"/>
                <w:color w:val="auto"/>
              </w:rPr>
            </w:pPr>
          </w:p>
        </w:tc>
        <w:tc>
          <w:tcPr>
            <w:tcW w:w="23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4740" w:type="dxa"/>
            <w:vAlign w:val="bottom"/>
            <w:gridSpan w:val="2"/>
          </w:tcPr>
          <w:p>
            <w:pPr>
              <w:ind w:left="120"/>
              <w:spacing w:after="0"/>
              <w:rPr>
                <w:sz w:val="20"/>
                <w:szCs w:val="20"/>
                <w:color w:val="auto"/>
              </w:rPr>
            </w:pPr>
            <w:r>
              <w:rPr>
                <w:rFonts w:ascii="Arial" w:cs="Arial" w:eastAsia="Arial" w:hAnsi="Arial"/>
                <w:sz w:val="28"/>
                <w:szCs w:val="28"/>
                <w:b w:val="1"/>
                <w:bCs w:val="1"/>
                <w:color w:val="auto"/>
              </w:rPr>
              <w:t>1. Smluvní strany</w:t>
            </w:r>
          </w:p>
        </w:tc>
      </w:tr>
      <w:tr>
        <w:trPr>
          <w:trHeight w:val="545"/>
        </w:trPr>
        <w:tc>
          <w:tcPr>
            <w:tcW w:w="540" w:type="dxa"/>
            <w:vAlign w:val="bottom"/>
          </w:tcPr>
          <w:p>
            <w:pPr>
              <w:spacing w:after="0"/>
              <w:rPr>
                <w:sz w:val="20"/>
                <w:szCs w:val="20"/>
                <w:color w:val="auto"/>
              </w:rPr>
            </w:pPr>
            <w:r>
              <w:rPr>
                <w:rFonts w:ascii="Arial" w:cs="Arial" w:eastAsia="Arial" w:hAnsi="Arial"/>
                <w:sz w:val="22"/>
                <w:szCs w:val="22"/>
                <w:b w:val="1"/>
                <w:bCs w:val="1"/>
                <w:color w:val="auto"/>
              </w:rPr>
              <w:t>1.1</w:t>
            </w: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Kupující:</w:t>
            </w:r>
          </w:p>
        </w:tc>
        <w:tc>
          <w:tcPr>
            <w:tcW w:w="5240" w:type="dxa"/>
            <w:vAlign w:val="bottom"/>
            <w:gridSpan w:val="3"/>
          </w:tcPr>
          <w:p>
            <w:pPr>
              <w:ind w:left="360"/>
              <w:spacing w:after="0"/>
              <w:rPr>
                <w:sz w:val="20"/>
                <w:szCs w:val="20"/>
                <w:color w:val="auto"/>
              </w:rPr>
            </w:pPr>
            <w:r>
              <w:rPr>
                <w:rFonts w:ascii="Arial" w:cs="Arial" w:eastAsia="Arial" w:hAnsi="Arial"/>
                <w:sz w:val="22"/>
                <w:szCs w:val="22"/>
                <w:b w:val="1"/>
                <w:bCs w:val="1"/>
                <w:color w:val="auto"/>
              </w:rPr>
              <w:t>Nemocnice Boskovice s.r.o.</w:t>
            </w:r>
          </w:p>
        </w:tc>
      </w:tr>
      <w:tr>
        <w:trPr>
          <w:trHeight w:val="336"/>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Sídlo:</w:t>
            </w:r>
          </w:p>
        </w:tc>
        <w:tc>
          <w:tcPr>
            <w:tcW w:w="5240" w:type="dxa"/>
            <w:vAlign w:val="bottom"/>
            <w:gridSpan w:val="3"/>
          </w:tcPr>
          <w:p>
            <w:pPr>
              <w:ind w:left="360"/>
              <w:spacing w:after="0"/>
              <w:rPr>
                <w:sz w:val="20"/>
                <w:szCs w:val="20"/>
                <w:color w:val="auto"/>
              </w:rPr>
            </w:pPr>
            <w:r>
              <w:rPr>
                <w:rFonts w:ascii="Arial" w:cs="Arial" w:eastAsia="Arial" w:hAnsi="Arial"/>
                <w:sz w:val="22"/>
                <w:szCs w:val="22"/>
                <w:b w:val="1"/>
                <w:bCs w:val="1"/>
                <w:color w:val="auto"/>
              </w:rPr>
              <w:t>Otakara Kubína 179, 680 21 Boskovice</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IČ:</w:t>
            </w:r>
          </w:p>
        </w:tc>
        <w:tc>
          <w:tcPr>
            <w:tcW w:w="3340" w:type="dxa"/>
            <w:vAlign w:val="bottom"/>
            <w:gridSpan w:val="2"/>
          </w:tcPr>
          <w:p>
            <w:pPr>
              <w:ind w:left="360"/>
              <w:spacing w:after="0"/>
              <w:rPr>
                <w:sz w:val="20"/>
                <w:szCs w:val="20"/>
                <w:color w:val="auto"/>
              </w:rPr>
            </w:pPr>
            <w:r>
              <w:rPr>
                <w:rFonts w:ascii="Arial" w:cs="Arial" w:eastAsia="Arial" w:hAnsi="Arial"/>
                <w:sz w:val="22"/>
                <w:szCs w:val="22"/>
                <w:b w:val="1"/>
                <w:bCs w:val="1"/>
                <w:color w:val="auto"/>
              </w:rPr>
              <w:t>26925974</w:t>
            </w:r>
          </w:p>
        </w:tc>
        <w:tc>
          <w:tcPr>
            <w:tcW w:w="1900" w:type="dxa"/>
            <w:vAlign w:val="bottom"/>
          </w:tcPr>
          <w:p>
            <w:pPr>
              <w:spacing w:after="0"/>
              <w:rPr>
                <w:sz w:val="24"/>
                <w:szCs w:val="24"/>
                <w:color w:val="auto"/>
              </w:rPr>
            </w:pPr>
          </w:p>
        </w:tc>
      </w:tr>
      <w:tr>
        <w:trPr>
          <w:trHeight w:val="331"/>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DIČ:</w:t>
            </w:r>
          </w:p>
        </w:tc>
        <w:tc>
          <w:tcPr>
            <w:tcW w:w="5240" w:type="dxa"/>
            <w:vAlign w:val="bottom"/>
            <w:gridSpan w:val="3"/>
          </w:tcPr>
          <w:p>
            <w:pPr>
              <w:ind w:left="360"/>
              <w:spacing w:after="0"/>
              <w:rPr>
                <w:sz w:val="20"/>
                <w:szCs w:val="20"/>
                <w:color w:val="auto"/>
              </w:rPr>
            </w:pPr>
            <w:r>
              <w:rPr>
                <w:rFonts w:ascii="Arial" w:cs="Arial" w:eastAsia="Arial" w:hAnsi="Arial"/>
                <w:sz w:val="22"/>
                <w:szCs w:val="22"/>
                <w:b w:val="1"/>
                <w:bCs w:val="1"/>
                <w:color w:val="auto"/>
              </w:rPr>
              <w:t>CZ26925974</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Číslo účtu:</w:t>
            </w:r>
          </w:p>
        </w:tc>
        <w:tc>
          <w:tcPr>
            <w:tcW w:w="3340" w:type="dxa"/>
            <w:vAlign w:val="bottom"/>
            <w:gridSpan w:val="2"/>
          </w:tcPr>
          <w:p>
            <w:pPr>
              <w:ind w:left="360"/>
              <w:spacing w:after="0"/>
              <w:rPr>
                <w:sz w:val="20"/>
                <w:szCs w:val="20"/>
                <w:color w:val="auto"/>
              </w:rPr>
            </w:pPr>
            <w:r>
              <w:rPr>
                <w:rFonts w:ascii="Arial" w:cs="Arial" w:eastAsia="Arial" w:hAnsi="Arial"/>
                <w:sz w:val="22"/>
                <w:szCs w:val="22"/>
                <w:b w:val="1"/>
                <w:bCs w:val="1"/>
                <w:color w:val="auto"/>
              </w:rPr>
              <w:t>1888779399/0800</w:t>
            </w:r>
          </w:p>
        </w:tc>
        <w:tc>
          <w:tcPr>
            <w:tcW w:w="1900" w:type="dxa"/>
            <w:vAlign w:val="bottom"/>
          </w:tcPr>
          <w:p>
            <w:pPr>
              <w:spacing w:after="0"/>
              <w:rPr>
                <w:sz w:val="24"/>
                <w:szCs w:val="24"/>
                <w:color w:val="auto"/>
              </w:rPr>
            </w:pP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Bankovní spojení:</w:t>
            </w:r>
          </w:p>
        </w:tc>
        <w:tc>
          <w:tcPr>
            <w:tcW w:w="5240" w:type="dxa"/>
            <w:vAlign w:val="bottom"/>
            <w:gridSpan w:val="3"/>
          </w:tcPr>
          <w:p>
            <w:pPr>
              <w:ind w:left="360"/>
              <w:spacing w:after="0"/>
              <w:rPr>
                <w:sz w:val="20"/>
                <w:szCs w:val="20"/>
                <w:color w:val="auto"/>
              </w:rPr>
            </w:pPr>
            <w:r>
              <w:rPr>
                <w:rFonts w:ascii="Arial" w:cs="Arial" w:eastAsia="Arial" w:hAnsi="Arial"/>
                <w:sz w:val="22"/>
                <w:szCs w:val="22"/>
                <w:b w:val="1"/>
                <w:bCs w:val="1"/>
                <w:color w:val="auto"/>
              </w:rPr>
              <w:t>Česká spořitelna a.s.</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Zastoupen:</w:t>
            </w:r>
          </w:p>
        </w:tc>
        <w:tc>
          <w:tcPr>
            <w:tcW w:w="5240" w:type="dxa"/>
            <w:vAlign w:val="bottom"/>
            <w:gridSpan w:val="3"/>
          </w:tcPr>
          <w:p>
            <w:pPr>
              <w:ind w:left="360"/>
              <w:spacing w:after="0"/>
              <w:rPr>
                <w:sz w:val="20"/>
                <w:szCs w:val="20"/>
                <w:color w:val="auto"/>
              </w:rPr>
            </w:pPr>
            <w:r>
              <w:rPr>
                <w:rFonts w:ascii="Arial" w:cs="Arial" w:eastAsia="Arial" w:hAnsi="Arial"/>
                <w:sz w:val="22"/>
                <w:szCs w:val="22"/>
                <w:b w:val="1"/>
                <w:bCs w:val="1"/>
                <w:color w:val="auto"/>
                <w:w w:val="94"/>
              </w:rPr>
              <w:t>prof. MUDr, Milošem Janečkem, CSc., jednatelem</w:t>
            </w:r>
          </w:p>
        </w:tc>
      </w:tr>
      <w:tr>
        <w:trPr>
          <w:trHeight w:val="331"/>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Vyřizuje:</w:t>
            </w:r>
          </w:p>
        </w:tc>
        <w:tc>
          <w:tcPr>
            <w:tcW w:w="5240" w:type="dxa"/>
            <w:vAlign w:val="bottom"/>
            <w:gridSpan w:val="3"/>
          </w:tcPr>
          <w:p>
            <w:pPr>
              <w:ind w:left="360"/>
              <w:spacing w:after="0"/>
              <w:rPr>
                <w:sz w:val="20"/>
                <w:szCs w:val="20"/>
                <w:color w:val="auto"/>
              </w:rPr>
            </w:pPr>
            <w:r>
              <w:rPr>
                <w:rFonts w:ascii="Arial" w:cs="Arial" w:eastAsia="Arial" w:hAnsi="Arial"/>
                <w:sz w:val="22"/>
                <w:szCs w:val="22"/>
                <w:b w:val="1"/>
                <w:bCs w:val="1"/>
                <w:color w:val="auto"/>
              </w:rPr>
              <w:t>Mgr. Eva Škrabalová</w:t>
            </w:r>
          </w:p>
        </w:tc>
      </w:tr>
      <w:tr>
        <w:trPr>
          <w:trHeight w:val="293"/>
        </w:trPr>
        <w:tc>
          <w:tcPr>
            <w:tcW w:w="2900" w:type="dxa"/>
            <w:vAlign w:val="bottom"/>
            <w:gridSpan w:val="2"/>
          </w:tcPr>
          <w:p>
            <w:pPr>
              <w:spacing w:after="0"/>
              <w:rPr>
                <w:sz w:val="20"/>
                <w:szCs w:val="20"/>
                <w:color w:val="auto"/>
              </w:rPr>
            </w:pPr>
            <w:r>
              <w:rPr>
                <w:rFonts w:ascii="Arial" w:cs="Arial" w:eastAsia="Arial" w:hAnsi="Arial"/>
                <w:sz w:val="22"/>
                <w:szCs w:val="22"/>
                <w:b w:val="1"/>
                <w:bCs w:val="1"/>
                <w:color w:val="auto"/>
              </w:rPr>
              <w:t>(dále jen „kupující“)</w:t>
            </w:r>
          </w:p>
        </w:tc>
        <w:tc>
          <w:tcPr>
            <w:tcW w:w="500" w:type="dxa"/>
            <w:vAlign w:val="bottom"/>
          </w:tcPr>
          <w:p>
            <w:pPr>
              <w:spacing w:after="0"/>
              <w:rPr>
                <w:sz w:val="24"/>
                <w:szCs w:val="24"/>
                <w:color w:val="auto"/>
              </w:rPr>
            </w:pPr>
          </w:p>
        </w:tc>
        <w:tc>
          <w:tcPr>
            <w:tcW w:w="2840" w:type="dxa"/>
            <w:vAlign w:val="bottom"/>
          </w:tcPr>
          <w:p>
            <w:pPr>
              <w:spacing w:after="0"/>
              <w:rPr>
                <w:sz w:val="24"/>
                <w:szCs w:val="24"/>
                <w:color w:val="auto"/>
              </w:rPr>
            </w:pPr>
          </w:p>
        </w:tc>
        <w:tc>
          <w:tcPr>
            <w:tcW w:w="1900" w:type="dxa"/>
            <w:vAlign w:val="bottom"/>
          </w:tcPr>
          <w:p>
            <w:pPr>
              <w:spacing w:after="0"/>
              <w:rPr>
                <w:sz w:val="24"/>
                <w:szCs w:val="24"/>
                <w:color w:val="auto"/>
              </w:rPr>
            </w:pPr>
          </w:p>
        </w:tc>
      </w:tr>
      <w:tr>
        <w:trPr>
          <w:trHeight w:val="506"/>
        </w:trPr>
        <w:tc>
          <w:tcPr>
            <w:tcW w:w="540" w:type="dxa"/>
            <w:vAlign w:val="bottom"/>
          </w:tcPr>
          <w:p>
            <w:pPr>
              <w:spacing w:after="0"/>
              <w:rPr>
                <w:sz w:val="20"/>
                <w:szCs w:val="20"/>
                <w:color w:val="auto"/>
              </w:rPr>
            </w:pPr>
            <w:r>
              <w:rPr>
                <w:rFonts w:ascii="Arial" w:cs="Arial" w:eastAsia="Arial" w:hAnsi="Arial"/>
                <w:sz w:val="22"/>
                <w:szCs w:val="22"/>
                <w:b w:val="1"/>
                <w:bCs w:val="1"/>
                <w:color w:val="auto"/>
              </w:rPr>
              <w:t>a</w:t>
            </w:r>
          </w:p>
        </w:tc>
        <w:tc>
          <w:tcPr>
            <w:tcW w:w="236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2840" w:type="dxa"/>
            <w:vAlign w:val="bottom"/>
          </w:tcPr>
          <w:p>
            <w:pPr>
              <w:spacing w:after="0"/>
              <w:rPr>
                <w:sz w:val="24"/>
                <w:szCs w:val="24"/>
                <w:color w:val="auto"/>
              </w:rPr>
            </w:pPr>
          </w:p>
        </w:tc>
        <w:tc>
          <w:tcPr>
            <w:tcW w:w="1900" w:type="dxa"/>
            <w:vAlign w:val="bottom"/>
          </w:tcPr>
          <w:p>
            <w:pPr>
              <w:spacing w:after="0"/>
              <w:rPr>
                <w:sz w:val="24"/>
                <w:szCs w:val="24"/>
                <w:color w:val="auto"/>
              </w:rPr>
            </w:pPr>
          </w:p>
        </w:tc>
      </w:tr>
      <w:tr>
        <w:trPr>
          <w:trHeight w:val="545"/>
        </w:trPr>
        <w:tc>
          <w:tcPr>
            <w:tcW w:w="540" w:type="dxa"/>
            <w:vAlign w:val="bottom"/>
          </w:tcPr>
          <w:p>
            <w:pPr>
              <w:spacing w:after="0"/>
              <w:rPr>
                <w:sz w:val="20"/>
                <w:szCs w:val="20"/>
                <w:color w:val="auto"/>
              </w:rPr>
            </w:pPr>
            <w:r>
              <w:rPr>
                <w:rFonts w:ascii="Arial" w:cs="Arial" w:eastAsia="Arial" w:hAnsi="Arial"/>
                <w:sz w:val="22"/>
                <w:szCs w:val="22"/>
                <w:b w:val="1"/>
                <w:bCs w:val="1"/>
                <w:color w:val="auto"/>
              </w:rPr>
              <w:t>1.2</w:t>
            </w: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Prodávající:</w:t>
            </w:r>
          </w:p>
        </w:tc>
        <w:tc>
          <w:tcPr>
            <w:tcW w:w="5240" w:type="dxa"/>
            <w:vAlign w:val="bottom"/>
            <w:gridSpan w:val="3"/>
          </w:tcPr>
          <w:p>
            <w:pPr>
              <w:ind w:left="500"/>
              <w:spacing w:after="0"/>
              <w:rPr>
                <w:sz w:val="20"/>
                <w:szCs w:val="20"/>
                <w:color w:val="auto"/>
              </w:rPr>
            </w:pPr>
            <w:r>
              <w:rPr>
                <w:rFonts w:ascii="Arial" w:cs="Arial" w:eastAsia="Arial" w:hAnsi="Arial"/>
                <w:sz w:val="22"/>
                <w:szCs w:val="22"/>
                <w:b w:val="1"/>
                <w:bCs w:val="1"/>
                <w:color w:val="auto"/>
              </w:rPr>
              <w:t>medisap,s.r.o.</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Sídlo:</w:t>
            </w:r>
          </w:p>
        </w:tc>
        <w:tc>
          <w:tcPr>
            <w:tcW w:w="5240" w:type="dxa"/>
            <w:vAlign w:val="bottom"/>
            <w:gridSpan w:val="3"/>
          </w:tcPr>
          <w:p>
            <w:pPr>
              <w:ind w:left="500"/>
              <w:spacing w:after="0"/>
              <w:rPr>
                <w:sz w:val="20"/>
                <w:szCs w:val="20"/>
                <w:color w:val="auto"/>
              </w:rPr>
            </w:pPr>
            <w:r>
              <w:rPr>
                <w:rFonts w:ascii="Arial" w:cs="Arial" w:eastAsia="Arial" w:hAnsi="Arial"/>
                <w:sz w:val="22"/>
                <w:szCs w:val="22"/>
                <w:b w:val="1"/>
                <w:bCs w:val="1"/>
                <w:color w:val="auto"/>
              </w:rPr>
              <w:t>Na Rovnosti 2244/5, 130 00 Praha 3</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IČ:</w:t>
            </w:r>
          </w:p>
        </w:tc>
        <w:tc>
          <w:tcPr>
            <w:tcW w:w="3340" w:type="dxa"/>
            <w:vAlign w:val="bottom"/>
            <w:gridSpan w:val="2"/>
          </w:tcPr>
          <w:p>
            <w:pPr>
              <w:ind w:left="500"/>
              <w:spacing w:after="0"/>
              <w:rPr>
                <w:sz w:val="20"/>
                <w:szCs w:val="20"/>
                <w:color w:val="auto"/>
              </w:rPr>
            </w:pPr>
            <w:r>
              <w:rPr>
                <w:rFonts w:ascii="Arial" w:cs="Arial" w:eastAsia="Arial" w:hAnsi="Arial"/>
                <w:sz w:val="22"/>
                <w:szCs w:val="22"/>
                <w:b w:val="1"/>
                <w:bCs w:val="1"/>
                <w:color w:val="auto"/>
              </w:rPr>
              <w:t>48029360</w:t>
            </w:r>
          </w:p>
        </w:tc>
        <w:tc>
          <w:tcPr>
            <w:tcW w:w="1900" w:type="dxa"/>
            <w:vAlign w:val="bottom"/>
          </w:tcPr>
          <w:p>
            <w:pPr>
              <w:spacing w:after="0"/>
              <w:rPr>
                <w:sz w:val="24"/>
                <w:szCs w:val="24"/>
                <w:color w:val="auto"/>
              </w:rPr>
            </w:pP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DIČ:</w:t>
            </w:r>
          </w:p>
        </w:tc>
        <w:tc>
          <w:tcPr>
            <w:tcW w:w="500" w:type="dxa"/>
            <w:vAlign w:val="bottom"/>
          </w:tcPr>
          <w:p>
            <w:pPr>
              <w:spacing w:after="0"/>
              <w:rPr>
                <w:sz w:val="24"/>
                <w:szCs w:val="24"/>
                <w:color w:val="auto"/>
              </w:rPr>
            </w:pPr>
          </w:p>
        </w:tc>
        <w:tc>
          <w:tcPr>
            <w:tcW w:w="4740" w:type="dxa"/>
            <w:vAlign w:val="bottom"/>
            <w:gridSpan w:val="2"/>
          </w:tcPr>
          <w:p>
            <w:pPr>
              <w:spacing w:after="0"/>
              <w:rPr>
                <w:sz w:val="20"/>
                <w:szCs w:val="20"/>
                <w:color w:val="auto"/>
              </w:rPr>
            </w:pPr>
            <w:r>
              <w:rPr>
                <w:rFonts w:ascii="Arial" w:cs="Arial" w:eastAsia="Arial" w:hAnsi="Arial"/>
                <w:sz w:val="22"/>
                <w:szCs w:val="22"/>
                <w:b w:val="1"/>
                <w:bCs w:val="1"/>
                <w:color w:val="auto"/>
              </w:rPr>
              <w:t>CZ48029360</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Číslo účtu:</w:t>
            </w:r>
          </w:p>
        </w:tc>
        <w:tc>
          <w:tcPr>
            <w:tcW w:w="3340" w:type="dxa"/>
            <w:vAlign w:val="bottom"/>
            <w:gridSpan w:val="2"/>
          </w:tcPr>
          <w:p>
            <w:pPr>
              <w:ind w:left="500"/>
              <w:spacing w:after="0"/>
              <w:rPr>
                <w:sz w:val="20"/>
                <w:szCs w:val="20"/>
                <w:color w:val="auto"/>
              </w:rPr>
            </w:pPr>
            <w:r>
              <w:rPr>
                <w:rFonts w:ascii="Arial" w:cs="Arial" w:eastAsia="Arial" w:hAnsi="Arial"/>
                <w:sz w:val="22"/>
                <w:szCs w:val="22"/>
                <w:b w:val="1"/>
                <w:bCs w:val="1"/>
                <w:color w:val="auto"/>
              </w:rPr>
              <w:t>5275572/0800</w:t>
            </w:r>
          </w:p>
        </w:tc>
        <w:tc>
          <w:tcPr>
            <w:tcW w:w="1900" w:type="dxa"/>
            <w:vAlign w:val="bottom"/>
          </w:tcPr>
          <w:p>
            <w:pPr>
              <w:spacing w:after="0"/>
              <w:rPr>
                <w:sz w:val="24"/>
                <w:szCs w:val="24"/>
                <w:color w:val="auto"/>
              </w:rPr>
            </w:pPr>
          </w:p>
        </w:tc>
      </w:tr>
      <w:tr>
        <w:trPr>
          <w:trHeight w:val="331"/>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Bankovní spojení:</w:t>
            </w:r>
          </w:p>
        </w:tc>
        <w:tc>
          <w:tcPr>
            <w:tcW w:w="5240" w:type="dxa"/>
            <w:vAlign w:val="bottom"/>
            <w:gridSpan w:val="3"/>
          </w:tcPr>
          <w:p>
            <w:pPr>
              <w:ind w:left="500"/>
              <w:spacing w:after="0"/>
              <w:rPr>
                <w:sz w:val="20"/>
                <w:szCs w:val="20"/>
                <w:color w:val="auto"/>
              </w:rPr>
            </w:pPr>
            <w:r>
              <w:rPr>
                <w:rFonts w:ascii="Arial" w:cs="Arial" w:eastAsia="Arial" w:hAnsi="Arial"/>
                <w:sz w:val="22"/>
                <w:szCs w:val="22"/>
                <w:b w:val="1"/>
                <w:bCs w:val="1"/>
                <w:color w:val="auto"/>
              </w:rPr>
              <w:t>Česká spořitelna, a.s.</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Zastoupen:</w:t>
            </w:r>
          </w:p>
        </w:tc>
        <w:tc>
          <w:tcPr>
            <w:tcW w:w="5240" w:type="dxa"/>
            <w:vAlign w:val="bottom"/>
            <w:gridSpan w:val="3"/>
          </w:tcPr>
          <w:p>
            <w:pPr>
              <w:ind w:left="500"/>
              <w:spacing w:after="0"/>
              <w:rPr>
                <w:sz w:val="20"/>
                <w:szCs w:val="20"/>
                <w:color w:val="auto"/>
              </w:rPr>
            </w:pPr>
            <w:r>
              <w:rPr>
                <w:rFonts w:ascii="Arial" w:cs="Arial" w:eastAsia="Arial" w:hAnsi="Arial"/>
                <w:sz w:val="22"/>
                <w:szCs w:val="22"/>
                <w:b w:val="1"/>
                <w:bCs w:val="1"/>
                <w:color w:val="auto"/>
              </w:rPr>
              <w:t>Ing. Milanem Šamánkem, jednatelem</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Vyřizuje:</w:t>
            </w:r>
          </w:p>
        </w:tc>
        <w:tc>
          <w:tcPr>
            <w:tcW w:w="5240" w:type="dxa"/>
            <w:vAlign w:val="bottom"/>
            <w:gridSpan w:val="3"/>
          </w:tcPr>
          <w:p>
            <w:pPr>
              <w:ind w:left="500"/>
              <w:spacing w:after="0"/>
              <w:rPr>
                <w:sz w:val="20"/>
                <w:szCs w:val="20"/>
                <w:color w:val="auto"/>
              </w:rPr>
            </w:pPr>
            <w:r>
              <w:rPr>
                <w:rFonts w:ascii="Arial" w:cs="Arial" w:eastAsia="Arial" w:hAnsi="Arial"/>
                <w:sz w:val="22"/>
                <w:szCs w:val="22"/>
                <w:b w:val="1"/>
                <w:bCs w:val="1"/>
                <w:color w:val="auto"/>
              </w:rPr>
              <w:t>Ing. Josef Zákravský, obchodní zástupce</w:t>
            </w:r>
          </w:p>
        </w:tc>
      </w:tr>
      <w:tr>
        <w:trPr>
          <w:trHeight w:val="334"/>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Telefon:</w:t>
            </w:r>
          </w:p>
        </w:tc>
        <w:tc>
          <w:tcPr>
            <w:tcW w:w="3340" w:type="dxa"/>
            <w:vAlign w:val="bottom"/>
            <w:gridSpan w:val="2"/>
          </w:tcPr>
          <w:p>
            <w:pPr>
              <w:ind w:left="500"/>
              <w:spacing w:after="0"/>
              <w:rPr>
                <w:sz w:val="20"/>
                <w:szCs w:val="20"/>
                <w:color w:val="auto"/>
              </w:rPr>
            </w:pPr>
            <w:r>
              <w:rPr>
                <w:rFonts w:ascii="Arial" w:cs="Arial" w:eastAsia="Arial" w:hAnsi="Arial"/>
                <w:sz w:val="22"/>
                <w:szCs w:val="22"/>
                <w:b w:val="1"/>
                <w:bCs w:val="1"/>
                <w:color w:val="auto"/>
              </w:rPr>
              <w:t>+420 602 475 470</w:t>
            </w:r>
          </w:p>
        </w:tc>
        <w:tc>
          <w:tcPr>
            <w:tcW w:w="1900" w:type="dxa"/>
            <w:vAlign w:val="bottom"/>
          </w:tcPr>
          <w:p>
            <w:pPr>
              <w:spacing w:after="0"/>
              <w:rPr>
                <w:sz w:val="24"/>
                <w:szCs w:val="24"/>
                <w:color w:val="auto"/>
              </w:rPr>
            </w:pPr>
          </w:p>
        </w:tc>
      </w:tr>
      <w:tr>
        <w:trPr>
          <w:trHeight w:val="331"/>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Fax:</w:t>
            </w:r>
          </w:p>
        </w:tc>
        <w:tc>
          <w:tcPr>
            <w:tcW w:w="3340" w:type="dxa"/>
            <w:vAlign w:val="bottom"/>
            <w:gridSpan w:val="2"/>
          </w:tcPr>
          <w:p>
            <w:pPr>
              <w:ind w:left="500"/>
              <w:spacing w:after="0"/>
              <w:rPr>
                <w:sz w:val="20"/>
                <w:szCs w:val="20"/>
                <w:color w:val="auto"/>
              </w:rPr>
            </w:pPr>
            <w:r>
              <w:rPr>
                <w:rFonts w:ascii="Arial" w:cs="Arial" w:eastAsia="Arial" w:hAnsi="Arial"/>
                <w:sz w:val="22"/>
                <w:szCs w:val="22"/>
                <w:b w:val="1"/>
                <w:bCs w:val="1"/>
                <w:color w:val="auto"/>
              </w:rPr>
              <w:t>+420 225 001 555</w:t>
            </w:r>
          </w:p>
        </w:tc>
        <w:tc>
          <w:tcPr>
            <w:tcW w:w="1900" w:type="dxa"/>
            <w:vAlign w:val="bottom"/>
          </w:tcPr>
          <w:p>
            <w:pPr>
              <w:spacing w:after="0"/>
              <w:rPr>
                <w:sz w:val="24"/>
                <w:szCs w:val="24"/>
                <w:color w:val="auto"/>
              </w:rPr>
            </w:pPr>
          </w:p>
        </w:tc>
      </w:tr>
      <w:tr>
        <w:trPr>
          <w:trHeight w:val="312"/>
        </w:trPr>
        <w:tc>
          <w:tcPr>
            <w:tcW w:w="540" w:type="dxa"/>
            <w:vAlign w:val="bottom"/>
          </w:tcPr>
          <w:p>
            <w:pPr>
              <w:spacing w:after="0"/>
              <w:rPr>
                <w:sz w:val="24"/>
                <w:szCs w:val="24"/>
                <w:color w:val="auto"/>
              </w:rPr>
            </w:pPr>
          </w:p>
        </w:tc>
        <w:tc>
          <w:tcPr>
            <w:tcW w:w="2360" w:type="dxa"/>
            <w:vAlign w:val="bottom"/>
          </w:tcPr>
          <w:p>
            <w:pPr>
              <w:ind w:left="240"/>
              <w:spacing w:after="0"/>
              <w:rPr>
                <w:sz w:val="20"/>
                <w:szCs w:val="20"/>
                <w:color w:val="auto"/>
              </w:rPr>
            </w:pPr>
            <w:r>
              <w:rPr>
                <w:rFonts w:ascii="Arial" w:cs="Arial" w:eastAsia="Arial" w:hAnsi="Arial"/>
                <w:sz w:val="22"/>
                <w:szCs w:val="22"/>
                <w:b w:val="1"/>
                <w:bCs w:val="1"/>
                <w:color w:val="auto"/>
              </w:rPr>
              <w:t>E-mail:</w:t>
            </w:r>
          </w:p>
        </w:tc>
        <w:tc>
          <w:tcPr>
            <w:tcW w:w="500" w:type="dxa"/>
            <w:vAlign w:val="bottom"/>
          </w:tcPr>
          <w:p>
            <w:pPr>
              <w:spacing w:after="0"/>
              <w:rPr>
                <w:sz w:val="24"/>
                <w:szCs w:val="24"/>
                <w:color w:val="auto"/>
              </w:rPr>
            </w:pPr>
          </w:p>
        </w:tc>
        <w:tc>
          <w:tcPr>
            <w:tcW w:w="4740" w:type="dxa"/>
            <w:vAlign w:val="bottom"/>
            <w:gridSpan w:val="2"/>
          </w:tcPr>
          <w:p>
            <w:pPr>
              <w:spacing w:after="0"/>
              <w:rPr>
                <w:sz w:val="20"/>
                <w:szCs w:val="20"/>
                <w:color w:val="auto"/>
              </w:rPr>
            </w:pPr>
            <w:r>
              <w:rPr>
                <w:rFonts w:ascii="Arial" w:cs="Arial" w:eastAsia="Arial" w:hAnsi="Arial"/>
                <w:sz w:val="22"/>
                <w:szCs w:val="22"/>
                <w:b w:val="1"/>
                <w:bCs w:val="1"/>
                <w:color w:val="auto"/>
              </w:rPr>
              <w:t>josef.zakravsky@medisap.cz</w:t>
            </w:r>
          </w:p>
        </w:tc>
      </w:tr>
      <w:tr>
        <w:trPr>
          <w:trHeight w:val="20"/>
        </w:trPr>
        <w:tc>
          <w:tcPr>
            <w:tcW w:w="540" w:type="dxa"/>
            <w:vAlign w:val="bottom"/>
          </w:tcPr>
          <w:p>
            <w:pPr>
              <w:spacing w:after="0" w:line="20" w:lineRule="exact"/>
              <w:rPr>
                <w:sz w:val="1"/>
                <w:szCs w:val="1"/>
                <w:color w:val="auto"/>
              </w:rPr>
            </w:pPr>
          </w:p>
        </w:tc>
        <w:tc>
          <w:tcPr>
            <w:tcW w:w="236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840" w:type="dxa"/>
            <w:vAlign w:val="bottom"/>
            <w:shd w:val="clear" w:color="auto" w:fill="000000"/>
          </w:tcPr>
          <w:p>
            <w:pPr>
              <w:spacing w:after="0" w:line="20" w:lineRule="exact"/>
              <w:rPr>
                <w:sz w:val="1"/>
                <w:szCs w:val="1"/>
                <w:color w:val="auto"/>
              </w:rPr>
            </w:pPr>
          </w:p>
        </w:tc>
        <w:tc>
          <w:tcPr>
            <w:tcW w:w="1900" w:type="dxa"/>
            <w:vAlign w:val="bottom"/>
          </w:tcPr>
          <w:p>
            <w:pPr>
              <w:spacing w:after="0" w:line="20" w:lineRule="exact"/>
              <w:rPr>
                <w:sz w:val="1"/>
                <w:szCs w:val="1"/>
                <w:color w:val="auto"/>
              </w:rPr>
            </w:pPr>
          </w:p>
        </w:tc>
      </w:tr>
    </w:tbl>
    <w:p>
      <w:pPr>
        <w:spacing w:after="0" w:line="45" w:lineRule="exact"/>
        <w:rPr>
          <w:rFonts w:ascii="Arial" w:cs="Arial" w:eastAsia="Arial" w:hAnsi="Arial"/>
          <w:sz w:val="19"/>
          <w:szCs w:val="19"/>
          <w:b w:val="1"/>
          <w:bCs w:val="1"/>
          <w:color w:val="auto"/>
        </w:rPr>
      </w:pPr>
    </w:p>
    <w:p>
      <w:pPr>
        <w:spacing w:after="0"/>
        <w:rPr>
          <w:sz w:val="20"/>
          <w:szCs w:val="20"/>
          <w:color w:val="auto"/>
        </w:rPr>
      </w:pPr>
      <w:r>
        <w:rPr>
          <w:rFonts w:ascii="Arial" w:cs="Arial" w:eastAsia="Arial" w:hAnsi="Arial"/>
          <w:sz w:val="22"/>
          <w:szCs w:val="22"/>
          <w:b w:val="1"/>
          <w:bCs w:val="1"/>
          <w:color w:val="auto"/>
        </w:rPr>
        <w:t>(dále jen „prodávající“)</w:t>
      </w:r>
    </w:p>
    <w:p>
      <w:pPr>
        <w:spacing w:after="0" w:line="261" w:lineRule="exact"/>
        <w:rPr>
          <w:rFonts w:ascii="Arial" w:cs="Arial" w:eastAsia="Arial" w:hAnsi="Arial"/>
          <w:sz w:val="19"/>
          <w:szCs w:val="19"/>
          <w:b w:val="1"/>
          <w:bCs w:val="1"/>
          <w:color w:val="auto"/>
        </w:rPr>
      </w:pPr>
    </w:p>
    <w:p>
      <w:pPr>
        <w:jc w:val="both"/>
        <w:spacing w:after="0" w:line="236" w:lineRule="auto"/>
        <w:rPr>
          <w:sz w:val="20"/>
          <w:szCs w:val="20"/>
          <w:color w:val="auto"/>
        </w:rPr>
      </w:pPr>
      <w:r>
        <w:rPr>
          <w:rFonts w:ascii="Arial" w:cs="Arial" w:eastAsia="Arial" w:hAnsi="Arial"/>
          <w:sz w:val="22"/>
          <w:szCs w:val="22"/>
          <w:b w:val="1"/>
          <w:bCs w:val="1"/>
          <w:color w:val="auto"/>
        </w:rPr>
        <w:t>Kupující a prodávající uzavírají tuto kupní smlouvu na dodávku přístrojové zdravotnické techniky.</w:t>
      </w:r>
    </w:p>
    <w:p>
      <w:pPr>
        <w:spacing w:after="0" w:line="200" w:lineRule="exact"/>
        <w:rPr>
          <w:rFonts w:ascii="Arial" w:cs="Arial" w:eastAsia="Arial" w:hAnsi="Arial"/>
          <w:sz w:val="19"/>
          <w:szCs w:val="19"/>
          <w:b w:val="1"/>
          <w:bCs w:val="1"/>
          <w:color w:val="auto"/>
        </w:rPr>
      </w:pPr>
    </w:p>
    <w:p>
      <w:pPr>
        <w:spacing w:after="0" w:line="304" w:lineRule="exact"/>
        <w:rPr>
          <w:rFonts w:ascii="Arial" w:cs="Arial" w:eastAsia="Arial" w:hAnsi="Arial"/>
          <w:sz w:val="19"/>
          <w:szCs w:val="19"/>
          <w:b w:val="1"/>
          <w:bCs w:val="1"/>
          <w:color w:val="auto"/>
        </w:rPr>
      </w:pPr>
    </w:p>
    <w:p>
      <w:pPr>
        <w:jc w:val="center"/>
        <w:spacing w:after="0"/>
        <w:rPr>
          <w:sz w:val="20"/>
          <w:szCs w:val="20"/>
          <w:color w:val="auto"/>
        </w:rPr>
      </w:pPr>
      <w:r>
        <w:rPr>
          <w:rFonts w:ascii="Arial" w:cs="Arial" w:eastAsia="Arial" w:hAnsi="Arial"/>
          <w:sz w:val="28"/>
          <w:szCs w:val="28"/>
          <w:b w:val="1"/>
          <w:bCs w:val="1"/>
          <w:color w:val="auto"/>
        </w:rPr>
        <w:t>2. Předmět smlouvy</w:t>
      </w:r>
    </w:p>
    <w:p>
      <w:pPr>
        <w:spacing w:after="0" w:line="337" w:lineRule="exact"/>
        <w:rPr>
          <w:rFonts w:ascii="Arial" w:cs="Arial" w:eastAsia="Arial" w:hAnsi="Arial"/>
          <w:sz w:val="19"/>
          <w:szCs w:val="19"/>
          <w:b w:val="1"/>
          <w:bCs w:val="1"/>
          <w:color w:val="auto"/>
        </w:rPr>
      </w:pPr>
    </w:p>
    <w:p>
      <w:pPr>
        <w:spacing w:after="0"/>
        <w:rPr>
          <w:sz w:val="20"/>
          <w:szCs w:val="20"/>
          <w:color w:val="auto"/>
        </w:rPr>
      </w:pPr>
      <w:r>
        <w:rPr>
          <w:rFonts w:ascii="Arial" w:cs="Arial" w:eastAsia="Arial" w:hAnsi="Arial"/>
          <w:sz w:val="22"/>
          <w:szCs w:val="22"/>
          <w:b w:val="1"/>
          <w:bCs w:val="1"/>
          <w:color w:val="auto"/>
        </w:rPr>
        <w:t>2.1 Popis předmětu Smlouvy</w:t>
      </w:r>
    </w:p>
    <w:p>
      <w:pPr>
        <w:spacing w:after="0" w:line="114" w:lineRule="exact"/>
        <w:rPr>
          <w:rFonts w:ascii="Arial" w:cs="Arial" w:eastAsia="Arial" w:hAnsi="Arial"/>
          <w:sz w:val="19"/>
          <w:szCs w:val="19"/>
          <w:b w:val="1"/>
          <w:bCs w:val="1"/>
          <w:color w:val="auto"/>
        </w:rPr>
      </w:pPr>
    </w:p>
    <w:p>
      <w:pPr>
        <w:jc w:val="both"/>
        <w:spacing w:after="0" w:line="281" w:lineRule="auto"/>
        <w:rPr>
          <w:sz w:val="20"/>
          <w:szCs w:val="20"/>
          <w:color w:val="auto"/>
        </w:rPr>
      </w:pPr>
      <w:r>
        <w:rPr>
          <w:rFonts w:ascii="Arial" w:cs="Arial" w:eastAsia="Arial" w:hAnsi="Arial"/>
          <w:sz w:val="22"/>
          <w:szCs w:val="22"/>
          <w:b w:val="1"/>
          <w:bCs w:val="1"/>
          <w:color w:val="auto"/>
        </w:rPr>
        <w:t>Předmětem plnění této Smlouvy je dodávka 2 ks anesteziologických přístrojů Carestation CS650 s monitory CARESCAPE B450 výrobce GE Healthcare pro potřeby Nemocnice Boskovice s.r.o. dle specifikace uvedené v Příloze č. 1 této Smlouvy.</w:t>
      </w:r>
    </w:p>
    <w:p>
      <w:pPr>
        <w:spacing w:after="0" w:line="326" w:lineRule="exact"/>
        <w:rPr>
          <w:rFonts w:ascii="Arial" w:cs="Arial" w:eastAsia="Arial" w:hAnsi="Arial"/>
          <w:sz w:val="19"/>
          <w:szCs w:val="19"/>
          <w:b w:val="1"/>
          <w:bCs w:val="1"/>
          <w:color w:val="auto"/>
        </w:rPr>
      </w:pPr>
    </w:p>
    <w:p>
      <w:pPr>
        <w:jc w:val="both"/>
        <w:spacing w:after="0" w:line="270" w:lineRule="auto"/>
        <w:rPr>
          <w:sz w:val="20"/>
          <w:szCs w:val="20"/>
          <w:color w:val="auto"/>
        </w:rPr>
      </w:pPr>
      <w:r>
        <w:rPr>
          <w:rFonts w:ascii="Arial" w:cs="Arial" w:eastAsia="Arial" w:hAnsi="Arial"/>
          <w:sz w:val="22"/>
          <w:szCs w:val="22"/>
          <w:b w:val="1"/>
          <w:bCs w:val="1"/>
          <w:color w:val="auto"/>
        </w:rPr>
        <w:t>Tato smlouva je uzavřena na základě nabídky prodávajícího ve veřejné zakázce “Dodávka anesteziologických přístrojů pro Nemocnici Boskovice s.r.o.“. Jednotlivá ustanovení této</w:t>
      </w:r>
    </w:p>
    <w:p>
      <w:pPr>
        <w:spacing w:after="0" w:line="28" w:lineRule="exact"/>
        <w:rPr>
          <w:rFonts w:ascii="Arial" w:cs="Arial" w:eastAsia="Arial" w:hAnsi="Arial"/>
          <w:sz w:val="19"/>
          <w:szCs w:val="19"/>
          <w:b w:val="1"/>
          <w:bCs w:val="1"/>
          <w:color w:val="auto"/>
        </w:rPr>
      </w:pPr>
    </w:p>
    <w:p>
      <w:pPr>
        <w:ind w:left="100"/>
        <w:spacing w:after="0"/>
        <w:rPr>
          <w:sz w:val="20"/>
          <w:szCs w:val="20"/>
          <w:color w:val="auto"/>
        </w:rPr>
      </w:pPr>
      <w:r>
        <w:rPr>
          <w:rFonts w:ascii="Arial" w:cs="Arial" w:eastAsia="Arial" w:hAnsi="Arial"/>
          <w:sz w:val="22"/>
          <w:szCs w:val="22"/>
          <w:b w:val="1"/>
          <w:bCs w:val="1"/>
          <w:color w:val="auto"/>
        </w:rPr>
        <w:t>KS 19-7-6</w:t>
      </w:r>
    </w:p>
    <w:p>
      <w:pPr>
        <w:sectPr>
          <w:pgSz w:w="11900" w:h="16838" w:orient="portrait"/>
          <w:cols w:equalWidth="0" w:num="1">
            <w:col w:w="9360"/>
          </w:cols>
          <w:pgMar w:left="1420" w:top="1440" w:right="1126" w:bottom="369" w:gutter="0" w:footer="0" w:header="0"/>
        </w:sectPr>
      </w:pPr>
    </w:p>
    <w:p>
      <w:pPr>
        <w:ind w:left="80" w:right="80"/>
        <w:spacing w:after="0" w:line="277" w:lineRule="auto"/>
        <w:rPr>
          <w:sz w:val="20"/>
          <w:szCs w:val="20"/>
          <w:color w:val="auto"/>
        </w:rPr>
      </w:pPr>
      <w:r>
        <w:rPr>
          <w:rFonts w:ascii="Arial" w:cs="Arial" w:eastAsia="Arial" w:hAnsi="Arial"/>
          <w:sz w:val="22"/>
          <w:szCs w:val="22"/>
          <w:b w:val="1"/>
          <w:bCs w:val="1"/>
          <w:color w:val="auto"/>
        </w:rPr>
        <w:t>smlouvy tak budou vykládána v souladu s touto nabídkou a podmínkami zadávací dokumentace veřejné zakázky.</w:t>
      </w:r>
    </w:p>
    <w:p>
      <w:pPr>
        <w:spacing w:after="0" w:line="225" w:lineRule="exact"/>
        <w:rPr>
          <w:sz w:val="20"/>
          <w:szCs w:val="20"/>
          <w:color w:val="auto"/>
        </w:rPr>
      </w:pPr>
    </w:p>
    <w:p>
      <w:pPr>
        <w:ind w:left="80"/>
        <w:spacing w:after="0"/>
        <w:rPr>
          <w:sz w:val="20"/>
          <w:szCs w:val="20"/>
          <w:color w:val="auto"/>
        </w:rPr>
      </w:pPr>
      <w:r>
        <w:rPr>
          <w:rFonts w:ascii="Arial" w:cs="Arial" w:eastAsia="Arial" w:hAnsi="Arial"/>
          <w:sz w:val="22"/>
          <w:szCs w:val="22"/>
          <w:b w:val="1"/>
          <w:bCs w:val="1"/>
          <w:color w:val="auto"/>
        </w:rPr>
        <w:t>2.2 Ostatní činnosti</w:t>
      </w:r>
    </w:p>
    <w:p>
      <w:pPr>
        <w:spacing w:after="0" w:line="97" w:lineRule="exact"/>
        <w:rPr>
          <w:sz w:val="20"/>
          <w:szCs w:val="20"/>
          <w:color w:val="auto"/>
        </w:rPr>
      </w:pPr>
    </w:p>
    <w:p>
      <w:pPr>
        <w:ind w:left="80"/>
        <w:spacing w:after="0"/>
        <w:rPr>
          <w:sz w:val="20"/>
          <w:szCs w:val="20"/>
          <w:color w:val="auto"/>
        </w:rPr>
      </w:pPr>
      <w:r>
        <w:rPr>
          <w:rFonts w:ascii="Arial" w:cs="Arial" w:eastAsia="Arial" w:hAnsi="Arial"/>
          <w:sz w:val="22"/>
          <w:szCs w:val="22"/>
          <w:b w:val="1"/>
          <w:bCs w:val="1"/>
          <w:color w:val="auto"/>
        </w:rPr>
        <w:t>Součástí předmětu plnění jsou také následující činnosti:</w:t>
      </w:r>
    </w:p>
    <w:p>
      <w:pPr>
        <w:spacing w:after="0" w:line="85" w:lineRule="exact"/>
        <w:rPr>
          <w:sz w:val="20"/>
          <w:szCs w:val="20"/>
          <w:color w:val="auto"/>
        </w:rPr>
      </w:pPr>
    </w:p>
    <w:p>
      <w:pPr>
        <w:ind w:left="440"/>
        <w:spacing w:after="0"/>
        <w:rPr>
          <w:sz w:val="20"/>
          <w:szCs w:val="20"/>
          <w:color w:val="auto"/>
        </w:rPr>
      </w:pPr>
      <w:r>
        <w:rPr>
          <w:rFonts w:ascii="Arial" w:cs="Arial" w:eastAsia="Arial" w:hAnsi="Arial"/>
          <w:sz w:val="22"/>
          <w:szCs w:val="22"/>
          <w:b w:val="1"/>
          <w:bCs w:val="1"/>
          <w:color w:val="auto"/>
        </w:rPr>
        <w:t>doprava dodávaného zařízení na místo plnění, jeho vybalení a kontrola,</w:t>
      </w:r>
    </w:p>
    <w:p>
      <w:pPr>
        <w:spacing w:after="0" w:line="114" w:lineRule="exact"/>
        <w:rPr>
          <w:sz w:val="20"/>
          <w:szCs w:val="20"/>
          <w:color w:val="auto"/>
        </w:rPr>
      </w:pPr>
    </w:p>
    <w:p>
      <w:pPr>
        <w:ind w:left="800" w:right="80" w:firstLine="1"/>
        <w:spacing w:after="0" w:line="277" w:lineRule="auto"/>
        <w:rPr>
          <w:sz w:val="20"/>
          <w:szCs w:val="20"/>
          <w:color w:val="auto"/>
        </w:rPr>
      </w:pPr>
      <w:r>
        <w:rPr>
          <w:rFonts w:ascii="Arial" w:cs="Arial" w:eastAsia="Arial" w:hAnsi="Arial"/>
          <w:sz w:val="22"/>
          <w:szCs w:val="22"/>
          <w:b w:val="1"/>
          <w:bCs w:val="1"/>
          <w:color w:val="auto"/>
        </w:rPr>
        <w:t>provedení instalace, příp. montáže, zařízení, tak, aby zařízení mohlo spolehlivě plnit svůj účel,</w:t>
      </w:r>
    </w:p>
    <w:p>
      <w:pPr>
        <w:spacing w:after="0" w:line="76" w:lineRule="exact"/>
        <w:rPr>
          <w:sz w:val="20"/>
          <w:szCs w:val="20"/>
          <w:color w:val="auto"/>
        </w:rPr>
      </w:pPr>
    </w:p>
    <w:p>
      <w:pPr>
        <w:ind w:left="800" w:right="3160"/>
        <w:spacing w:after="0" w:line="357" w:lineRule="auto"/>
        <w:rPr>
          <w:sz w:val="20"/>
          <w:szCs w:val="20"/>
          <w:color w:val="auto"/>
        </w:rPr>
      </w:pPr>
      <w:r>
        <w:rPr>
          <w:rFonts w:ascii="Arial" w:cs="Arial" w:eastAsia="Arial" w:hAnsi="Arial"/>
          <w:sz w:val="21"/>
          <w:szCs w:val="21"/>
          <w:b w:val="1"/>
          <w:bCs w:val="1"/>
          <w:color w:val="auto"/>
        </w:rPr>
        <w:t>odzkoušení a ověření správné a plné funkčnosti zařízení, zaškolení obsluhy zařízení určené kupujícím,</w:t>
      </w:r>
    </w:p>
    <w:p>
      <w:pPr>
        <w:spacing w:after="0" w:line="1" w:lineRule="exact"/>
        <w:rPr>
          <w:sz w:val="20"/>
          <w:szCs w:val="20"/>
          <w:color w:val="auto"/>
        </w:rPr>
      </w:pPr>
    </w:p>
    <w:p>
      <w:pPr>
        <w:ind w:left="800" w:right="80" w:firstLine="1"/>
        <w:spacing w:after="0" w:line="277" w:lineRule="auto"/>
        <w:rPr>
          <w:sz w:val="20"/>
          <w:szCs w:val="20"/>
          <w:color w:val="auto"/>
        </w:rPr>
      </w:pPr>
      <w:r>
        <w:rPr>
          <w:rFonts w:ascii="Arial" w:cs="Arial" w:eastAsia="Arial" w:hAnsi="Arial"/>
          <w:sz w:val="22"/>
          <w:szCs w:val="22"/>
          <w:b w:val="1"/>
          <w:bCs w:val="1"/>
          <w:color w:val="auto"/>
        </w:rPr>
        <w:t>předání atestů, certifikátů a prohlášení o shodě zařízení s požadavky příslušných právních předpisů či norem, a</w:t>
      </w:r>
    </w:p>
    <w:p>
      <w:pPr>
        <w:spacing w:after="0" w:line="76" w:lineRule="exact"/>
        <w:rPr>
          <w:sz w:val="20"/>
          <w:szCs w:val="20"/>
          <w:color w:val="auto"/>
        </w:rPr>
      </w:pPr>
    </w:p>
    <w:p>
      <w:pPr>
        <w:ind w:left="800" w:right="80" w:firstLine="1"/>
        <w:spacing w:after="0" w:line="282" w:lineRule="auto"/>
        <w:rPr>
          <w:sz w:val="20"/>
          <w:szCs w:val="20"/>
          <w:color w:val="auto"/>
        </w:rPr>
      </w:pPr>
      <w:r>
        <w:rPr>
          <w:rFonts w:ascii="Arial" w:cs="Arial" w:eastAsia="Arial" w:hAnsi="Arial"/>
          <w:sz w:val="22"/>
          <w:szCs w:val="22"/>
          <w:b w:val="1"/>
          <w:bCs w:val="1"/>
          <w:color w:val="auto"/>
        </w:rPr>
        <w:t>předání dokladů, které jsou nutné k užívání zařízení, zejména instrukcí a návodů k obsluze a údržbě zařízení, provozních a uživatelských manuálů a ostatních dokumentů nezbytných pro provoz zařízení, a případně dalších dokladů, které se k zařízením jinak vztahují.</w:t>
      </w:r>
    </w:p>
    <w:p>
      <w:pPr>
        <w:spacing w:after="0" w:line="200" w:lineRule="exact"/>
        <w:rPr>
          <w:sz w:val="20"/>
          <w:szCs w:val="20"/>
          <w:color w:val="auto"/>
        </w:rPr>
      </w:pPr>
    </w:p>
    <w:p>
      <w:pPr>
        <w:spacing w:after="0" w:line="369" w:lineRule="exact"/>
        <w:rPr>
          <w:sz w:val="20"/>
          <w:szCs w:val="20"/>
          <w:color w:val="auto"/>
        </w:rPr>
      </w:pPr>
    </w:p>
    <w:p>
      <w:pPr>
        <w:jc w:val="center"/>
        <w:spacing w:after="0"/>
        <w:rPr>
          <w:sz w:val="20"/>
          <w:szCs w:val="20"/>
          <w:color w:val="auto"/>
        </w:rPr>
      </w:pPr>
      <w:r>
        <w:rPr>
          <w:rFonts w:ascii="Arial" w:cs="Arial" w:eastAsia="Arial" w:hAnsi="Arial"/>
          <w:sz w:val="28"/>
          <w:szCs w:val="28"/>
          <w:b w:val="1"/>
          <w:bCs w:val="1"/>
          <w:color w:val="auto"/>
        </w:rPr>
        <w:t>3. Kupní cena</w:t>
      </w:r>
    </w:p>
    <w:p>
      <w:pPr>
        <w:spacing w:after="0" w:line="335" w:lineRule="exact"/>
        <w:rPr>
          <w:sz w:val="20"/>
          <w:szCs w:val="20"/>
          <w:color w:val="auto"/>
        </w:rPr>
      </w:pPr>
    </w:p>
    <w:p>
      <w:pPr>
        <w:ind w:left="80"/>
        <w:spacing w:after="0"/>
        <w:rPr>
          <w:sz w:val="20"/>
          <w:szCs w:val="20"/>
          <w:color w:val="auto"/>
        </w:rPr>
      </w:pPr>
      <w:r>
        <w:rPr>
          <w:rFonts w:ascii="Arial" w:cs="Arial" w:eastAsia="Arial" w:hAnsi="Arial"/>
          <w:sz w:val="22"/>
          <w:szCs w:val="22"/>
          <w:b w:val="1"/>
          <w:bCs w:val="1"/>
          <w:color w:val="auto"/>
        </w:rPr>
        <w:t>3.1 Kupní cena</w:t>
      </w:r>
    </w:p>
    <w:p>
      <w:pPr>
        <w:spacing w:after="0" w:line="54" w:lineRule="exact"/>
        <w:rPr>
          <w:sz w:val="20"/>
          <w:szCs w:val="20"/>
          <w:color w:val="auto"/>
        </w:rPr>
      </w:pPr>
    </w:p>
    <w:p>
      <w:pPr>
        <w:jc w:val="both"/>
        <w:ind w:left="80" w:right="80"/>
        <w:spacing w:after="0" w:line="283" w:lineRule="auto"/>
        <w:rPr>
          <w:sz w:val="20"/>
          <w:szCs w:val="20"/>
          <w:color w:val="auto"/>
        </w:rPr>
      </w:pPr>
      <w:r>
        <w:rPr>
          <w:rFonts w:ascii="Arial" w:cs="Arial" w:eastAsia="Arial" w:hAnsi="Arial"/>
          <w:sz w:val="22"/>
          <w:szCs w:val="22"/>
          <w:b w:val="1"/>
          <w:bCs w:val="1"/>
          <w:color w:val="auto"/>
        </w:rPr>
        <w:t>Kupní cena je stanovena jako nejvýše přípustná a nepřekročitelná a zahrnuje veškeré náklady spojené s realizací předmětu smlouvy, tj. kupní cena dodávky, balné, dopravné, celní či jiné poplatky, pojištění, instalaci předmětu smlouvy a jeho uvedení do provozu včetně potřebných pomůcek, součástí a příslušenství, záruční servis, bezpečnostní technické prohlídky dle zák. č. 268/2014 Sb. a komplexní zaškolení příslušných pracovníků, tj. techniků kupujícího a obsluhujícího personálu.</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-12700</wp:posOffset>
            </wp:positionH>
            <wp:positionV relativeFrom="paragraph">
              <wp:posOffset>158750</wp:posOffset>
            </wp:positionV>
            <wp:extent cx="6066790" cy="10858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extLst>
                    </a:blip>
                    <a:srcRect/>
                    <a:stretch>
                      <a:fillRect/>
                    </a:stretch>
                  </pic:blipFill>
                  <pic:spPr bwMode="auto">
                    <a:xfrm>
                      <a:off x="0" y="0"/>
                      <a:ext cx="6066790" cy="1085850"/>
                    </a:xfrm>
                    <a:prstGeom prst="rect">
                      <a:avLst/>
                    </a:prstGeom>
                    <a:noFill/>
                  </pic:spPr>
                </pic:pic>
              </a:graphicData>
            </a:graphic>
          </wp:anchor>
        </w:drawing>
      </w:r>
    </w:p>
    <w:p>
      <w:pPr>
        <w:spacing w:after="0" w:line="230" w:lineRule="exact"/>
        <w:rPr>
          <w:sz w:val="20"/>
          <w:szCs w:val="20"/>
          <w:color w:val="auto"/>
        </w:rPr>
      </w:pPr>
    </w:p>
    <w:tbl>
      <w:tblPr>
        <w:tblLayout w:type="fixed"/>
        <w:tblInd w:w="10" w:type="dxa"/>
        <w:tblCellMar>
          <w:top w:w="0" w:type="dxa"/>
          <w:left w:w="0" w:type="dxa"/>
          <w:bottom w:w="0" w:type="dxa"/>
          <w:right w:w="0" w:type="dxa"/>
        </w:tblCellMar>
      </w:tblPr>
      <w:tr>
        <w:trPr>
          <w:trHeight w:val="366"/>
        </w:trPr>
        <w:tc>
          <w:tcPr>
            <w:tcW w:w="3460" w:type="dxa"/>
            <w:vAlign w:val="bottom"/>
            <w:tcBorders>
              <w:top w:val="single" w:sz="8" w:color="auto"/>
            </w:tcBorders>
            <w:vMerge w:val="restart"/>
          </w:tcPr>
          <w:p>
            <w:pPr>
              <w:ind w:left="80"/>
              <w:spacing w:after="0"/>
              <w:rPr>
                <w:sz w:val="20"/>
                <w:szCs w:val="20"/>
                <w:color w:val="auto"/>
              </w:rPr>
            </w:pPr>
            <w:r>
              <w:rPr>
                <w:rFonts w:ascii="Arial" w:cs="Arial" w:eastAsia="Arial" w:hAnsi="Arial"/>
                <w:sz w:val="20"/>
                <w:szCs w:val="20"/>
                <w:b w:val="1"/>
                <w:bCs w:val="1"/>
                <w:color w:val="auto"/>
              </w:rPr>
              <w:t>sestava</w:t>
            </w:r>
          </w:p>
        </w:tc>
        <w:tc>
          <w:tcPr>
            <w:tcW w:w="880" w:type="dxa"/>
            <w:vAlign w:val="bottom"/>
            <w:tcBorders>
              <w:top w:val="single" w:sz="8" w:color="auto"/>
            </w:tcBorders>
          </w:tcPr>
          <w:p>
            <w:pPr>
              <w:jc w:val="center"/>
              <w:spacing w:after="0"/>
              <w:rPr>
                <w:sz w:val="20"/>
                <w:szCs w:val="20"/>
                <w:color w:val="auto"/>
              </w:rPr>
            </w:pPr>
            <w:r>
              <w:rPr>
                <w:rFonts w:ascii="Arial" w:cs="Arial" w:eastAsia="Arial" w:hAnsi="Arial"/>
                <w:sz w:val="20"/>
                <w:szCs w:val="20"/>
                <w:b w:val="1"/>
                <w:bCs w:val="1"/>
                <w:color w:val="auto"/>
              </w:rPr>
              <w:t>počet</w:t>
            </w:r>
          </w:p>
        </w:tc>
        <w:tc>
          <w:tcPr>
            <w:tcW w:w="1860" w:type="dxa"/>
            <w:vAlign w:val="bottom"/>
            <w:tcBorders>
              <w:top w:val="single" w:sz="8" w:color="auto"/>
            </w:tcBorders>
          </w:tcPr>
          <w:p>
            <w:pPr>
              <w:jc w:val="right"/>
              <w:ind w:right="40"/>
              <w:spacing w:after="0"/>
              <w:rPr>
                <w:sz w:val="20"/>
                <w:szCs w:val="20"/>
                <w:color w:val="auto"/>
              </w:rPr>
            </w:pPr>
            <w:r>
              <w:rPr>
                <w:rFonts w:ascii="Arial" w:cs="Arial" w:eastAsia="Arial" w:hAnsi="Arial"/>
                <w:sz w:val="20"/>
                <w:szCs w:val="20"/>
                <w:b w:val="1"/>
                <w:bCs w:val="1"/>
                <w:color w:val="auto"/>
              </w:rPr>
              <w:t>cena bez DPH / 1</w:t>
            </w:r>
          </w:p>
        </w:tc>
        <w:tc>
          <w:tcPr>
            <w:tcW w:w="1600" w:type="dxa"/>
            <w:vAlign w:val="bottom"/>
            <w:tcBorders>
              <w:top w:val="single" w:sz="8" w:color="auto"/>
            </w:tcBorders>
            <w:vMerge w:val="restart"/>
          </w:tcPr>
          <w:p>
            <w:pPr>
              <w:jc w:val="right"/>
              <w:ind w:right="240"/>
              <w:spacing w:after="0"/>
              <w:rPr>
                <w:sz w:val="20"/>
                <w:szCs w:val="20"/>
                <w:color w:val="auto"/>
              </w:rPr>
            </w:pPr>
            <w:r>
              <w:rPr>
                <w:rFonts w:ascii="Arial" w:cs="Arial" w:eastAsia="Arial" w:hAnsi="Arial"/>
                <w:sz w:val="20"/>
                <w:szCs w:val="20"/>
                <w:b w:val="1"/>
                <w:bCs w:val="1"/>
                <w:color w:val="auto"/>
              </w:rPr>
              <w:t>DPH 21 %</w:t>
            </w:r>
          </w:p>
        </w:tc>
        <w:tc>
          <w:tcPr>
            <w:tcW w:w="1720" w:type="dxa"/>
            <w:vAlign w:val="bottom"/>
            <w:tcBorders>
              <w:top w:val="single" w:sz="8" w:color="auto"/>
              <w:right w:val="single" w:sz="8" w:color="auto"/>
            </w:tcBorders>
          </w:tcPr>
          <w:p>
            <w:pPr>
              <w:jc w:val="right"/>
              <w:spacing w:after="0"/>
              <w:rPr>
                <w:sz w:val="20"/>
                <w:szCs w:val="20"/>
                <w:color w:val="auto"/>
              </w:rPr>
            </w:pPr>
            <w:r>
              <w:rPr>
                <w:rFonts w:ascii="Arial" w:cs="Arial" w:eastAsia="Arial" w:hAnsi="Arial"/>
                <w:sz w:val="20"/>
                <w:szCs w:val="20"/>
                <w:b w:val="1"/>
                <w:bCs w:val="1"/>
                <w:color w:val="auto"/>
              </w:rPr>
              <w:t>cena vč. DPH / 1</w:t>
            </w:r>
          </w:p>
        </w:tc>
        <w:tc>
          <w:tcPr>
            <w:tcW w:w="0" w:type="dxa"/>
            <w:vAlign w:val="bottom"/>
          </w:tcPr>
          <w:p>
            <w:pPr>
              <w:spacing w:after="0"/>
              <w:rPr>
                <w:sz w:val="1"/>
                <w:szCs w:val="1"/>
                <w:color w:val="auto"/>
              </w:rPr>
            </w:pPr>
          </w:p>
        </w:tc>
      </w:tr>
      <w:tr>
        <w:trPr>
          <w:trHeight w:val="118"/>
        </w:trPr>
        <w:tc>
          <w:tcPr>
            <w:tcW w:w="3460" w:type="dxa"/>
            <w:vAlign w:val="bottom"/>
            <w:vMerge w:val="continue"/>
          </w:tcPr>
          <w:p>
            <w:pPr>
              <w:spacing w:after="0"/>
              <w:rPr>
                <w:sz w:val="10"/>
                <w:szCs w:val="10"/>
                <w:color w:val="auto"/>
              </w:rPr>
            </w:pPr>
          </w:p>
        </w:tc>
        <w:tc>
          <w:tcPr>
            <w:tcW w:w="880" w:type="dxa"/>
            <w:vAlign w:val="bottom"/>
            <w:vMerge w:val="restart"/>
          </w:tcPr>
          <w:p>
            <w:pPr>
              <w:jc w:val="center"/>
              <w:spacing w:after="0"/>
              <w:rPr>
                <w:sz w:val="20"/>
                <w:szCs w:val="20"/>
                <w:color w:val="auto"/>
              </w:rPr>
            </w:pPr>
            <w:r>
              <w:rPr>
                <w:rFonts w:ascii="Arial" w:cs="Arial" w:eastAsia="Arial" w:hAnsi="Arial"/>
                <w:sz w:val="20"/>
                <w:szCs w:val="20"/>
                <w:b w:val="1"/>
                <w:bCs w:val="1"/>
                <w:color w:val="auto"/>
                <w:w w:val="98"/>
              </w:rPr>
              <w:t>ks</w:t>
            </w:r>
          </w:p>
        </w:tc>
        <w:tc>
          <w:tcPr>
            <w:tcW w:w="1860" w:type="dxa"/>
            <w:vAlign w:val="bottom"/>
            <w:vMerge w:val="restart"/>
          </w:tcPr>
          <w:p>
            <w:pPr>
              <w:jc w:val="right"/>
              <w:ind w:right="480"/>
              <w:spacing w:after="0"/>
              <w:rPr>
                <w:sz w:val="20"/>
                <w:szCs w:val="20"/>
                <w:color w:val="auto"/>
              </w:rPr>
            </w:pPr>
            <w:r>
              <w:rPr>
                <w:rFonts w:ascii="Arial" w:cs="Arial" w:eastAsia="Arial" w:hAnsi="Arial"/>
                <w:sz w:val="20"/>
                <w:szCs w:val="20"/>
                <w:b w:val="1"/>
                <w:bCs w:val="1"/>
                <w:color w:val="auto"/>
              </w:rPr>
              <w:t>sestava</w:t>
            </w:r>
          </w:p>
        </w:tc>
        <w:tc>
          <w:tcPr>
            <w:tcW w:w="1600" w:type="dxa"/>
            <w:vAlign w:val="bottom"/>
            <w:vMerge w:val="continue"/>
          </w:tcPr>
          <w:p>
            <w:pPr>
              <w:spacing w:after="0"/>
              <w:rPr>
                <w:sz w:val="10"/>
                <w:szCs w:val="10"/>
                <w:color w:val="auto"/>
              </w:rPr>
            </w:pPr>
          </w:p>
        </w:tc>
        <w:tc>
          <w:tcPr>
            <w:tcW w:w="1720" w:type="dxa"/>
            <w:vAlign w:val="bottom"/>
            <w:tcBorders>
              <w:right w:val="single" w:sz="8" w:color="auto"/>
            </w:tcBorders>
            <w:vMerge w:val="restart"/>
          </w:tcPr>
          <w:p>
            <w:pPr>
              <w:jc w:val="right"/>
              <w:ind w:right="420"/>
              <w:spacing w:after="0"/>
              <w:rPr>
                <w:sz w:val="20"/>
                <w:szCs w:val="20"/>
                <w:color w:val="auto"/>
              </w:rPr>
            </w:pPr>
            <w:r>
              <w:rPr>
                <w:rFonts w:ascii="Arial" w:cs="Arial" w:eastAsia="Arial" w:hAnsi="Arial"/>
                <w:sz w:val="20"/>
                <w:szCs w:val="20"/>
                <w:b w:val="1"/>
                <w:bCs w:val="1"/>
                <w:color w:val="auto"/>
              </w:rPr>
              <w:t>sestava</w:t>
            </w:r>
          </w:p>
        </w:tc>
        <w:tc>
          <w:tcPr>
            <w:tcW w:w="0" w:type="dxa"/>
            <w:vAlign w:val="bottom"/>
          </w:tcPr>
          <w:p>
            <w:pPr>
              <w:spacing w:after="0"/>
              <w:rPr>
                <w:sz w:val="1"/>
                <w:szCs w:val="1"/>
                <w:color w:val="auto"/>
              </w:rPr>
            </w:pPr>
          </w:p>
        </w:tc>
      </w:tr>
      <w:tr>
        <w:trPr>
          <w:trHeight w:val="113"/>
        </w:trPr>
        <w:tc>
          <w:tcPr>
            <w:tcW w:w="3460" w:type="dxa"/>
            <w:vAlign w:val="bottom"/>
          </w:tcPr>
          <w:p>
            <w:pPr>
              <w:spacing w:after="0"/>
              <w:rPr>
                <w:sz w:val="9"/>
                <w:szCs w:val="9"/>
                <w:color w:val="auto"/>
              </w:rPr>
            </w:pPr>
          </w:p>
        </w:tc>
        <w:tc>
          <w:tcPr>
            <w:tcW w:w="880" w:type="dxa"/>
            <w:vAlign w:val="bottom"/>
            <w:vMerge w:val="continue"/>
          </w:tcPr>
          <w:p>
            <w:pPr>
              <w:spacing w:after="0"/>
              <w:rPr>
                <w:sz w:val="9"/>
                <w:szCs w:val="9"/>
                <w:color w:val="auto"/>
              </w:rPr>
            </w:pPr>
          </w:p>
        </w:tc>
        <w:tc>
          <w:tcPr>
            <w:tcW w:w="1860" w:type="dxa"/>
            <w:vAlign w:val="bottom"/>
            <w:vMerge w:val="continue"/>
          </w:tcPr>
          <w:p>
            <w:pPr>
              <w:spacing w:after="0"/>
              <w:rPr>
                <w:sz w:val="9"/>
                <w:szCs w:val="9"/>
                <w:color w:val="auto"/>
              </w:rPr>
            </w:pPr>
          </w:p>
        </w:tc>
        <w:tc>
          <w:tcPr>
            <w:tcW w:w="1600" w:type="dxa"/>
            <w:vAlign w:val="bottom"/>
          </w:tcPr>
          <w:p>
            <w:pPr>
              <w:spacing w:after="0"/>
              <w:rPr>
                <w:sz w:val="9"/>
                <w:szCs w:val="9"/>
                <w:color w:val="auto"/>
              </w:rPr>
            </w:pPr>
          </w:p>
        </w:tc>
        <w:tc>
          <w:tcPr>
            <w:tcW w:w="172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24"/>
        </w:trPr>
        <w:tc>
          <w:tcPr>
            <w:tcW w:w="3460" w:type="dxa"/>
            <w:vAlign w:val="bottom"/>
            <w:tcBorders>
              <w:bottom w:val="single" w:sz="8" w:color="auto"/>
            </w:tcBorders>
          </w:tcPr>
          <w:p>
            <w:pPr>
              <w:spacing w:after="0"/>
              <w:rPr>
                <w:sz w:val="10"/>
                <w:szCs w:val="10"/>
                <w:color w:val="auto"/>
              </w:rPr>
            </w:pPr>
          </w:p>
        </w:tc>
        <w:tc>
          <w:tcPr>
            <w:tcW w:w="880" w:type="dxa"/>
            <w:vAlign w:val="bottom"/>
            <w:tcBorders>
              <w:bottom w:val="single" w:sz="8" w:color="auto"/>
            </w:tcBorders>
          </w:tcPr>
          <w:p>
            <w:pPr>
              <w:spacing w:after="0"/>
              <w:rPr>
                <w:sz w:val="10"/>
                <w:szCs w:val="10"/>
                <w:color w:val="auto"/>
              </w:rPr>
            </w:pPr>
          </w:p>
        </w:tc>
        <w:tc>
          <w:tcPr>
            <w:tcW w:w="1860" w:type="dxa"/>
            <w:vAlign w:val="bottom"/>
            <w:tcBorders>
              <w:bottom w:val="single" w:sz="8" w:color="auto"/>
            </w:tcBorders>
          </w:tcPr>
          <w:p>
            <w:pPr>
              <w:spacing w:after="0"/>
              <w:rPr>
                <w:sz w:val="10"/>
                <w:szCs w:val="10"/>
                <w:color w:val="auto"/>
              </w:rPr>
            </w:pPr>
          </w:p>
        </w:tc>
        <w:tc>
          <w:tcPr>
            <w:tcW w:w="1600" w:type="dxa"/>
            <w:vAlign w:val="bottom"/>
            <w:tcBorders>
              <w:bottom w:val="single" w:sz="8" w:color="auto"/>
            </w:tcBorders>
          </w:tcPr>
          <w:p>
            <w:pPr>
              <w:spacing w:after="0"/>
              <w:rPr>
                <w:sz w:val="10"/>
                <w:szCs w:val="10"/>
                <w:color w:val="auto"/>
              </w:rPr>
            </w:pPr>
          </w:p>
        </w:tc>
        <w:tc>
          <w:tcPr>
            <w:tcW w:w="17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48"/>
        </w:trPr>
        <w:tc>
          <w:tcPr>
            <w:tcW w:w="3460" w:type="dxa"/>
            <w:vAlign w:val="bottom"/>
          </w:tcPr>
          <w:p>
            <w:pPr>
              <w:ind w:left="80"/>
              <w:spacing w:after="0"/>
              <w:rPr>
                <w:sz w:val="20"/>
                <w:szCs w:val="20"/>
                <w:color w:val="auto"/>
              </w:rPr>
            </w:pPr>
            <w:r>
              <w:rPr>
                <w:rFonts w:ascii="Arial" w:cs="Arial" w:eastAsia="Arial" w:hAnsi="Arial"/>
                <w:sz w:val="20"/>
                <w:szCs w:val="20"/>
                <w:b w:val="1"/>
                <w:bCs w:val="1"/>
                <w:color w:val="auto"/>
                <w:w w:val="95"/>
              </w:rPr>
              <w:t>anesteziologický přístroj Carestation</w:t>
            </w:r>
          </w:p>
        </w:tc>
        <w:tc>
          <w:tcPr>
            <w:tcW w:w="88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1600" w:type="dxa"/>
            <w:vAlign w:val="bottom"/>
          </w:tcPr>
          <w:p>
            <w:pPr>
              <w:spacing w:after="0"/>
              <w:rPr>
                <w:sz w:val="24"/>
                <w:szCs w:val="24"/>
                <w:color w:val="auto"/>
              </w:rPr>
            </w:pPr>
          </w:p>
        </w:tc>
        <w:tc>
          <w:tcPr>
            <w:tcW w:w="17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3460" w:type="dxa"/>
            <w:vAlign w:val="bottom"/>
          </w:tcPr>
          <w:p>
            <w:pPr>
              <w:ind w:left="80"/>
              <w:spacing w:after="0"/>
              <w:rPr>
                <w:sz w:val="20"/>
                <w:szCs w:val="20"/>
                <w:color w:val="auto"/>
              </w:rPr>
            </w:pPr>
            <w:r>
              <w:rPr>
                <w:rFonts w:ascii="Arial" w:cs="Arial" w:eastAsia="Arial" w:hAnsi="Arial"/>
                <w:sz w:val="20"/>
                <w:szCs w:val="20"/>
                <w:b w:val="1"/>
                <w:bCs w:val="1"/>
                <w:color w:val="auto"/>
              </w:rPr>
              <w:t>CS650 s monitorem CARESCAPE</w:t>
            </w:r>
          </w:p>
        </w:tc>
        <w:tc>
          <w:tcPr>
            <w:tcW w:w="880" w:type="dxa"/>
            <w:vAlign w:val="bottom"/>
          </w:tcPr>
          <w:p>
            <w:pPr>
              <w:jc w:val="center"/>
              <w:spacing w:after="0"/>
              <w:rPr>
                <w:sz w:val="20"/>
                <w:szCs w:val="20"/>
                <w:color w:val="auto"/>
              </w:rPr>
            </w:pPr>
            <w:r>
              <w:rPr>
                <w:rFonts w:ascii="Arial" w:cs="Arial" w:eastAsia="Arial" w:hAnsi="Arial"/>
                <w:sz w:val="20"/>
                <w:szCs w:val="20"/>
                <w:b w:val="1"/>
                <w:bCs w:val="1"/>
                <w:color w:val="auto"/>
              </w:rPr>
              <w:t>2</w:t>
            </w:r>
          </w:p>
        </w:tc>
        <w:tc>
          <w:tcPr>
            <w:tcW w:w="1860" w:type="dxa"/>
            <w:vAlign w:val="bottom"/>
          </w:tcPr>
          <w:p>
            <w:pPr>
              <w:jc w:val="right"/>
              <w:spacing w:after="0"/>
              <w:rPr>
                <w:sz w:val="20"/>
                <w:szCs w:val="20"/>
                <w:color w:val="auto"/>
              </w:rPr>
            </w:pPr>
            <w:r>
              <w:rPr>
                <w:rFonts w:ascii="Arial" w:cs="Arial" w:eastAsia="Arial" w:hAnsi="Arial"/>
                <w:sz w:val="20"/>
                <w:szCs w:val="20"/>
                <w:b w:val="1"/>
                <w:bCs w:val="1"/>
                <w:color w:val="auto"/>
              </w:rPr>
              <w:t>942 651,00 Kč</w:t>
            </w:r>
          </w:p>
        </w:tc>
        <w:tc>
          <w:tcPr>
            <w:tcW w:w="1600" w:type="dxa"/>
            <w:vAlign w:val="bottom"/>
          </w:tcPr>
          <w:p>
            <w:pPr>
              <w:jc w:val="right"/>
              <w:spacing w:after="0"/>
              <w:rPr>
                <w:sz w:val="20"/>
                <w:szCs w:val="20"/>
                <w:color w:val="auto"/>
              </w:rPr>
            </w:pPr>
            <w:r>
              <w:rPr>
                <w:rFonts w:ascii="Arial" w:cs="Arial" w:eastAsia="Arial" w:hAnsi="Arial"/>
                <w:sz w:val="20"/>
                <w:szCs w:val="20"/>
                <w:b w:val="1"/>
                <w:bCs w:val="1"/>
                <w:color w:val="auto"/>
              </w:rPr>
              <w:t>197 956,71 Kč</w:t>
            </w:r>
          </w:p>
        </w:tc>
        <w:tc>
          <w:tcPr>
            <w:tcW w:w="1720" w:type="dxa"/>
            <w:vAlign w:val="bottom"/>
            <w:tcBorders>
              <w:right w:val="single" w:sz="8" w:color="auto"/>
            </w:tcBorders>
          </w:tcPr>
          <w:p>
            <w:pPr>
              <w:jc w:val="right"/>
              <w:spacing w:after="0"/>
              <w:rPr>
                <w:sz w:val="20"/>
                <w:szCs w:val="20"/>
                <w:color w:val="auto"/>
              </w:rPr>
            </w:pPr>
            <w:r>
              <w:rPr>
                <w:rFonts w:ascii="Arial" w:cs="Arial" w:eastAsia="Arial" w:hAnsi="Arial"/>
                <w:sz w:val="20"/>
                <w:szCs w:val="20"/>
                <w:b w:val="1"/>
                <w:bCs w:val="1"/>
                <w:color w:val="auto"/>
              </w:rPr>
              <w:t>1 140 607,71 Kč</w:t>
            </w:r>
          </w:p>
        </w:tc>
        <w:tc>
          <w:tcPr>
            <w:tcW w:w="0" w:type="dxa"/>
            <w:vAlign w:val="bottom"/>
          </w:tcPr>
          <w:p>
            <w:pPr>
              <w:spacing w:after="0"/>
              <w:rPr>
                <w:sz w:val="1"/>
                <w:szCs w:val="1"/>
                <w:color w:val="auto"/>
              </w:rPr>
            </w:pPr>
          </w:p>
        </w:tc>
      </w:tr>
      <w:tr>
        <w:trPr>
          <w:trHeight w:val="230"/>
        </w:trPr>
        <w:tc>
          <w:tcPr>
            <w:tcW w:w="3460" w:type="dxa"/>
            <w:vAlign w:val="bottom"/>
          </w:tcPr>
          <w:p>
            <w:pPr>
              <w:ind w:left="80"/>
              <w:spacing w:after="0"/>
              <w:rPr>
                <w:sz w:val="20"/>
                <w:szCs w:val="20"/>
                <w:color w:val="auto"/>
              </w:rPr>
            </w:pPr>
            <w:r>
              <w:rPr>
                <w:rFonts w:ascii="Arial" w:cs="Arial" w:eastAsia="Arial" w:hAnsi="Arial"/>
                <w:sz w:val="20"/>
                <w:szCs w:val="20"/>
                <w:b w:val="1"/>
                <w:bCs w:val="1"/>
                <w:color w:val="auto"/>
              </w:rPr>
              <w:t>B450 výrobce GE Healthcare</w:t>
            </w:r>
          </w:p>
        </w:tc>
        <w:tc>
          <w:tcPr>
            <w:tcW w:w="880" w:type="dxa"/>
            <w:vAlign w:val="bottom"/>
          </w:tcPr>
          <w:p>
            <w:pPr>
              <w:spacing w:after="0"/>
              <w:rPr>
                <w:sz w:val="20"/>
                <w:szCs w:val="20"/>
                <w:color w:val="auto"/>
              </w:rPr>
            </w:pPr>
          </w:p>
        </w:tc>
        <w:tc>
          <w:tcPr>
            <w:tcW w:w="1860" w:type="dxa"/>
            <w:vAlign w:val="bottom"/>
          </w:tcPr>
          <w:p>
            <w:pPr>
              <w:spacing w:after="0"/>
              <w:rPr>
                <w:sz w:val="20"/>
                <w:szCs w:val="20"/>
                <w:color w:val="auto"/>
              </w:rPr>
            </w:pPr>
          </w:p>
        </w:tc>
        <w:tc>
          <w:tcPr>
            <w:tcW w:w="1600" w:type="dxa"/>
            <w:vAlign w:val="bottom"/>
          </w:tcPr>
          <w:p>
            <w:pPr>
              <w:spacing w:after="0"/>
              <w:rPr>
                <w:sz w:val="20"/>
                <w:szCs w:val="20"/>
                <w:color w:val="auto"/>
              </w:rPr>
            </w:pPr>
          </w:p>
        </w:tc>
        <w:tc>
          <w:tcPr>
            <w:tcW w:w="17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21"/>
        </w:trPr>
        <w:tc>
          <w:tcPr>
            <w:tcW w:w="3460" w:type="dxa"/>
            <w:vAlign w:val="bottom"/>
            <w:tcBorders>
              <w:bottom w:val="single" w:sz="8" w:color="auto"/>
            </w:tcBorders>
          </w:tcPr>
          <w:p>
            <w:pPr>
              <w:spacing w:after="0"/>
              <w:rPr>
                <w:sz w:val="10"/>
                <w:szCs w:val="10"/>
                <w:color w:val="auto"/>
              </w:rPr>
            </w:pPr>
          </w:p>
        </w:tc>
        <w:tc>
          <w:tcPr>
            <w:tcW w:w="880" w:type="dxa"/>
            <w:vAlign w:val="bottom"/>
            <w:tcBorders>
              <w:bottom w:val="single" w:sz="8" w:color="auto"/>
            </w:tcBorders>
          </w:tcPr>
          <w:p>
            <w:pPr>
              <w:spacing w:after="0"/>
              <w:rPr>
                <w:sz w:val="10"/>
                <w:szCs w:val="10"/>
                <w:color w:val="auto"/>
              </w:rPr>
            </w:pPr>
          </w:p>
        </w:tc>
        <w:tc>
          <w:tcPr>
            <w:tcW w:w="1860" w:type="dxa"/>
            <w:vAlign w:val="bottom"/>
            <w:tcBorders>
              <w:bottom w:val="single" w:sz="8" w:color="auto"/>
            </w:tcBorders>
          </w:tcPr>
          <w:p>
            <w:pPr>
              <w:spacing w:after="0"/>
              <w:rPr>
                <w:sz w:val="10"/>
                <w:szCs w:val="10"/>
                <w:color w:val="auto"/>
              </w:rPr>
            </w:pPr>
          </w:p>
        </w:tc>
        <w:tc>
          <w:tcPr>
            <w:tcW w:w="1600" w:type="dxa"/>
            <w:vAlign w:val="bottom"/>
            <w:tcBorders>
              <w:bottom w:val="single" w:sz="8" w:color="auto"/>
            </w:tcBorders>
          </w:tcPr>
          <w:p>
            <w:pPr>
              <w:spacing w:after="0"/>
              <w:rPr>
                <w:sz w:val="10"/>
                <w:szCs w:val="10"/>
                <w:color w:val="auto"/>
              </w:rPr>
            </w:pPr>
          </w:p>
        </w:tc>
        <w:tc>
          <w:tcPr>
            <w:tcW w:w="17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46"/>
        </w:trPr>
        <w:tc>
          <w:tcPr>
            <w:tcW w:w="3460" w:type="dxa"/>
            <w:vAlign w:val="bottom"/>
            <w:tcBorders>
              <w:left w:val="single" w:sz="8" w:color="auto"/>
            </w:tcBorders>
          </w:tcPr>
          <w:p>
            <w:pPr>
              <w:ind w:left="80"/>
              <w:spacing w:after="0"/>
              <w:rPr>
                <w:sz w:val="20"/>
                <w:szCs w:val="20"/>
                <w:color w:val="auto"/>
              </w:rPr>
            </w:pPr>
            <w:r>
              <w:rPr>
                <w:rFonts w:ascii="Arial" w:cs="Arial" w:eastAsia="Arial" w:hAnsi="Arial"/>
                <w:sz w:val="20"/>
                <w:szCs w:val="20"/>
                <w:b w:val="1"/>
                <w:bCs w:val="1"/>
                <w:color w:val="auto"/>
              </w:rPr>
              <w:t>CELKOVÁ KUPNÍ CENA</w:t>
            </w:r>
          </w:p>
        </w:tc>
        <w:tc>
          <w:tcPr>
            <w:tcW w:w="880" w:type="dxa"/>
            <w:vAlign w:val="bottom"/>
            <w:tcBorders>
              <w:right w:val="single" w:sz="8" w:color="auto"/>
            </w:tcBorders>
          </w:tcPr>
          <w:p>
            <w:pPr>
              <w:spacing w:after="0"/>
              <w:rPr>
                <w:sz w:val="24"/>
                <w:szCs w:val="24"/>
                <w:color w:val="auto"/>
              </w:rPr>
            </w:pPr>
          </w:p>
        </w:tc>
        <w:tc>
          <w:tcPr>
            <w:tcW w:w="1860" w:type="dxa"/>
            <w:vAlign w:val="bottom"/>
            <w:tcBorders>
              <w:right w:val="single" w:sz="8" w:color="auto"/>
            </w:tcBorders>
          </w:tcPr>
          <w:p>
            <w:pPr>
              <w:jc w:val="right"/>
              <w:spacing w:after="0"/>
              <w:rPr>
                <w:sz w:val="20"/>
                <w:szCs w:val="20"/>
                <w:color w:val="auto"/>
              </w:rPr>
            </w:pPr>
            <w:r>
              <w:rPr>
                <w:rFonts w:ascii="Arial" w:cs="Arial" w:eastAsia="Arial" w:hAnsi="Arial"/>
                <w:sz w:val="20"/>
                <w:szCs w:val="20"/>
                <w:b w:val="1"/>
                <w:bCs w:val="1"/>
                <w:color w:val="auto"/>
              </w:rPr>
              <w:t>1 885 302,00 Kč</w:t>
            </w:r>
          </w:p>
        </w:tc>
        <w:tc>
          <w:tcPr>
            <w:tcW w:w="1600" w:type="dxa"/>
            <w:vAlign w:val="bottom"/>
            <w:tcBorders>
              <w:right w:val="single" w:sz="8" w:color="auto"/>
            </w:tcBorders>
          </w:tcPr>
          <w:p>
            <w:pPr>
              <w:jc w:val="right"/>
              <w:spacing w:after="0"/>
              <w:rPr>
                <w:sz w:val="20"/>
                <w:szCs w:val="20"/>
                <w:color w:val="auto"/>
              </w:rPr>
            </w:pPr>
            <w:r>
              <w:rPr>
                <w:rFonts w:ascii="Arial" w:cs="Arial" w:eastAsia="Arial" w:hAnsi="Arial"/>
                <w:sz w:val="20"/>
                <w:szCs w:val="20"/>
                <w:b w:val="1"/>
                <w:bCs w:val="1"/>
                <w:color w:val="auto"/>
              </w:rPr>
              <w:t>395 913,42 Kč</w:t>
            </w:r>
          </w:p>
        </w:tc>
        <w:tc>
          <w:tcPr>
            <w:tcW w:w="1720" w:type="dxa"/>
            <w:vAlign w:val="bottom"/>
            <w:tcBorders>
              <w:right w:val="single" w:sz="8" w:color="auto"/>
            </w:tcBorders>
          </w:tcPr>
          <w:p>
            <w:pPr>
              <w:jc w:val="right"/>
              <w:spacing w:after="0"/>
              <w:rPr>
                <w:sz w:val="20"/>
                <w:szCs w:val="20"/>
                <w:color w:val="auto"/>
              </w:rPr>
            </w:pPr>
            <w:r>
              <w:rPr>
                <w:rFonts w:ascii="Arial" w:cs="Arial" w:eastAsia="Arial" w:hAnsi="Arial"/>
                <w:sz w:val="20"/>
                <w:szCs w:val="20"/>
                <w:b w:val="1"/>
                <w:bCs w:val="1"/>
                <w:color w:val="auto"/>
              </w:rPr>
              <w:t>2 281 215,42 Kč</w:t>
            </w:r>
          </w:p>
        </w:tc>
        <w:tc>
          <w:tcPr>
            <w:tcW w:w="0" w:type="dxa"/>
            <w:vAlign w:val="bottom"/>
          </w:tcPr>
          <w:p>
            <w:pPr>
              <w:spacing w:after="0"/>
              <w:rPr>
                <w:sz w:val="1"/>
                <w:szCs w:val="1"/>
                <w:color w:val="auto"/>
              </w:rPr>
            </w:pPr>
          </w:p>
        </w:tc>
      </w:tr>
      <w:tr>
        <w:trPr>
          <w:trHeight w:val="126"/>
        </w:trPr>
        <w:tc>
          <w:tcPr>
            <w:tcW w:w="3460" w:type="dxa"/>
            <w:vAlign w:val="bottom"/>
            <w:tcBorders>
              <w:left w:val="single" w:sz="8" w:color="auto"/>
              <w:bottom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1860" w:type="dxa"/>
            <w:vAlign w:val="bottom"/>
            <w:tcBorders>
              <w:bottom w:val="single" w:sz="8" w:color="auto"/>
              <w:right w:val="single" w:sz="8" w:color="auto"/>
            </w:tcBorders>
          </w:tcPr>
          <w:p>
            <w:pPr>
              <w:spacing w:after="0"/>
              <w:rPr>
                <w:sz w:val="10"/>
                <w:szCs w:val="10"/>
                <w:color w:val="auto"/>
              </w:rPr>
            </w:pPr>
          </w:p>
        </w:tc>
        <w:tc>
          <w:tcPr>
            <w:tcW w:w="1600" w:type="dxa"/>
            <w:vAlign w:val="bottom"/>
            <w:tcBorders>
              <w:bottom w:val="single" w:sz="8" w:color="auto"/>
              <w:right w:val="single" w:sz="8" w:color="auto"/>
            </w:tcBorders>
          </w:tcPr>
          <w:p>
            <w:pPr>
              <w:spacing w:after="0"/>
              <w:rPr>
                <w:sz w:val="10"/>
                <w:szCs w:val="10"/>
                <w:color w:val="auto"/>
              </w:rPr>
            </w:pPr>
          </w:p>
        </w:tc>
        <w:tc>
          <w:tcPr>
            <w:tcW w:w="17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bl>
    <w:p>
      <w:pPr>
        <w:spacing w:after="0" w:line="333" w:lineRule="exact"/>
        <w:rPr>
          <w:sz w:val="20"/>
          <w:szCs w:val="20"/>
          <w:color w:val="auto"/>
        </w:rPr>
      </w:pPr>
    </w:p>
    <w:p>
      <w:pPr>
        <w:ind w:left="80"/>
        <w:spacing w:after="0"/>
        <w:rPr>
          <w:sz w:val="20"/>
          <w:szCs w:val="20"/>
          <w:color w:val="auto"/>
        </w:rPr>
      </w:pPr>
      <w:r>
        <w:rPr>
          <w:rFonts w:ascii="Arial" w:cs="Arial" w:eastAsia="Arial" w:hAnsi="Arial"/>
          <w:sz w:val="22"/>
          <w:szCs w:val="22"/>
          <w:b w:val="1"/>
          <w:bCs w:val="1"/>
          <w:color w:val="auto"/>
        </w:rPr>
        <w:t>3.2 Podmínky pro změnu sjednané ceny</w:t>
      </w:r>
    </w:p>
    <w:p>
      <w:pPr>
        <w:spacing w:after="0" w:line="54" w:lineRule="exact"/>
        <w:rPr>
          <w:sz w:val="20"/>
          <w:szCs w:val="20"/>
          <w:color w:val="auto"/>
        </w:rPr>
      </w:pPr>
    </w:p>
    <w:p>
      <w:pPr>
        <w:jc w:val="both"/>
        <w:ind w:left="80" w:right="80"/>
        <w:spacing w:after="0" w:line="282" w:lineRule="auto"/>
        <w:rPr>
          <w:sz w:val="20"/>
          <w:szCs w:val="20"/>
          <w:color w:val="auto"/>
        </w:rPr>
      </w:pPr>
      <w:r>
        <w:rPr>
          <w:rFonts w:ascii="Arial" w:cs="Arial" w:eastAsia="Arial" w:hAnsi="Arial"/>
          <w:sz w:val="22"/>
          <w:szCs w:val="22"/>
          <w:b w:val="1"/>
          <w:bCs w:val="1"/>
          <w:color w:val="auto"/>
        </w:rPr>
        <w:t>Sjednanou cenu lze změnit pouze v případě, že v průběhu plnění smlouvy dojde ke změnám sazeb daně z přidané hodnoty. V takovém případě bude sjednaná cena upravena o rozdíl vyplývající z výše sazeb DPH, platných v době vzniku zdanitelného plnění. Z jakýchkoliv jiných důvodů nesmí být cena měněna.</w:t>
      </w:r>
    </w:p>
    <w:p>
      <w:pPr>
        <w:spacing w:after="0" w:line="200" w:lineRule="exact"/>
        <w:rPr>
          <w:sz w:val="20"/>
          <w:szCs w:val="20"/>
          <w:color w:val="auto"/>
        </w:rPr>
      </w:pPr>
    </w:p>
    <w:p>
      <w:pPr>
        <w:spacing w:after="0" w:line="347" w:lineRule="exact"/>
        <w:rPr>
          <w:sz w:val="20"/>
          <w:szCs w:val="20"/>
          <w:color w:val="auto"/>
        </w:rPr>
      </w:pPr>
    </w:p>
    <w:p>
      <w:pPr>
        <w:jc w:val="center"/>
        <w:spacing w:after="0"/>
        <w:rPr>
          <w:sz w:val="20"/>
          <w:szCs w:val="20"/>
          <w:color w:val="auto"/>
        </w:rPr>
      </w:pPr>
      <w:r>
        <w:rPr>
          <w:rFonts w:ascii="Arial" w:cs="Arial" w:eastAsia="Arial" w:hAnsi="Arial"/>
          <w:sz w:val="28"/>
          <w:szCs w:val="28"/>
          <w:b w:val="1"/>
          <w:bCs w:val="1"/>
          <w:color w:val="auto"/>
        </w:rPr>
        <w:t>4. Fakturace, platební podmínky</w:t>
      </w:r>
    </w:p>
    <w:p>
      <w:pPr>
        <w:sectPr>
          <w:pgSz w:w="11900" w:h="16838" w:orient="portrait"/>
          <w:cols w:equalWidth="0" w:num="1">
            <w:col w:w="9520"/>
          </w:cols>
          <w:pgMar w:left="1340" w:top="1172" w:right="1046" w:bottom="369" w:gutter="0" w:footer="0" w:header="0"/>
        </w:sectPr>
      </w:pPr>
    </w:p>
    <w:p>
      <w:pPr>
        <w:spacing w:after="0" w:line="335" w:lineRule="exact"/>
        <w:rPr>
          <w:sz w:val="20"/>
          <w:szCs w:val="20"/>
          <w:color w:val="auto"/>
        </w:rPr>
      </w:pPr>
    </w:p>
    <w:p>
      <w:pPr>
        <w:ind w:left="80"/>
        <w:spacing w:after="0"/>
        <w:rPr>
          <w:sz w:val="20"/>
          <w:szCs w:val="20"/>
          <w:color w:val="auto"/>
        </w:rPr>
      </w:pPr>
      <w:r>
        <w:rPr>
          <w:rFonts w:ascii="Arial" w:cs="Arial" w:eastAsia="Arial" w:hAnsi="Arial"/>
          <w:sz w:val="22"/>
          <w:szCs w:val="22"/>
          <w:b w:val="1"/>
          <w:bCs w:val="1"/>
          <w:color w:val="auto"/>
        </w:rPr>
        <w:t>4.1 Záloha</w:t>
      </w:r>
    </w:p>
    <w:p>
      <w:pPr>
        <w:spacing w:after="0" w:line="54" w:lineRule="exact"/>
        <w:rPr>
          <w:sz w:val="20"/>
          <w:szCs w:val="20"/>
          <w:color w:val="auto"/>
        </w:rPr>
      </w:pPr>
    </w:p>
    <w:p>
      <w:pPr>
        <w:ind w:left="80"/>
        <w:spacing w:after="0"/>
        <w:rPr>
          <w:sz w:val="20"/>
          <w:szCs w:val="20"/>
          <w:color w:val="auto"/>
        </w:rPr>
      </w:pPr>
      <w:r>
        <w:rPr>
          <w:rFonts w:ascii="Arial" w:cs="Arial" w:eastAsia="Arial" w:hAnsi="Arial"/>
          <w:sz w:val="20"/>
          <w:szCs w:val="20"/>
          <w:b w:val="1"/>
          <w:bCs w:val="1"/>
          <w:color w:val="auto"/>
        </w:rPr>
        <w:t>Zálohy nebudou poskytovány.</w:t>
      </w:r>
    </w:p>
    <w:p>
      <w:pPr>
        <w:spacing w:after="0" w:line="41" w:lineRule="exact"/>
        <w:rPr>
          <w:sz w:val="20"/>
          <w:szCs w:val="20"/>
          <w:color w:val="auto"/>
        </w:rPr>
      </w:pPr>
    </w:p>
    <w:p>
      <w:pPr>
        <w:ind w:left="180"/>
        <w:spacing w:after="0"/>
        <w:rPr>
          <w:sz w:val="20"/>
          <w:szCs w:val="20"/>
          <w:color w:val="auto"/>
        </w:rPr>
      </w:pPr>
      <w:r>
        <w:rPr>
          <w:rFonts w:ascii="Arial" w:cs="Arial" w:eastAsia="Arial" w:hAnsi="Arial"/>
          <w:sz w:val="22"/>
          <w:szCs w:val="22"/>
          <w:b w:val="1"/>
          <w:bCs w:val="1"/>
          <w:color w:val="auto"/>
        </w:rPr>
        <w:t>KS 19-7-6</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spacing w:after="0"/>
        <w:rPr>
          <w:sz w:val="20"/>
          <w:szCs w:val="20"/>
          <w:color w:val="auto"/>
        </w:rPr>
      </w:pPr>
      <w:r>
        <w:rPr>
          <w:rFonts w:ascii="Arial" w:cs="Arial" w:eastAsia="Arial" w:hAnsi="Arial"/>
          <w:sz w:val="19"/>
          <w:szCs w:val="19"/>
          <w:b w:val="1"/>
          <w:bCs w:val="1"/>
          <w:color w:val="auto"/>
        </w:rPr>
        <w:t>strana 2</w:t>
      </w:r>
    </w:p>
    <w:p>
      <w:pPr>
        <w:sectPr>
          <w:pgSz w:w="11900" w:h="16838" w:orient="portrait"/>
          <w:cols w:equalWidth="0" w:num="2">
            <w:col w:w="7960" w:space="720"/>
            <w:col w:w="840"/>
          </w:cols>
          <w:pgMar w:left="1340" w:top="1172" w:right="1046" w:bottom="369" w:gutter="0" w:footer="0" w:header="0"/>
          <w:type w:val="continuous"/>
        </w:sectPr>
      </w:pPr>
    </w:p>
    <w:p>
      <w:pPr>
        <w:spacing w:after="0" w:line="26"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4.2 Platební podmínky</w:t>
      </w:r>
    </w:p>
    <w:p>
      <w:pPr>
        <w:spacing w:after="0" w:line="54" w:lineRule="exact"/>
        <w:rPr>
          <w:sz w:val="20"/>
          <w:szCs w:val="20"/>
          <w:color w:val="auto"/>
        </w:rPr>
      </w:pPr>
    </w:p>
    <w:p>
      <w:pPr>
        <w:jc w:val="both"/>
        <w:spacing w:after="0" w:line="318" w:lineRule="auto"/>
        <w:rPr>
          <w:sz w:val="20"/>
          <w:szCs w:val="20"/>
          <w:color w:val="auto"/>
        </w:rPr>
      </w:pPr>
      <w:r>
        <w:rPr>
          <w:rFonts w:ascii="Arial" w:cs="Arial" w:eastAsia="Arial" w:hAnsi="Arial"/>
          <w:sz w:val="20"/>
          <w:szCs w:val="20"/>
          <w:b w:val="1"/>
          <w:bCs w:val="1"/>
          <w:color w:val="auto"/>
        </w:rPr>
        <w:t>Prodávající je povinen vystavit daňový doklad (dále také „faktura“) s náležitostmi v souladu se zákonem č. 235/2004 Sb., o dani z přidané hodnoty, v platném znění. Faktura bude vystavena nejdříve v den, kdy dojde k řádnému předání a převzetí předmětu koupě. Jako přílohu faktury přiloží prodávající kopii dodacího listu (či předávacího protokolu) potvrzeného kupujícím.</w:t>
      </w:r>
    </w:p>
    <w:p>
      <w:pPr>
        <w:spacing w:after="0" w:line="274"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4.3 Úhrada faktury</w:t>
      </w:r>
    </w:p>
    <w:p>
      <w:pPr>
        <w:spacing w:after="0" w:line="54" w:lineRule="exact"/>
        <w:rPr>
          <w:sz w:val="20"/>
          <w:szCs w:val="20"/>
          <w:color w:val="auto"/>
        </w:rPr>
      </w:pPr>
    </w:p>
    <w:p>
      <w:pPr>
        <w:jc w:val="both"/>
        <w:spacing w:after="0" w:line="282" w:lineRule="auto"/>
        <w:rPr>
          <w:sz w:val="20"/>
          <w:szCs w:val="20"/>
          <w:color w:val="auto"/>
        </w:rPr>
      </w:pPr>
      <w:r>
        <w:rPr>
          <w:rFonts w:ascii="Arial" w:cs="Arial" w:eastAsia="Arial" w:hAnsi="Arial"/>
          <w:sz w:val="22"/>
          <w:szCs w:val="22"/>
          <w:b w:val="1"/>
          <w:bCs w:val="1"/>
          <w:color w:val="auto"/>
        </w:rPr>
        <w:t>Platba za předmět veřejné zakázky bude rozdělena do dvanácti měsíčních splátek. První splátka ve výši jedné dvanáctiny kupní ceny bude splatná do 30 dnů ode dne vystavení daňového dokladu. Další jednotlivé splátky vždy ve výši jedné dvanáctiny nabídkové ceny budou splatné do konce kalendářního měsíce následujícího bezprostředně po splátce předchozí.</w:t>
      </w:r>
    </w:p>
    <w:p>
      <w:pPr>
        <w:spacing w:after="0" w:line="30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4.4 Obsah daňového dokladu</w:t>
      </w:r>
    </w:p>
    <w:p>
      <w:pPr>
        <w:spacing w:after="0" w:line="54" w:lineRule="exact"/>
        <w:rPr>
          <w:sz w:val="20"/>
          <w:szCs w:val="20"/>
          <w:color w:val="auto"/>
        </w:rPr>
      </w:pPr>
    </w:p>
    <w:p>
      <w:pPr>
        <w:jc w:val="both"/>
        <w:spacing w:after="0" w:line="277" w:lineRule="auto"/>
        <w:rPr>
          <w:sz w:val="20"/>
          <w:szCs w:val="20"/>
          <w:color w:val="auto"/>
        </w:rPr>
      </w:pPr>
      <w:r>
        <w:rPr>
          <w:rFonts w:ascii="Arial" w:cs="Arial" w:eastAsia="Arial" w:hAnsi="Arial"/>
          <w:sz w:val="22"/>
          <w:szCs w:val="22"/>
          <w:b w:val="1"/>
          <w:bCs w:val="1"/>
          <w:color w:val="auto"/>
        </w:rPr>
        <w:t>Daňový doklad musí splňovat mimo náležitostí podle § 28 č. 235/2004 Sb., o dani z přidané hodnoty, v platném znění, dále tyto náležitosti:</w:t>
      </w:r>
    </w:p>
    <w:p>
      <w:pPr>
        <w:spacing w:after="0" w:line="54" w:lineRule="exact"/>
        <w:rPr>
          <w:sz w:val="20"/>
          <w:szCs w:val="20"/>
          <w:color w:val="auto"/>
        </w:rPr>
      </w:pPr>
    </w:p>
    <w:p>
      <w:pPr>
        <w:ind w:left="1280" w:right="6400"/>
        <w:spacing w:after="0" w:line="334" w:lineRule="auto"/>
        <w:rPr>
          <w:sz w:val="20"/>
          <w:szCs w:val="20"/>
          <w:color w:val="auto"/>
        </w:rPr>
      </w:pPr>
      <w:r>
        <w:rPr>
          <w:rFonts w:ascii="Arial" w:cs="Arial" w:eastAsia="Arial" w:hAnsi="Arial"/>
          <w:sz w:val="22"/>
          <w:szCs w:val="22"/>
          <w:b w:val="1"/>
          <w:bCs w:val="1"/>
          <w:color w:val="auto"/>
        </w:rPr>
        <w:t>označení faktury, IČ, DIČ,</w:t>
      </w:r>
    </w:p>
    <w:p>
      <w:pPr>
        <w:spacing w:after="0" w:line="15" w:lineRule="exact"/>
        <w:rPr>
          <w:sz w:val="20"/>
          <w:szCs w:val="20"/>
          <w:color w:val="auto"/>
        </w:rPr>
      </w:pPr>
    </w:p>
    <w:p>
      <w:pPr>
        <w:ind w:left="1280" w:right="2160"/>
        <w:spacing w:after="0" w:line="334" w:lineRule="auto"/>
        <w:rPr>
          <w:sz w:val="20"/>
          <w:szCs w:val="20"/>
          <w:color w:val="auto"/>
        </w:rPr>
      </w:pPr>
      <w:r>
        <w:rPr>
          <w:rFonts w:ascii="Arial" w:cs="Arial" w:eastAsia="Arial" w:hAnsi="Arial"/>
          <w:sz w:val="22"/>
          <w:szCs w:val="22"/>
          <w:b w:val="1"/>
          <w:bCs w:val="1"/>
          <w:color w:val="auto"/>
        </w:rPr>
        <w:t>název a sídlo prodávajícího a kupujícího vč. čísel bank. účtů, název akce + číslo Smlouvy,</w:t>
      </w:r>
    </w:p>
    <w:p>
      <w:pPr>
        <w:spacing w:after="0" w:line="8" w:lineRule="exact"/>
        <w:rPr>
          <w:sz w:val="20"/>
          <w:szCs w:val="20"/>
          <w:color w:val="auto"/>
        </w:rPr>
      </w:pPr>
    </w:p>
    <w:p>
      <w:pPr>
        <w:ind w:left="860"/>
        <w:spacing w:after="0"/>
        <w:rPr>
          <w:sz w:val="20"/>
          <w:szCs w:val="20"/>
          <w:color w:val="auto"/>
        </w:rPr>
      </w:pPr>
      <w:r>
        <w:rPr>
          <w:rFonts w:ascii="Arial" w:cs="Arial" w:eastAsia="Arial" w:hAnsi="Arial"/>
          <w:sz w:val="22"/>
          <w:szCs w:val="22"/>
          <w:b w:val="1"/>
          <w:bCs w:val="1"/>
          <w:color w:val="auto"/>
        </w:rPr>
        <w:t>cena plnění dle Smlouvy,</w:t>
      </w:r>
    </w:p>
    <w:p>
      <w:pPr>
        <w:spacing w:after="0" w:line="114" w:lineRule="exact"/>
        <w:rPr>
          <w:sz w:val="20"/>
          <w:szCs w:val="20"/>
          <w:color w:val="auto"/>
        </w:rPr>
      </w:pPr>
    </w:p>
    <w:p>
      <w:pPr>
        <w:ind w:left="1280" w:right="3820"/>
        <w:spacing w:after="0" w:line="375" w:lineRule="auto"/>
        <w:rPr>
          <w:sz w:val="20"/>
          <w:szCs w:val="20"/>
          <w:color w:val="auto"/>
        </w:rPr>
      </w:pPr>
      <w:r>
        <w:rPr>
          <w:rFonts w:ascii="Arial" w:cs="Arial" w:eastAsia="Arial" w:hAnsi="Arial"/>
          <w:sz w:val="20"/>
          <w:szCs w:val="20"/>
          <w:b w:val="1"/>
          <w:bCs w:val="1"/>
          <w:color w:val="auto"/>
        </w:rPr>
        <w:t>DPH v plné výši – pouze v konečné faktuře, datum uskutečnění zdanitelného plnění,</w:t>
      </w:r>
    </w:p>
    <w:p>
      <w:pPr>
        <w:ind w:left="860"/>
        <w:spacing w:after="0"/>
        <w:rPr>
          <w:sz w:val="20"/>
          <w:szCs w:val="20"/>
          <w:color w:val="auto"/>
        </w:rPr>
      </w:pPr>
      <w:r>
        <w:rPr>
          <w:rFonts w:ascii="Arial" w:cs="Arial" w:eastAsia="Arial" w:hAnsi="Arial"/>
          <w:sz w:val="22"/>
          <w:szCs w:val="22"/>
          <w:b w:val="1"/>
          <w:bCs w:val="1"/>
          <w:color w:val="auto"/>
        </w:rPr>
        <w:t>účtovaná částka,</w:t>
      </w:r>
    </w:p>
    <w:p>
      <w:pPr>
        <w:spacing w:after="0" w:line="114" w:lineRule="exact"/>
        <w:rPr>
          <w:sz w:val="20"/>
          <w:szCs w:val="20"/>
          <w:color w:val="auto"/>
        </w:rPr>
      </w:pPr>
    </w:p>
    <w:p>
      <w:pPr>
        <w:ind w:left="1280" w:right="3620"/>
        <w:spacing w:after="0" w:line="375" w:lineRule="auto"/>
        <w:rPr>
          <w:sz w:val="20"/>
          <w:szCs w:val="20"/>
          <w:color w:val="auto"/>
        </w:rPr>
      </w:pPr>
      <w:r>
        <w:rPr>
          <w:rFonts w:ascii="Arial" w:cs="Arial" w:eastAsia="Arial" w:hAnsi="Arial"/>
          <w:sz w:val="20"/>
          <w:szCs w:val="20"/>
          <w:b w:val="1"/>
          <w:bCs w:val="1"/>
          <w:color w:val="auto"/>
        </w:rPr>
        <w:t>den vystavení a splatnosti (splatností) faktury, přílohou protokol o předání a převzetí,</w:t>
      </w:r>
    </w:p>
    <w:p>
      <w:pPr>
        <w:spacing w:after="0" w:line="1" w:lineRule="exact"/>
        <w:rPr>
          <w:sz w:val="20"/>
          <w:szCs w:val="20"/>
          <w:color w:val="auto"/>
        </w:rPr>
      </w:pPr>
    </w:p>
    <w:p>
      <w:pPr>
        <w:ind w:left="1280" w:firstLine="1"/>
        <w:spacing w:after="0" w:line="277" w:lineRule="auto"/>
        <w:rPr>
          <w:sz w:val="20"/>
          <w:szCs w:val="20"/>
          <w:color w:val="auto"/>
        </w:rPr>
      </w:pPr>
      <w:r>
        <w:rPr>
          <w:rFonts w:ascii="Arial" w:cs="Arial" w:eastAsia="Arial" w:hAnsi="Arial"/>
          <w:sz w:val="22"/>
          <w:szCs w:val="22"/>
          <w:b w:val="1"/>
          <w:bCs w:val="1"/>
          <w:color w:val="auto"/>
        </w:rPr>
        <w:t>označení peněžního ústavu a číslo účtu, ve prospěch kterého má být provedena platba, konstantní a variabilní symbol;</w:t>
      </w:r>
    </w:p>
    <w:p>
      <w:pPr>
        <w:spacing w:after="0" w:line="76" w:lineRule="exact"/>
        <w:rPr>
          <w:sz w:val="20"/>
          <w:szCs w:val="20"/>
          <w:color w:val="auto"/>
        </w:rPr>
      </w:pPr>
    </w:p>
    <w:p>
      <w:pPr>
        <w:ind w:left="1280" w:right="1820"/>
        <w:spacing w:after="0" w:line="334" w:lineRule="auto"/>
        <w:rPr>
          <w:sz w:val="20"/>
          <w:szCs w:val="20"/>
          <w:color w:val="auto"/>
        </w:rPr>
      </w:pPr>
      <w:r>
        <w:rPr>
          <w:rFonts w:ascii="Arial" w:cs="Arial" w:eastAsia="Arial" w:hAnsi="Arial"/>
          <w:sz w:val="22"/>
          <w:szCs w:val="22"/>
          <w:b w:val="1"/>
          <w:bCs w:val="1"/>
          <w:color w:val="auto"/>
        </w:rPr>
        <w:t>razítko a podpis osoby oprávněné k vystavení účetního dokladu, soupis příloh.</w:t>
      </w:r>
    </w:p>
    <w:p>
      <w:pPr>
        <w:spacing w:after="0" w:line="331"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4.5 Důsledky vad daňového dokladu</w:t>
      </w:r>
    </w:p>
    <w:p>
      <w:pPr>
        <w:spacing w:after="0" w:line="54" w:lineRule="exact"/>
        <w:rPr>
          <w:sz w:val="20"/>
          <w:szCs w:val="20"/>
          <w:color w:val="auto"/>
        </w:rPr>
      </w:pPr>
    </w:p>
    <w:p>
      <w:pPr>
        <w:jc w:val="both"/>
        <w:spacing w:after="0" w:line="277" w:lineRule="auto"/>
        <w:rPr>
          <w:sz w:val="20"/>
          <w:szCs w:val="20"/>
          <w:color w:val="auto"/>
        </w:rPr>
      </w:pPr>
      <w:r>
        <w:rPr>
          <w:rFonts w:ascii="Arial" w:cs="Arial" w:eastAsia="Arial" w:hAnsi="Arial"/>
          <w:sz w:val="22"/>
          <w:szCs w:val="22"/>
          <w:b w:val="1"/>
          <w:bCs w:val="1"/>
          <w:color w:val="auto"/>
        </w:rPr>
        <w:t>Kupující muže fakturu vrátit prodávajícímu, bude-li obsahovat nesprávné údaje. V tom případě se hledí na fakturu jako na nedoručenou.</w:t>
      </w:r>
    </w:p>
    <w:p>
      <w:pPr>
        <w:spacing w:after="0" w:line="200" w:lineRule="exact"/>
        <w:rPr>
          <w:sz w:val="20"/>
          <w:szCs w:val="20"/>
          <w:color w:val="auto"/>
        </w:rPr>
      </w:pPr>
    </w:p>
    <w:p>
      <w:pPr>
        <w:spacing w:after="0" w:line="352" w:lineRule="exact"/>
        <w:rPr>
          <w:sz w:val="20"/>
          <w:szCs w:val="20"/>
          <w:color w:val="auto"/>
        </w:rPr>
      </w:pPr>
    </w:p>
    <w:p>
      <w:pPr>
        <w:jc w:val="center"/>
        <w:spacing w:after="0"/>
        <w:rPr>
          <w:sz w:val="20"/>
          <w:szCs w:val="20"/>
          <w:color w:val="auto"/>
        </w:rPr>
      </w:pPr>
      <w:r>
        <w:rPr>
          <w:rFonts w:ascii="Arial" w:cs="Arial" w:eastAsia="Arial" w:hAnsi="Arial"/>
          <w:sz w:val="28"/>
          <w:szCs w:val="28"/>
          <w:b w:val="1"/>
          <w:bCs w:val="1"/>
          <w:color w:val="auto"/>
        </w:rPr>
        <w:t>5. Doba plnění a ostatní ujednání</w:t>
      </w:r>
    </w:p>
    <w:p>
      <w:pPr>
        <w:spacing w:after="0" w:line="33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5.1 Doba plnění</w:t>
      </w:r>
    </w:p>
    <w:p>
      <w:pPr>
        <w:spacing w:after="0" w:line="54" w:lineRule="exact"/>
        <w:rPr>
          <w:sz w:val="20"/>
          <w:szCs w:val="20"/>
          <w:color w:val="auto"/>
        </w:rPr>
      </w:pPr>
    </w:p>
    <w:p>
      <w:pPr>
        <w:jc w:val="both"/>
        <w:spacing w:after="0" w:line="281" w:lineRule="auto"/>
        <w:rPr>
          <w:sz w:val="20"/>
          <w:szCs w:val="20"/>
          <w:color w:val="auto"/>
        </w:rPr>
      </w:pPr>
      <w:r>
        <w:rPr>
          <w:rFonts w:ascii="Arial" w:cs="Arial" w:eastAsia="Arial" w:hAnsi="Arial"/>
          <w:sz w:val="22"/>
          <w:szCs w:val="22"/>
          <w:b w:val="1"/>
          <w:bCs w:val="1"/>
          <w:color w:val="auto"/>
        </w:rPr>
        <w:t>Předmět dodávky, tj. 2 ks anesteziologického přístroje Carestation CS650 s monitorem CARESCAPE B450 výrobce GE Healthcare, bude dodán po podpisu Kupní smlouvy oprávněnými zástupci obou smluvních stran, nejpozději do 31. 5. 2017.</w:t>
      </w: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ind w:left="100"/>
        <w:spacing w:after="0"/>
        <w:tabs>
          <w:tab w:leader="none" w:pos="8580" w:val="left"/>
        </w:tabs>
        <w:rPr>
          <w:sz w:val="20"/>
          <w:szCs w:val="20"/>
          <w:color w:val="auto"/>
        </w:rPr>
      </w:pPr>
      <w:r>
        <w:rPr>
          <w:rFonts w:ascii="Arial" w:cs="Arial" w:eastAsia="Arial" w:hAnsi="Arial"/>
          <w:sz w:val="22"/>
          <w:szCs w:val="22"/>
          <w:b w:val="1"/>
          <w:bCs w:val="1"/>
          <w:color w:val="auto"/>
        </w:rPr>
        <w:t>KS 19-7-6</w:t>
      </w:r>
      <w:r>
        <w:rPr>
          <w:sz w:val="20"/>
          <w:szCs w:val="20"/>
          <w:color w:val="auto"/>
        </w:rPr>
        <w:tab/>
      </w:r>
      <w:r>
        <w:rPr>
          <w:rFonts w:ascii="Arial" w:cs="Arial" w:eastAsia="Arial" w:hAnsi="Arial"/>
          <w:sz w:val="19"/>
          <w:szCs w:val="19"/>
          <w:b w:val="1"/>
          <w:bCs w:val="1"/>
          <w:color w:val="auto"/>
        </w:rPr>
        <w:t>strana 3</w:t>
      </w:r>
    </w:p>
    <w:p>
      <w:pPr>
        <w:sectPr>
          <w:pgSz w:w="11900" w:h="16838" w:orient="portrait"/>
          <w:cols w:equalWidth="0" w:num="1">
            <w:col w:w="9360"/>
          </w:cols>
          <w:pgMar w:left="1420" w:top="1440" w:right="1126" w:bottom="383" w:gutter="0" w:footer="0" w:header="0"/>
        </w:sectPr>
      </w:pPr>
    </w:p>
    <w:p>
      <w:pPr>
        <w:spacing w:after="0"/>
        <w:rPr>
          <w:sz w:val="20"/>
          <w:szCs w:val="20"/>
          <w:color w:val="auto"/>
        </w:rPr>
      </w:pPr>
      <w:r>
        <w:rPr>
          <w:rFonts w:ascii="Arial" w:cs="Arial" w:eastAsia="Arial" w:hAnsi="Arial"/>
          <w:sz w:val="22"/>
          <w:szCs w:val="22"/>
          <w:b w:val="1"/>
          <w:bCs w:val="1"/>
          <w:color w:val="auto"/>
        </w:rPr>
        <w:t>5.2 Přejímka předmětu Smlouvy</w:t>
      </w:r>
    </w:p>
    <w:p>
      <w:pPr>
        <w:spacing w:after="0" w:line="54" w:lineRule="exact"/>
        <w:rPr>
          <w:sz w:val="20"/>
          <w:szCs w:val="20"/>
          <w:color w:val="auto"/>
        </w:rPr>
      </w:pPr>
    </w:p>
    <w:p>
      <w:pPr>
        <w:jc w:val="both"/>
        <w:spacing w:after="0" w:line="313" w:lineRule="auto"/>
        <w:rPr>
          <w:sz w:val="20"/>
          <w:szCs w:val="20"/>
          <w:color w:val="auto"/>
        </w:rPr>
      </w:pPr>
      <w:r>
        <w:rPr>
          <w:rFonts w:ascii="Arial" w:cs="Arial" w:eastAsia="Arial" w:hAnsi="Arial"/>
          <w:sz w:val="20"/>
          <w:szCs w:val="20"/>
          <w:b w:val="1"/>
          <w:bCs w:val="1"/>
          <w:color w:val="auto"/>
        </w:rPr>
        <w:t>Předmět této Smlouvy je pokládán za dodaný, nainstalovaný a uvedený do provozu podpisem předávacího protokolu mezi prodávajícím a kupujícím. Za kupujícího je k podpisu předávacího protokolu oprávněn xxxxxxxxxxxxxxxxxxxxxxxxxxxxxxxx. Jedno vyhotovení předávacího protokolu zůstává prodávajícímu pro jeho potřeby a druhé vyhotovení zůstává kupujícímu.</w:t>
      </w:r>
    </w:p>
    <w:p>
      <w:pPr>
        <w:jc w:val="both"/>
        <w:spacing w:after="0" w:line="281" w:lineRule="auto"/>
        <w:rPr>
          <w:sz w:val="20"/>
          <w:szCs w:val="20"/>
          <w:color w:val="auto"/>
        </w:rPr>
      </w:pPr>
      <w:r>
        <w:rPr>
          <w:rFonts w:ascii="Arial" w:cs="Arial" w:eastAsia="Arial" w:hAnsi="Arial"/>
          <w:sz w:val="22"/>
          <w:szCs w:val="22"/>
          <w:b w:val="1"/>
          <w:bCs w:val="1"/>
          <w:color w:val="auto"/>
        </w:rPr>
        <w:t>Pracovník kupujícího, který provádí povinnou prohlídku dodaného, nainstalovaného a do provozu uvedeného předmětu koupě, je oprávněn do předávacího protokolu popsat jím zjištěné vady předávaného předmětu koupě.</w:t>
      </w:r>
    </w:p>
    <w:p>
      <w:pPr>
        <w:spacing w:after="0" w:line="304"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5.3 Místo plnění</w:t>
      </w:r>
    </w:p>
    <w:p>
      <w:pPr>
        <w:spacing w:after="0" w:line="4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Místem plnění je Nemocnice Boskovice s.r.o., Otakara Kubína 179, 680 21 Boskovice.</w:t>
      </w:r>
    </w:p>
    <w:p>
      <w:pPr>
        <w:spacing w:after="0" w:line="34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5.4 Součinnost</w:t>
      </w:r>
    </w:p>
    <w:p>
      <w:pPr>
        <w:spacing w:after="0" w:line="54" w:lineRule="exact"/>
        <w:rPr>
          <w:sz w:val="20"/>
          <w:szCs w:val="20"/>
          <w:color w:val="auto"/>
        </w:rPr>
      </w:pPr>
    </w:p>
    <w:p>
      <w:pPr>
        <w:jc w:val="both"/>
        <w:spacing w:after="0" w:line="283" w:lineRule="auto"/>
        <w:rPr>
          <w:sz w:val="20"/>
          <w:szCs w:val="20"/>
          <w:color w:val="auto"/>
        </w:rPr>
      </w:pPr>
      <w:r>
        <w:rPr>
          <w:rFonts w:ascii="Arial" w:cs="Arial" w:eastAsia="Arial" w:hAnsi="Arial"/>
          <w:sz w:val="22"/>
          <w:szCs w:val="22"/>
          <w:b w:val="1"/>
          <w:bCs w:val="1"/>
          <w:color w:val="auto"/>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pPr>
        <w:spacing w:after="0" w:line="310" w:lineRule="exact"/>
        <w:rPr>
          <w:sz w:val="20"/>
          <w:szCs w:val="20"/>
          <w:color w:val="auto"/>
        </w:rPr>
      </w:pPr>
    </w:p>
    <w:p>
      <w:pPr>
        <w:jc w:val="both"/>
        <w:spacing w:after="0" w:line="282" w:lineRule="auto"/>
        <w:rPr>
          <w:sz w:val="20"/>
          <w:szCs w:val="20"/>
          <w:color w:val="auto"/>
        </w:rPr>
      </w:pPr>
      <w:r>
        <w:rPr>
          <w:rFonts w:ascii="Arial" w:cs="Arial" w:eastAsia="Arial" w:hAnsi="Arial"/>
          <w:sz w:val="22"/>
          <w:szCs w:val="22"/>
          <w:b w:val="1"/>
          <w:bCs w:val="1"/>
          <w:color w:val="auto"/>
        </w:rPr>
        <w:t>Kupující umožní příjezd dopravci do místa určení na dobu nezbytně nutnou ke složení předmětu koupě. Prodávající se zavazuje oznámit termín dodávky minimálně 2 dny před plánovaným termínem následujícím zástupcům kupujícího: xxxxxxxxxxxxxxxxxx xxxxxxxxxxxx xxxxxxxxx xxxxxxxxxxxxxxxxxxxxxxxxxxxxxxxxxxxxxxxxxxxxxxxxxxxxxx</w:t>
      </w:r>
    </w:p>
    <w:p>
      <w:pPr>
        <w:spacing w:after="0" w:line="311" w:lineRule="exact"/>
        <w:rPr>
          <w:sz w:val="20"/>
          <w:szCs w:val="20"/>
          <w:color w:val="auto"/>
        </w:rPr>
      </w:pPr>
    </w:p>
    <w:p>
      <w:pPr>
        <w:jc w:val="both"/>
        <w:ind w:right="20"/>
        <w:spacing w:after="0" w:line="277" w:lineRule="auto"/>
        <w:rPr>
          <w:sz w:val="20"/>
          <w:szCs w:val="20"/>
          <w:color w:val="auto"/>
        </w:rPr>
      </w:pPr>
      <w:r>
        <w:rPr>
          <w:rFonts w:ascii="Arial" w:cs="Arial" w:eastAsia="Arial" w:hAnsi="Arial"/>
          <w:sz w:val="22"/>
          <w:szCs w:val="22"/>
          <w:b w:val="1"/>
          <w:bCs w:val="1"/>
          <w:color w:val="auto"/>
        </w:rPr>
        <w:t>Vlastnické právo k předmětu koupě přechází z prodávajícího na kupujícího úplným zaplacením kupní ceny předmětu koupě.</w:t>
      </w:r>
    </w:p>
    <w:p>
      <w:pPr>
        <w:spacing w:after="0" w:line="30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5.5 Smluvní pokuty</w:t>
      </w:r>
    </w:p>
    <w:p>
      <w:pPr>
        <w:spacing w:after="0" w:line="54" w:lineRule="exact"/>
        <w:rPr>
          <w:sz w:val="20"/>
          <w:szCs w:val="20"/>
          <w:color w:val="auto"/>
        </w:rPr>
      </w:pPr>
    </w:p>
    <w:p>
      <w:pPr>
        <w:jc w:val="both"/>
        <w:spacing w:after="0" w:line="274" w:lineRule="auto"/>
        <w:rPr>
          <w:sz w:val="20"/>
          <w:szCs w:val="20"/>
          <w:color w:val="auto"/>
        </w:rPr>
      </w:pPr>
      <w:r>
        <w:rPr>
          <w:rFonts w:ascii="Arial" w:cs="Arial" w:eastAsia="Arial" w:hAnsi="Arial"/>
          <w:sz w:val="22"/>
          <w:szCs w:val="22"/>
          <w:b w:val="1"/>
          <w:bCs w:val="1"/>
          <w:color w:val="auto"/>
        </w:rPr>
        <w:t>Není-li smlouvou sjednána smluvní pokuta vyšší, jsou dále smluvní strany v případě porušení svých závazků povinny hradit tyto smluvní pokuty:</w:t>
      </w:r>
    </w:p>
    <w:p>
      <w:pPr>
        <w:jc w:val="right"/>
        <w:ind w:left="720" w:hanging="1"/>
        <w:spacing w:after="0" w:line="324" w:lineRule="auto"/>
        <w:rPr>
          <w:sz w:val="20"/>
          <w:szCs w:val="20"/>
          <w:color w:val="auto"/>
        </w:rPr>
      </w:pPr>
      <w:r>
        <w:rPr>
          <w:rFonts w:ascii="Arial" w:cs="Arial" w:eastAsia="Arial" w:hAnsi="Arial"/>
          <w:sz w:val="20"/>
          <w:szCs w:val="20"/>
          <w:b w:val="1"/>
          <w:bCs w:val="1"/>
          <w:color w:val="auto"/>
        </w:rPr>
        <w:t>v případě, že bude prodávající v prodlení s dodáním a instalací předmět smlouvy a jeho uvedením do provozu, je povinen zaplatit kupujícímu smluvní pokutu ve výši 0,05 % ze</w:t>
      </w:r>
    </w:p>
    <w:p>
      <w:pPr>
        <w:ind w:left="720"/>
        <w:spacing w:after="0"/>
        <w:rPr>
          <w:sz w:val="20"/>
          <w:szCs w:val="20"/>
          <w:color w:val="auto"/>
        </w:rPr>
      </w:pPr>
      <w:r>
        <w:rPr>
          <w:rFonts w:ascii="Arial" w:cs="Arial" w:eastAsia="Arial" w:hAnsi="Arial"/>
          <w:sz w:val="22"/>
          <w:szCs w:val="22"/>
          <w:b w:val="1"/>
          <w:bCs w:val="1"/>
          <w:color w:val="auto"/>
        </w:rPr>
        <w:t>sjednané ceny bez DPH za každý i započatý den prodlení.</w:t>
      </w:r>
    </w:p>
    <w:p>
      <w:pPr>
        <w:spacing w:after="0" w:line="32" w:lineRule="exact"/>
        <w:rPr>
          <w:sz w:val="20"/>
          <w:szCs w:val="20"/>
          <w:color w:val="auto"/>
        </w:rPr>
      </w:pPr>
    </w:p>
    <w:p>
      <w:pPr>
        <w:jc w:val="right"/>
        <w:ind w:left="720" w:hanging="1"/>
        <w:spacing w:after="0" w:line="324" w:lineRule="auto"/>
        <w:rPr>
          <w:sz w:val="20"/>
          <w:szCs w:val="20"/>
          <w:color w:val="auto"/>
        </w:rPr>
      </w:pPr>
      <w:r>
        <w:rPr>
          <w:rFonts w:ascii="Arial" w:cs="Arial" w:eastAsia="Arial" w:hAnsi="Arial"/>
          <w:sz w:val="20"/>
          <w:szCs w:val="20"/>
          <w:b w:val="1"/>
          <w:bCs w:val="1"/>
          <w:color w:val="auto"/>
        </w:rPr>
        <w:t>v případě, že kupující bude v prodlení s úhradou kupní ceny ujednané podle smlouvy, bude povinen zaplatit prodávajícímu smluvní pokutu z prodlení ve výši 0,05 % z dlužné</w:t>
      </w:r>
    </w:p>
    <w:p>
      <w:pPr>
        <w:spacing w:after="0" w:line="1" w:lineRule="exact"/>
        <w:rPr>
          <w:sz w:val="20"/>
          <w:szCs w:val="20"/>
          <w:color w:val="auto"/>
        </w:rPr>
      </w:pPr>
    </w:p>
    <w:p>
      <w:pPr>
        <w:jc w:val="both"/>
        <w:ind w:left="720"/>
        <w:spacing w:after="0" w:line="281" w:lineRule="auto"/>
        <w:rPr>
          <w:sz w:val="20"/>
          <w:szCs w:val="20"/>
          <w:color w:val="auto"/>
        </w:rPr>
      </w:pPr>
      <w:r>
        <w:rPr>
          <w:rFonts w:ascii="Arial" w:cs="Arial" w:eastAsia="Arial" w:hAnsi="Arial"/>
          <w:sz w:val="22"/>
          <w:szCs w:val="22"/>
          <w:b w:val="1"/>
          <w:bCs w:val="1"/>
          <w:color w:val="auto"/>
        </w:rPr>
        <w:t>částky za každý započatý den prodlení. V případě, že kupující bude v prodlení s úhradou kupní ceny více než 45 dnů po splatnosti, je prodávající oprávněn od této kupní smlouvy odstoupit.</w:t>
      </w:r>
    </w:p>
    <w:p>
      <w:pPr>
        <w:spacing w:after="0" w:line="311" w:lineRule="exact"/>
        <w:rPr>
          <w:sz w:val="20"/>
          <w:szCs w:val="20"/>
          <w:color w:val="auto"/>
        </w:rPr>
      </w:pPr>
    </w:p>
    <w:p>
      <w:pPr>
        <w:spacing w:after="0" w:line="277" w:lineRule="auto"/>
        <w:rPr>
          <w:sz w:val="20"/>
          <w:szCs w:val="20"/>
          <w:color w:val="auto"/>
        </w:rPr>
      </w:pPr>
      <w:r>
        <w:rPr>
          <w:rFonts w:ascii="Arial" w:cs="Arial" w:eastAsia="Arial" w:hAnsi="Arial"/>
          <w:sz w:val="22"/>
          <w:szCs w:val="22"/>
          <w:b w:val="1"/>
          <w:bCs w:val="1"/>
          <w:color w:val="auto"/>
        </w:rPr>
        <w:t>Smluvní strany sjednávají, že povinná strana dle předchozích odstavců není povinna smluvní pokutu platit v případě, že porušení povinnosti dle této smlouvy nezavinila.</w:t>
      </w:r>
    </w:p>
    <w:p>
      <w:pPr>
        <w:spacing w:after="0" w:line="30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5.6 Zánik závazků</w:t>
      </w:r>
    </w:p>
    <w:p>
      <w:pPr>
        <w:spacing w:after="0" w:line="4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Závazky smluvních stran ze smlouvy zanikají:</w:t>
      </w:r>
    </w:p>
    <w:p>
      <w:pPr>
        <w:spacing w:after="0" w:line="8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jejich splněním;</w:t>
      </w: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ind w:left="100"/>
        <w:spacing w:after="0"/>
        <w:tabs>
          <w:tab w:leader="none" w:pos="8580" w:val="left"/>
        </w:tabs>
        <w:rPr>
          <w:sz w:val="20"/>
          <w:szCs w:val="20"/>
          <w:color w:val="auto"/>
        </w:rPr>
      </w:pPr>
      <w:r>
        <w:rPr>
          <w:rFonts w:ascii="Arial" w:cs="Arial" w:eastAsia="Arial" w:hAnsi="Arial"/>
          <w:sz w:val="22"/>
          <w:szCs w:val="22"/>
          <w:b w:val="1"/>
          <w:bCs w:val="1"/>
          <w:color w:val="auto"/>
        </w:rPr>
        <w:t>KS 19-7-6</w:t>
      </w:r>
      <w:r>
        <w:rPr>
          <w:sz w:val="20"/>
          <w:szCs w:val="20"/>
          <w:color w:val="auto"/>
        </w:rPr>
        <w:tab/>
      </w:r>
      <w:r>
        <w:rPr>
          <w:rFonts w:ascii="Arial" w:cs="Arial" w:eastAsia="Arial" w:hAnsi="Arial"/>
          <w:sz w:val="19"/>
          <w:szCs w:val="19"/>
          <w:b w:val="1"/>
          <w:bCs w:val="1"/>
          <w:color w:val="auto"/>
        </w:rPr>
        <w:t>strana 4</w:t>
      </w:r>
    </w:p>
    <w:p>
      <w:pPr>
        <w:sectPr>
          <w:pgSz w:w="11900" w:h="16838" w:orient="portrait"/>
          <w:cols w:equalWidth="0" w:num="1">
            <w:col w:w="9360"/>
          </w:cols>
          <w:pgMar w:left="1420" w:top="1165" w:right="1126" w:bottom="383" w:gutter="0" w:footer="0" w:header="0"/>
        </w:sectPr>
      </w:pPr>
    </w:p>
    <w:p>
      <w:pPr>
        <w:ind w:left="280" w:firstLine="1"/>
        <w:spacing w:after="0" w:line="281" w:lineRule="auto"/>
        <w:rPr>
          <w:sz w:val="20"/>
          <w:szCs w:val="20"/>
          <w:color w:val="auto"/>
        </w:rPr>
      </w:pPr>
      <w:r>
        <w:rPr>
          <w:rFonts w:ascii="Arial" w:cs="Arial" w:eastAsia="Arial" w:hAnsi="Arial"/>
          <w:sz w:val="22"/>
          <w:szCs w:val="22"/>
          <w:b w:val="1"/>
          <w:bCs w:val="1"/>
          <w:color w:val="auto"/>
        </w:rPr>
        <w:t>dohodou smluvních stran formou písemného dodatku ke smlouvě. Takový dodatek musí být písemný a obsahovat vypořádání všech závazků, na které smluvní strany, které takový dodatek uzavírají, mohly pomyslet, jinak je neplatná;</w:t>
      </w:r>
    </w:p>
    <w:p>
      <w:pPr>
        <w:spacing w:after="0" w:line="71" w:lineRule="exact"/>
        <w:rPr>
          <w:sz w:val="20"/>
          <w:szCs w:val="20"/>
          <w:color w:val="auto"/>
        </w:rPr>
      </w:pPr>
    </w:p>
    <w:p>
      <w:pPr>
        <w:ind w:left="280" w:firstLine="1"/>
        <w:spacing w:after="0" w:line="277" w:lineRule="auto"/>
        <w:rPr>
          <w:sz w:val="20"/>
          <w:szCs w:val="20"/>
          <w:color w:val="auto"/>
        </w:rPr>
      </w:pPr>
      <w:r>
        <w:rPr>
          <w:rFonts w:ascii="Arial" w:cs="Arial" w:eastAsia="Arial" w:hAnsi="Arial"/>
          <w:sz w:val="22"/>
          <w:szCs w:val="22"/>
          <w:b w:val="1"/>
          <w:bCs w:val="1"/>
          <w:color w:val="auto"/>
        </w:rPr>
        <w:t>odstoupením od smlouvy lze pouze z důvodů stanovených ve smlouvě nebo zákonem (§ 2001 a násl. občanského zákoníku);</w:t>
      </w:r>
    </w:p>
    <w:p>
      <w:pPr>
        <w:spacing w:after="0" w:line="76" w:lineRule="exact"/>
        <w:rPr>
          <w:sz w:val="20"/>
          <w:szCs w:val="20"/>
          <w:color w:val="auto"/>
        </w:rPr>
      </w:pPr>
    </w:p>
    <w:p>
      <w:pPr>
        <w:ind w:left="280" w:firstLine="1"/>
        <w:spacing w:after="0" w:line="282" w:lineRule="auto"/>
        <w:rPr>
          <w:sz w:val="20"/>
          <w:szCs w:val="20"/>
          <w:color w:val="auto"/>
        </w:rPr>
      </w:pPr>
      <w:r>
        <w:rPr>
          <w:rFonts w:ascii="Arial" w:cs="Arial" w:eastAsia="Arial" w:hAnsi="Arial"/>
          <w:sz w:val="22"/>
          <w:szCs w:val="22"/>
          <w:b w:val="1"/>
          <w:bCs w:val="1"/>
          <w:color w:val="auto"/>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pPr>
        <w:spacing w:after="0" w:line="200" w:lineRule="exact"/>
        <w:rPr>
          <w:sz w:val="20"/>
          <w:szCs w:val="20"/>
          <w:color w:val="auto"/>
        </w:rPr>
      </w:pPr>
    </w:p>
    <w:p>
      <w:pPr>
        <w:spacing w:after="0" w:line="372" w:lineRule="exact"/>
        <w:rPr>
          <w:sz w:val="20"/>
          <w:szCs w:val="20"/>
          <w:color w:val="auto"/>
        </w:rPr>
      </w:pPr>
    </w:p>
    <w:p>
      <w:pPr>
        <w:jc w:val="center"/>
        <w:spacing w:after="0"/>
        <w:rPr>
          <w:sz w:val="20"/>
          <w:szCs w:val="20"/>
          <w:color w:val="auto"/>
        </w:rPr>
      </w:pPr>
      <w:r>
        <w:rPr>
          <w:rFonts w:ascii="Arial" w:cs="Arial" w:eastAsia="Arial" w:hAnsi="Arial"/>
          <w:sz w:val="28"/>
          <w:szCs w:val="28"/>
          <w:b w:val="1"/>
          <w:bCs w:val="1"/>
          <w:color w:val="auto"/>
        </w:rPr>
        <w:t>6. Záruka, servisní podmínky a reklamace</w:t>
      </w:r>
    </w:p>
    <w:p>
      <w:pPr>
        <w:spacing w:after="0" w:line="33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6.1 Délka záruční doby</w:t>
      </w:r>
    </w:p>
    <w:p>
      <w:pPr>
        <w:spacing w:after="0" w:line="54" w:lineRule="exact"/>
        <w:rPr>
          <w:sz w:val="20"/>
          <w:szCs w:val="20"/>
          <w:color w:val="auto"/>
        </w:rPr>
      </w:pPr>
    </w:p>
    <w:p>
      <w:pPr>
        <w:jc w:val="both"/>
        <w:spacing w:after="0" w:line="282" w:lineRule="auto"/>
        <w:rPr>
          <w:sz w:val="20"/>
          <w:szCs w:val="20"/>
          <w:color w:val="auto"/>
        </w:rPr>
      </w:pPr>
      <w:r>
        <w:rPr>
          <w:rFonts w:ascii="Arial" w:cs="Arial" w:eastAsia="Arial" w:hAnsi="Arial"/>
          <w:sz w:val="22"/>
          <w:szCs w:val="22"/>
          <w:b w:val="1"/>
          <w:bCs w:val="1"/>
          <w:color w:val="auto"/>
        </w:rPr>
        <w:t>Prodávající prohlašuje, že dodávaný předmět koupě je bez vad, a to bez vad faktických i právních a poskytuje na předmět koupě záruční lhůtu v délce 24 měsíců ode dne uvedení zařízení do provozu, tj. ode dne podepsání předávacího protokolu. Tato záruka se vztahuje na plnou funkčnost předmětu koupě.</w:t>
      </w:r>
    </w:p>
    <w:p>
      <w:pPr>
        <w:spacing w:after="0" w:line="304"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6.2 Záruční servis</w:t>
      </w:r>
    </w:p>
    <w:p>
      <w:pPr>
        <w:spacing w:after="0" w:line="54" w:lineRule="exact"/>
        <w:rPr>
          <w:sz w:val="20"/>
          <w:szCs w:val="20"/>
          <w:color w:val="auto"/>
        </w:rPr>
      </w:pPr>
    </w:p>
    <w:p>
      <w:pPr>
        <w:jc w:val="both"/>
        <w:spacing w:after="0" w:line="283" w:lineRule="auto"/>
        <w:rPr>
          <w:sz w:val="20"/>
          <w:szCs w:val="20"/>
          <w:color w:val="auto"/>
        </w:rPr>
      </w:pPr>
      <w:r>
        <w:rPr>
          <w:rFonts w:ascii="Arial" w:cs="Arial" w:eastAsia="Arial" w:hAnsi="Arial"/>
          <w:sz w:val="22"/>
          <w:szCs w:val="22"/>
          <w:b w:val="1"/>
          <w:bCs w:val="1"/>
          <w:color w:val="auto"/>
        </w:rPr>
        <w:t>Předmětem této Smlouvy je i provádění bezplatného záručního servisu po celou dobu sjednané záruční doby. Pod pojmem záruční servis se rozumí veškeré úkony, kontroly, kalibrace, provozní údržba apod., které jsou předepsány výrobcem dodávaných zařízení pro zabezpečení řádné funkce dodaného zařízení. Prodávající garantuje zajištění servisu, dodávek náhradních dílů a event. spotřebního materiálu minimálně po dobu 10 let od data splnění předmětu zakázky.</w:t>
      </w:r>
    </w:p>
    <w:p>
      <w:pPr>
        <w:spacing w:after="0" w:line="303"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Po dobu záruky budou bezplatně prováděny:</w:t>
      </w:r>
    </w:p>
    <w:p>
      <w:pPr>
        <w:spacing w:after="0" w:line="32" w:lineRule="exact"/>
        <w:rPr>
          <w:sz w:val="20"/>
          <w:szCs w:val="20"/>
          <w:color w:val="auto"/>
        </w:rPr>
      </w:pPr>
    </w:p>
    <w:p>
      <w:pPr>
        <w:jc w:val="right"/>
        <w:ind w:left="720" w:firstLine="1"/>
        <w:spacing w:after="0" w:line="320" w:lineRule="auto"/>
        <w:rPr>
          <w:sz w:val="20"/>
          <w:szCs w:val="20"/>
          <w:color w:val="auto"/>
        </w:rPr>
      </w:pPr>
      <w:r>
        <w:rPr>
          <w:rFonts w:ascii="Arial" w:cs="Arial" w:eastAsia="Arial" w:hAnsi="Arial"/>
          <w:sz w:val="20"/>
          <w:szCs w:val="20"/>
          <w:b w:val="1"/>
          <w:bCs w:val="1"/>
          <w:color w:val="auto"/>
        </w:rPr>
        <w:t>preventivní kontroly všech součástí přístroje a jeho příslušenství, pravidelné předepsané periodické bezpečnostně-technické kontroly dle zákona 268/2014 Sb. v platném znění, 1 x ročně (spotřební materiál, který je třeba pro provedení těchto kontrol, je součástí</w:t>
      </w:r>
    </w:p>
    <w:p>
      <w:pPr>
        <w:ind w:left="720"/>
        <w:spacing w:after="0"/>
        <w:rPr>
          <w:sz w:val="20"/>
          <w:szCs w:val="20"/>
          <w:color w:val="auto"/>
        </w:rPr>
      </w:pPr>
      <w:r>
        <w:rPr>
          <w:rFonts w:ascii="Arial" w:cs="Arial" w:eastAsia="Arial" w:hAnsi="Arial"/>
          <w:sz w:val="22"/>
          <w:szCs w:val="22"/>
          <w:b w:val="1"/>
          <w:bCs w:val="1"/>
          <w:color w:val="auto"/>
        </w:rPr>
        <w:t>kontroly a nemůže být samostatně účtován)</w:t>
      </w:r>
    </w:p>
    <w:p>
      <w:pPr>
        <w:spacing w:after="0" w:line="32" w:lineRule="exact"/>
        <w:rPr>
          <w:sz w:val="20"/>
          <w:szCs w:val="20"/>
          <w:color w:val="auto"/>
        </w:rPr>
      </w:pPr>
    </w:p>
    <w:p>
      <w:pPr>
        <w:jc w:val="right"/>
        <w:ind w:left="720" w:firstLine="1"/>
        <w:spacing w:after="0" w:line="320" w:lineRule="auto"/>
        <w:rPr>
          <w:sz w:val="20"/>
          <w:szCs w:val="20"/>
          <w:color w:val="auto"/>
        </w:rPr>
      </w:pPr>
      <w:r>
        <w:rPr>
          <w:rFonts w:ascii="Arial" w:cs="Arial" w:eastAsia="Arial" w:hAnsi="Arial"/>
          <w:sz w:val="20"/>
          <w:szCs w:val="20"/>
          <w:b w:val="1"/>
          <w:bCs w:val="1"/>
          <w:color w:val="auto"/>
        </w:rPr>
        <w:t>preventivní kontroly všech součástí přístroje a jeho příslušenství, včetně kontroly funkce, kalibrace a nastavení přístroje, dle pokynů výrobce a v souladu se zákonem č. 268/2014 Sb., v platném znění, (spotřební materiál, který je třeba pro provedení těchto kontrol, je</w:t>
      </w:r>
    </w:p>
    <w:p>
      <w:pPr>
        <w:ind w:left="720"/>
        <w:spacing w:after="0"/>
        <w:rPr>
          <w:sz w:val="20"/>
          <w:szCs w:val="20"/>
          <w:color w:val="auto"/>
        </w:rPr>
      </w:pPr>
      <w:r>
        <w:rPr>
          <w:rFonts w:ascii="Arial" w:cs="Arial" w:eastAsia="Arial" w:hAnsi="Arial"/>
          <w:sz w:val="22"/>
          <w:szCs w:val="22"/>
          <w:b w:val="1"/>
          <w:bCs w:val="1"/>
          <w:color w:val="auto"/>
        </w:rPr>
        <w:t>součástí kontroly a nemůže být samostatně účtován)</w:t>
      </w:r>
    </w:p>
    <w:p>
      <w:pPr>
        <w:spacing w:after="0" w:line="24" w:lineRule="exact"/>
        <w:rPr>
          <w:sz w:val="20"/>
          <w:szCs w:val="20"/>
          <w:color w:val="auto"/>
        </w:rPr>
      </w:pPr>
    </w:p>
    <w:p>
      <w:pPr>
        <w:ind w:left="360"/>
        <w:spacing w:after="0"/>
        <w:rPr>
          <w:sz w:val="20"/>
          <w:szCs w:val="20"/>
          <w:color w:val="auto"/>
        </w:rPr>
      </w:pPr>
      <w:r>
        <w:rPr>
          <w:rFonts w:ascii="Arial" w:cs="Arial" w:eastAsia="Arial" w:hAnsi="Arial"/>
          <w:sz w:val="22"/>
          <w:szCs w:val="22"/>
          <w:b w:val="1"/>
          <w:bCs w:val="1"/>
          <w:color w:val="auto"/>
        </w:rPr>
        <w:t>opravy poruch a závad přístroje, tj. uvedení přístroje do stavu plné využitelnosti jeho</w:t>
      </w:r>
    </w:p>
    <w:p>
      <w:pPr>
        <w:spacing w:after="0" w:line="69" w:lineRule="exact"/>
        <w:rPr>
          <w:sz w:val="20"/>
          <w:szCs w:val="20"/>
          <w:color w:val="auto"/>
        </w:rPr>
      </w:pPr>
    </w:p>
    <w:p>
      <w:pPr>
        <w:ind w:left="720"/>
        <w:spacing w:after="0"/>
        <w:rPr>
          <w:sz w:val="20"/>
          <w:szCs w:val="20"/>
          <w:color w:val="auto"/>
        </w:rPr>
      </w:pPr>
      <w:r>
        <w:rPr>
          <w:rFonts w:ascii="Arial" w:cs="Arial" w:eastAsia="Arial" w:hAnsi="Arial"/>
          <w:sz w:val="22"/>
          <w:szCs w:val="22"/>
          <w:b w:val="1"/>
          <w:bCs w:val="1"/>
          <w:color w:val="auto"/>
        </w:rPr>
        <w:t>technických parametrů</w:t>
      </w:r>
    </w:p>
    <w:p>
      <w:pPr>
        <w:spacing w:after="0" w:line="24" w:lineRule="exact"/>
        <w:rPr>
          <w:sz w:val="20"/>
          <w:szCs w:val="20"/>
          <w:color w:val="auto"/>
        </w:rPr>
      </w:pPr>
    </w:p>
    <w:p>
      <w:pPr>
        <w:ind w:left="360"/>
        <w:spacing w:after="0"/>
        <w:rPr>
          <w:sz w:val="20"/>
          <w:szCs w:val="20"/>
          <w:color w:val="auto"/>
        </w:rPr>
      </w:pPr>
      <w:r>
        <w:rPr>
          <w:rFonts w:ascii="Arial" w:cs="Arial" w:eastAsia="Arial" w:hAnsi="Arial"/>
          <w:sz w:val="22"/>
          <w:szCs w:val="22"/>
          <w:b w:val="1"/>
          <w:bCs w:val="1"/>
          <w:color w:val="auto"/>
        </w:rPr>
        <w:t>dodávky všech náhradních dílů v případě poruchy přístroje</w:t>
      </w:r>
    </w:p>
    <w:p>
      <w:pPr>
        <w:spacing w:after="0" w:line="47" w:lineRule="exact"/>
        <w:rPr>
          <w:sz w:val="20"/>
          <w:szCs w:val="20"/>
          <w:color w:val="auto"/>
        </w:rPr>
      </w:pPr>
    </w:p>
    <w:p>
      <w:pPr>
        <w:ind w:left="360"/>
        <w:spacing w:after="0"/>
        <w:rPr>
          <w:sz w:val="20"/>
          <w:szCs w:val="20"/>
          <w:color w:val="auto"/>
        </w:rPr>
      </w:pPr>
      <w:r>
        <w:rPr>
          <w:rFonts w:ascii="Arial" w:cs="Arial" w:eastAsia="Arial" w:hAnsi="Arial"/>
          <w:sz w:val="22"/>
          <w:szCs w:val="22"/>
          <w:b w:val="1"/>
          <w:bCs w:val="1"/>
          <w:color w:val="auto"/>
        </w:rPr>
        <w:t>provádění standardních vylepšení přístroje, provádění bezpečnostních aktualizací a</w:t>
      </w:r>
    </w:p>
    <w:p>
      <w:pPr>
        <w:spacing w:after="0" w:line="69" w:lineRule="exact"/>
        <w:rPr>
          <w:sz w:val="20"/>
          <w:szCs w:val="20"/>
          <w:color w:val="auto"/>
        </w:rPr>
      </w:pPr>
    </w:p>
    <w:p>
      <w:pPr>
        <w:ind w:left="720"/>
        <w:spacing w:after="0"/>
        <w:rPr>
          <w:sz w:val="20"/>
          <w:szCs w:val="20"/>
          <w:color w:val="auto"/>
        </w:rPr>
      </w:pPr>
      <w:r>
        <w:rPr>
          <w:rFonts w:ascii="Arial" w:cs="Arial" w:eastAsia="Arial" w:hAnsi="Arial"/>
          <w:sz w:val="22"/>
          <w:szCs w:val="22"/>
          <w:b w:val="1"/>
          <w:bCs w:val="1"/>
          <w:color w:val="auto"/>
        </w:rPr>
        <w:t>upgrade softwarového vybavení přístroje</w:t>
      </w:r>
    </w:p>
    <w:p>
      <w:pPr>
        <w:spacing w:after="0" w:line="32" w:lineRule="exact"/>
        <w:rPr>
          <w:sz w:val="20"/>
          <w:szCs w:val="20"/>
          <w:color w:val="auto"/>
        </w:rPr>
      </w:pPr>
    </w:p>
    <w:p>
      <w:pPr>
        <w:ind w:left="720" w:firstLine="1"/>
        <w:spacing w:after="0" w:line="318" w:lineRule="auto"/>
        <w:rPr>
          <w:sz w:val="20"/>
          <w:szCs w:val="20"/>
          <w:color w:val="auto"/>
        </w:rPr>
      </w:pPr>
      <w:r>
        <w:rPr>
          <w:rFonts w:ascii="Arial" w:cs="Arial" w:eastAsia="Arial" w:hAnsi="Arial"/>
          <w:sz w:val="20"/>
          <w:szCs w:val="20"/>
          <w:b w:val="1"/>
          <w:bCs w:val="1"/>
          <w:color w:val="auto"/>
        </w:rPr>
        <w:t>v rámci záruky termíny každoročních preventivních prohlídek určí a sleduje prodávající dle pokynů výrobce. Protokoly o prohlídkách předá pracovníkovi oddělení preventivně servisních činností kupujícího. Po uplynutí záruky termíny každoročních prohlídek bude sledovat za kupujícího pracovník oddělení preventivně servisních činností.</w:t>
      </w:r>
    </w:p>
    <w:p>
      <w:pPr>
        <w:spacing w:after="0" w:line="200" w:lineRule="exact"/>
        <w:rPr>
          <w:sz w:val="20"/>
          <w:szCs w:val="20"/>
          <w:color w:val="auto"/>
        </w:rPr>
      </w:pPr>
    </w:p>
    <w:p>
      <w:pPr>
        <w:spacing w:after="0" w:line="348" w:lineRule="exact"/>
        <w:rPr>
          <w:sz w:val="20"/>
          <w:szCs w:val="20"/>
          <w:color w:val="auto"/>
        </w:rPr>
      </w:pPr>
    </w:p>
    <w:p>
      <w:pPr>
        <w:ind w:left="100"/>
        <w:spacing w:after="0"/>
        <w:tabs>
          <w:tab w:leader="none" w:pos="8580" w:val="left"/>
        </w:tabs>
        <w:rPr>
          <w:sz w:val="20"/>
          <w:szCs w:val="20"/>
          <w:color w:val="auto"/>
        </w:rPr>
      </w:pPr>
      <w:r>
        <w:rPr>
          <w:rFonts w:ascii="Arial" w:cs="Arial" w:eastAsia="Arial" w:hAnsi="Arial"/>
          <w:sz w:val="22"/>
          <w:szCs w:val="22"/>
          <w:b w:val="1"/>
          <w:bCs w:val="1"/>
          <w:color w:val="auto"/>
        </w:rPr>
        <w:t>KS 19-7-6</w:t>
      </w:r>
      <w:r>
        <w:rPr>
          <w:sz w:val="20"/>
          <w:szCs w:val="20"/>
          <w:color w:val="auto"/>
        </w:rPr>
        <w:tab/>
      </w:r>
      <w:r>
        <w:rPr>
          <w:rFonts w:ascii="Arial" w:cs="Arial" w:eastAsia="Arial" w:hAnsi="Arial"/>
          <w:sz w:val="19"/>
          <w:szCs w:val="19"/>
          <w:b w:val="1"/>
          <w:bCs w:val="1"/>
          <w:color w:val="auto"/>
        </w:rPr>
        <w:t>strana 5</w:t>
      </w:r>
    </w:p>
    <w:p>
      <w:pPr>
        <w:sectPr>
          <w:pgSz w:w="11900" w:h="16838" w:orient="portrait"/>
          <w:cols w:equalWidth="0" w:num="1">
            <w:col w:w="9360"/>
          </w:cols>
          <w:pgMar w:left="1420" w:top="1150" w:right="1126" w:bottom="383" w:gutter="0" w:footer="0" w:header="0"/>
        </w:sectPr>
      </w:pPr>
    </w:p>
    <w:p>
      <w:pPr>
        <w:jc w:val="both"/>
        <w:spacing w:after="0" w:line="277" w:lineRule="auto"/>
        <w:rPr>
          <w:sz w:val="20"/>
          <w:szCs w:val="20"/>
          <w:color w:val="auto"/>
        </w:rPr>
      </w:pPr>
      <w:r>
        <w:rPr>
          <w:rFonts w:ascii="Arial" w:cs="Arial" w:eastAsia="Arial" w:hAnsi="Arial"/>
          <w:sz w:val="22"/>
          <w:szCs w:val="22"/>
          <w:b w:val="1"/>
          <w:bCs w:val="1"/>
          <w:color w:val="auto"/>
        </w:rPr>
        <w:t>Prodávající se zavazuje provádět veškeré servisní zásahy vlastními autorizovanými (certifikovanými) servisními pracovníky.</w:t>
      </w:r>
    </w:p>
    <w:p>
      <w:pPr>
        <w:spacing w:after="0" w:line="30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6.3 Způsob uplatňování reklamací</w:t>
      </w:r>
    </w:p>
    <w:p>
      <w:pPr>
        <w:spacing w:after="0" w:line="54" w:lineRule="exact"/>
        <w:rPr>
          <w:sz w:val="20"/>
          <w:szCs w:val="20"/>
          <w:color w:val="auto"/>
        </w:rPr>
      </w:pPr>
    </w:p>
    <w:p>
      <w:pPr>
        <w:jc w:val="both"/>
        <w:spacing w:after="0" w:line="282" w:lineRule="auto"/>
        <w:rPr>
          <w:sz w:val="20"/>
          <w:szCs w:val="20"/>
          <w:color w:val="auto"/>
        </w:rPr>
      </w:pPr>
      <w:r>
        <w:rPr>
          <w:rFonts w:ascii="Arial" w:cs="Arial" w:eastAsia="Arial" w:hAnsi="Arial"/>
          <w:sz w:val="22"/>
          <w:szCs w:val="22"/>
          <w:b w:val="1"/>
          <w:bCs w:val="1"/>
          <w:color w:val="auto"/>
        </w:rPr>
        <w:t xml:space="preserve">Pro případ reklamace vad v záruční lhůtě dodaného zařízení (nebo jakékoliv jeho části, součásti či příslušenství, a to včetně dodaného software) nebo vady funkčnosti systému, ohlašuje kupující neprodleně prostřednictvím telefonního čísla: +420 225 002 550, faxem na +420 225 001 555 nebo emailovou zprávou na </w:t>
      </w:r>
      <w:r>
        <w:rPr>
          <w:rFonts w:ascii="Arial" w:cs="Arial" w:eastAsia="Arial" w:hAnsi="Arial"/>
          <w:sz w:val="22"/>
          <w:szCs w:val="22"/>
          <w:b w:val="1"/>
          <w:bCs w:val="1"/>
          <w:u w:val="single" w:color="auto"/>
          <w:color w:val="auto"/>
        </w:rPr>
        <w:t>servis@medisap.cz</w:t>
      </w:r>
      <w:r>
        <w:rPr>
          <w:rFonts w:ascii="Arial" w:cs="Arial" w:eastAsia="Arial" w:hAnsi="Arial"/>
          <w:sz w:val="22"/>
          <w:szCs w:val="22"/>
          <w:b w:val="1"/>
          <w:bCs w:val="1"/>
          <w:color w:val="auto"/>
        </w:rPr>
        <w:t>.</w:t>
      </w:r>
    </w:p>
    <w:p>
      <w:pPr>
        <w:spacing w:after="0" w:line="304"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6.4 Lhůta pro odstranění závad</w:t>
      </w:r>
    </w:p>
    <w:p>
      <w:pPr>
        <w:spacing w:after="0" w:line="54" w:lineRule="exact"/>
        <w:rPr>
          <w:sz w:val="20"/>
          <w:szCs w:val="20"/>
          <w:color w:val="auto"/>
        </w:rPr>
      </w:pPr>
    </w:p>
    <w:p>
      <w:pPr>
        <w:jc w:val="both"/>
        <w:spacing w:after="0" w:line="282" w:lineRule="auto"/>
        <w:rPr>
          <w:sz w:val="20"/>
          <w:szCs w:val="20"/>
          <w:color w:val="auto"/>
        </w:rPr>
      </w:pPr>
      <w:r>
        <w:rPr>
          <w:rFonts w:ascii="Arial" w:cs="Arial" w:eastAsia="Arial" w:hAnsi="Arial"/>
          <w:sz w:val="22"/>
          <w:szCs w:val="22"/>
          <w:b w:val="1"/>
          <w:bCs w:val="1"/>
          <w:color w:val="auto"/>
        </w:rPr>
        <w:t>Lhůta pro odstranění závad počíná plynout ode dne doručení písemného oznámení (faxem, emailem, poštou) závad prodávajícímu. Kontaktní osobou kupujícího oprávněnou pro přímou komunikaci se servisním technikem prodávajícího je: xxxxxxxxxxxxxxxxxxxxxxxxx xxxxxxxxxxxxxxxxxxxxxxxxxxxxxxxxxxxxxxxxxxxxxxxxx</w:t>
      </w:r>
    </w:p>
    <w:p>
      <w:pPr>
        <w:spacing w:after="0" w:line="311" w:lineRule="exact"/>
        <w:rPr>
          <w:sz w:val="20"/>
          <w:szCs w:val="20"/>
          <w:color w:val="auto"/>
        </w:rPr>
      </w:pPr>
    </w:p>
    <w:p>
      <w:pPr>
        <w:jc w:val="both"/>
        <w:spacing w:after="0" w:line="283" w:lineRule="auto"/>
        <w:rPr>
          <w:sz w:val="20"/>
          <w:szCs w:val="20"/>
          <w:color w:val="auto"/>
        </w:rPr>
      </w:pPr>
      <w:r>
        <w:rPr>
          <w:rFonts w:ascii="Arial" w:cs="Arial" w:eastAsia="Arial" w:hAnsi="Arial"/>
          <w:sz w:val="22"/>
          <w:szCs w:val="22"/>
          <w:b w:val="1"/>
          <w:bCs w:val="1"/>
          <w:color w:val="auto"/>
        </w:rPr>
        <w:t>Po dobu záruky se prodávající zavazuje nastoupit na provedení opravy do 48 hodin od nahlášení závady. Ukončit opravu se prodávající zavazuje do 2 pracovních dnů od nástupu na opravu. V případě, že oprava vyžaduje použití náhradního dílu, zavazuje se prodávající odstranit závadu do 5 pracovních dnů od nástupu na opravu. V případě nutnosti odvést přístroj k dílenské opravě je sjednána možnost zapůjčení náhradního přístroje po nezbytně nutnou dobu, přičemž k takovému jednání s prodávajícím jsou za kupujícího oprávněny osoby uvedené v předchozím odstavci tohoto článku.</w:t>
      </w:r>
    </w:p>
    <w:p>
      <w:pPr>
        <w:spacing w:after="0" w:line="30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6.5 Zánik záruky</w:t>
      </w:r>
    </w:p>
    <w:p>
      <w:pPr>
        <w:spacing w:after="0" w:line="54" w:lineRule="exact"/>
        <w:rPr>
          <w:sz w:val="20"/>
          <w:szCs w:val="20"/>
          <w:color w:val="auto"/>
        </w:rPr>
      </w:pPr>
    </w:p>
    <w:p>
      <w:pPr>
        <w:jc w:val="both"/>
        <w:spacing w:after="0" w:line="281" w:lineRule="auto"/>
        <w:rPr>
          <w:sz w:val="20"/>
          <w:szCs w:val="20"/>
          <w:color w:val="auto"/>
        </w:rPr>
      </w:pPr>
      <w:r>
        <w:rPr>
          <w:rFonts w:ascii="Arial" w:cs="Arial" w:eastAsia="Arial" w:hAnsi="Arial"/>
          <w:sz w:val="22"/>
          <w:szCs w:val="22"/>
          <w:b w:val="1"/>
          <w:bCs w:val="1"/>
          <w:color w:val="auto"/>
        </w:rPr>
        <w:t>Záruka zaniká v důsledku neodborné demontáže, montáže a úprav zařízení prováděnou pracovníky, kteří k tomu nejsou pověření prodávajícím. V ostatním platí pro uplatňování a způsob odstraňování vad příslušná ustanovení občanského zákoníku.</w:t>
      </w:r>
    </w:p>
    <w:p>
      <w:pPr>
        <w:spacing w:after="0" w:line="200" w:lineRule="exact"/>
        <w:rPr>
          <w:sz w:val="20"/>
          <w:szCs w:val="20"/>
          <w:color w:val="auto"/>
        </w:rPr>
      </w:pPr>
    </w:p>
    <w:p>
      <w:pPr>
        <w:spacing w:after="0" w:line="347" w:lineRule="exact"/>
        <w:rPr>
          <w:sz w:val="20"/>
          <w:szCs w:val="20"/>
          <w:color w:val="auto"/>
        </w:rPr>
      </w:pPr>
    </w:p>
    <w:p>
      <w:pPr>
        <w:jc w:val="center"/>
        <w:ind w:right="20"/>
        <w:spacing w:after="0"/>
        <w:rPr>
          <w:sz w:val="20"/>
          <w:szCs w:val="20"/>
          <w:color w:val="auto"/>
        </w:rPr>
      </w:pPr>
      <w:r>
        <w:rPr>
          <w:rFonts w:ascii="Arial" w:cs="Arial" w:eastAsia="Arial" w:hAnsi="Arial"/>
          <w:sz w:val="28"/>
          <w:szCs w:val="28"/>
          <w:b w:val="1"/>
          <w:bCs w:val="1"/>
          <w:color w:val="auto"/>
        </w:rPr>
        <w:t>7. Závěrečná ustanovení</w:t>
      </w:r>
    </w:p>
    <w:p>
      <w:pPr>
        <w:spacing w:after="0" w:line="342" w:lineRule="exact"/>
        <w:rPr>
          <w:sz w:val="20"/>
          <w:szCs w:val="20"/>
          <w:color w:val="auto"/>
        </w:rPr>
      </w:pPr>
    </w:p>
    <w:p>
      <w:pPr>
        <w:jc w:val="both"/>
        <w:spacing w:after="0" w:line="277" w:lineRule="auto"/>
        <w:rPr>
          <w:sz w:val="20"/>
          <w:szCs w:val="20"/>
          <w:color w:val="auto"/>
        </w:rPr>
      </w:pPr>
      <w:r>
        <w:rPr>
          <w:rFonts w:ascii="Arial" w:cs="Arial" w:eastAsia="Arial" w:hAnsi="Arial"/>
          <w:sz w:val="22"/>
          <w:szCs w:val="22"/>
          <w:b w:val="1"/>
          <w:bCs w:val="1"/>
          <w:color w:val="auto"/>
        </w:rPr>
        <w:t>7.1 Jakákoliv ústní ujednání, která nejsou písemně potvrzena oprávněnými zástupci obou smluvních stran, jsou právně neúčinná.</w:t>
      </w:r>
    </w:p>
    <w:p>
      <w:pPr>
        <w:spacing w:after="0" w:line="316" w:lineRule="exact"/>
        <w:rPr>
          <w:sz w:val="20"/>
          <w:szCs w:val="20"/>
          <w:color w:val="auto"/>
        </w:rPr>
      </w:pPr>
    </w:p>
    <w:p>
      <w:pPr>
        <w:jc w:val="both"/>
        <w:spacing w:after="0" w:line="277" w:lineRule="auto"/>
        <w:rPr>
          <w:sz w:val="20"/>
          <w:szCs w:val="20"/>
          <w:color w:val="auto"/>
        </w:rPr>
      </w:pPr>
      <w:r>
        <w:rPr>
          <w:rFonts w:ascii="Arial" w:cs="Arial" w:eastAsia="Arial" w:hAnsi="Arial"/>
          <w:sz w:val="22"/>
          <w:szCs w:val="22"/>
          <w:b w:val="1"/>
          <w:bCs w:val="1"/>
          <w:color w:val="auto"/>
        </w:rPr>
        <w:t>7.2 Smlouvu lze měnit pouze písemnými dodatky, podepsanými oprávněnými zástupci obou smluvních stran.</w:t>
      </w:r>
    </w:p>
    <w:p>
      <w:pPr>
        <w:spacing w:after="0" w:line="316" w:lineRule="exact"/>
        <w:rPr>
          <w:sz w:val="20"/>
          <w:szCs w:val="20"/>
          <w:color w:val="auto"/>
        </w:rPr>
      </w:pPr>
    </w:p>
    <w:p>
      <w:pPr>
        <w:jc w:val="both"/>
        <w:spacing w:after="0" w:line="281" w:lineRule="auto"/>
        <w:rPr>
          <w:sz w:val="20"/>
          <w:szCs w:val="20"/>
          <w:color w:val="auto"/>
        </w:rPr>
      </w:pPr>
      <w:r>
        <w:rPr>
          <w:rFonts w:ascii="Arial" w:cs="Arial" w:eastAsia="Arial" w:hAnsi="Arial"/>
          <w:sz w:val="22"/>
          <w:szCs w:val="22"/>
          <w:b w:val="1"/>
          <w:bCs w:val="1"/>
          <w:color w:val="auto"/>
        </w:rPr>
        <w:t>7.3 Smluvní strany výslovně potvrzují, že základní podmínky této smlouvy jsou výsledkem jednání stran a každá ze stran měla příležitost ovlivnit obsah základních podmínek této smlouvy.</w:t>
      </w:r>
    </w:p>
    <w:p>
      <w:pPr>
        <w:spacing w:after="0" w:line="311" w:lineRule="exact"/>
        <w:rPr>
          <w:sz w:val="20"/>
          <w:szCs w:val="20"/>
          <w:color w:val="auto"/>
        </w:rPr>
      </w:pPr>
    </w:p>
    <w:p>
      <w:pPr>
        <w:jc w:val="both"/>
        <w:spacing w:after="0" w:line="281" w:lineRule="auto"/>
        <w:rPr>
          <w:sz w:val="20"/>
          <w:szCs w:val="20"/>
          <w:color w:val="auto"/>
        </w:rPr>
      </w:pPr>
      <w:r>
        <w:rPr>
          <w:rFonts w:ascii="Arial" w:cs="Arial" w:eastAsia="Arial" w:hAnsi="Arial"/>
          <w:sz w:val="22"/>
          <w:szCs w:val="22"/>
          <w:b w:val="1"/>
          <w:bCs w:val="1"/>
          <w:color w:val="auto"/>
        </w:rPr>
        <w:t>7.4 V případě soudního sporu se místní příslušnost věcně příslušného soudu I. stupně řídí obecným soudem kupujícího. Smlouva vstupuje v platnost a účinnost dnem podpisu obou smluvních stran.</w:t>
      </w:r>
    </w:p>
    <w:p>
      <w:pPr>
        <w:spacing w:after="0" w:line="311" w:lineRule="exact"/>
        <w:rPr>
          <w:sz w:val="20"/>
          <w:szCs w:val="20"/>
          <w:color w:val="auto"/>
        </w:rPr>
      </w:pPr>
    </w:p>
    <w:p>
      <w:pPr>
        <w:jc w:val="both"/>
        <w:spacing w:after="0" w:line="277" w:lineRule="auto"/>
        <w:rPr>
          <w:sz w:val="20"/>
          <w:szCs w:val="20"/>
          <w:color w:val="auto"/>
        </w:rPr>
      </w:pPr>
      <w:r>
        <w:rPr>
          <w:rFonts w:ascii="Arial" w:cs="Arial" w:eastAsia="Arial" w:hAnsi="Arial"/>
          <w:sz w:val="22"/>
          <w:szCs w:val="22"/>
          <w:b w:val="1"/>
          <w:bCs w:val="1"/>
          <w:color w:val="auto"/>
        </w:rPr>
        <w:t>7.5 Smlouva je vyhotovena ve dvou stejnopisech s platností originálu, přičemž každá ze smluvních stran obdrží jedno vyhotovení.</w:t>
      </w:r>
    </w:p>
    <w:p>
      <w:pPr>
        <w:spacing w:after="0" w:line="381" w:lineRule="exact"/>
        <w:rPr>
          <w:sz w:val="20"/>
          <w:szCs w:val="20"/>
          <w:color w:val="auto"/>
        </w:rPr>
      </w:pPr>
    </w:p>
    <w:p>
      <w:pPr>
        <w:ind w:left="100"/>
        <w:spacing w:after="0"/>
        <w:tabs>
          <w:tab w:leader="none" w:pos="8580" w:val="left"/>
        </w:tabs>
        <w:rPr>
          <w:sz w:val="20"/>
          <w:szCs w:val="20"/>
          <w:color w:val="auto"/>
        </w:rPr>
      </w:pPr>
      <w:r>
        <w:rPr>
          <w:rFonts w:ascii="Arial" w:cs="Arial" w:eastAsia="Arial" w:hAnsi="Arial"/>
          <w:sz w:val="22"/>
          <w:szCs w:val="22"/>
          <w:b w:val="1"/>
          <w:bCs w:val="1"/>
          <w:color w:val="auto"/>
        </w:rPr>
        <w:t>KS 19-7-6</w:t>
      </w:r>
      <w:r>
        <w:rPr>
          <w:sz w:val="20"/>
          <w:szCs w:val="20"/>
          <w:color w:val="auto"/>
        </w:rPr>
        <w:tab/>
      </w:r>
      <w:r>
        <w:rPr>
          <w:rFonts w:ascii="Arial" w:cs="Arial" w:eastAsia="Arial" w:hAnsi="Arial"/>
          <w:sz w:val="19"/>
          <w:szCs w:val="19"/>
          <w:b w:val="1"/>
          <w:bCs w:val="1"/>
          <w:color w:val="auto"/>
        </w:rPr>
        <w:t>strana 6</w:t>
      </w:r>
    </w:p>
    <w:p>
      <w:pPr>
        <w:sectPr>
          <w:pgSz w:w="11900" w:h="16838" w:orient="portrait"/>
          <w:cols w:equalWidth="0" w:num="1">
            <w:col w:w="9360"/>
          </w:cols>
          <w:pgMar w:left="1420" w:top="1172" w:right="1126" w:bottom="383" w:gutter="0" w:footer="0" w:header="0"/>
        </w:sectPr>
      </w:pPr>
    </w:p>
    <w:p>
      <w:pPr>
        <w:jc w:val="both"/>
        <w:spacing w:after="0" w:line="282" w:lineRule="auto"/>
        <w:rPr>
          <w:sz w:val="20"/>
          <w:szCs w:val="20"/>
          <w:color w:val="auto"/>
        </w:rPr>
      </w:pPr>
      <w:r>
        <w:rPr>
          <w:rFonts w:ascii="Arial" w:cs="Arial" w:eastAsia="Arial" w:hAnsi="Arial"/>
          <w:sz w:val="22"/>
          <w:szCs w:val="22"/>
          <w:b w:val="1"/>
          <w:bCs w:val="1"/>
          <w:color w:val="auto"/>
        </w:rPr>
        <w:t>7.6 Kupující je povinným subjektem podle zákona č. 340/2015 Sb., o zvláštních podmínkách účinnosti některých smluv, uveřejňování těchto smluv a o registru smluv (zákon o registru smluv). Zveřejnění v Registru smluv provede kupující bez zbytečného odkladu po podpisu smlouvy oběma smluvními stranami.</w:t>
      </w:r>
    </w:p>
    <w:p>
      <w:pPr>
        <w:spacing w:after="0" w:line="4" w:lineRule="exact"/>
        <w:rPr>
          <w:sz w:val="20"/>
          <w:szCs w:val="20"/>
          <w:color w:val="auto"/>
        </w:rPr>
      </w:pPr>
    </w:p>
    <w:p>
      <w:pPr>
        <w:spacing w:after="0"/>
        <w:tabs>
          <w:tab w:leader="none" w:pos="680" w:val="left"/>
        </w:tabs>
        <w:rPr>
          <w:sz w:val="20"/>
          <w:szCs w:val="20"/>
          <w:color w:val="auto"/>
        </w:rPr>
      </w:pPr>
      <w:r>
        <w:rPr>
          <w:rFonts w:ascii="Arial" w:cs="Arial" w:eastAsia="Arial" w:hAnsi="Arial"/>
          <w:sz w:val="22"/>
          <w:szCs w:val="22"/>
          <w:b w:val="1"/>
          <w:bCs w:val="1"/>
          <w:color w:val="auto"/>
        </w:rPr>
        <w:t>7.7</w:t>
      </w:r>
      <w:r>
        <w:rPr>
          <w:sz w:val="20"/>
          <w:szCs w:val="20"/>
          <w:color w:val="auto"/>
        </w:rPr>
        <w:tab/>
      </w:r>
      <w:r>
        <w:rPr>
          <w:rFonts w:ascii="Arial" w:cs="Arial" w:eastAsia="Arial" w:hAnsi="Arial"/>
          <w:sz w:val="20"/>
          <w:szCs w:val="20"/>
          <w:b w:val="1"/>
          <w:bCs w:val="1"/>
          <w:color w:val="auto"/>
        </w:rPr>
        <w:t>Smluvní strany prohlašují, že obsah smlouvy není předmětem obchodního tajemství.</w:t>
      </w:r>
    </w:p>
    <w:p>
      <w:pPr>
        <w:spacing w:after="0" w:line="34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Přílohy Kupní smlouvy:</w:t>
      </w:r>
    </w:p>
    <w:p>
      <w:pPr>
        <w:spacing w:after="0" w:line="4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Příloha č. 1 – Technická specifikace</w:t>
      </w:r>
    </w:p>
    <w:p>
      <w:pPr>
        <w:spacing w:after="0" w:line="347" w:lineRule="exact"/>
        <w:rPr>
          <w:sz w:val="20"/>
          <w:szCs w:val="20"/>
          <w:color w:val="auto"/>
        </w:rPr>
      </w:pPr>
    </w:p>
    <w:p>
      <w:pPr>
        <w:spacing w:after="0"/>
        <w:tabs>
          <w:tab w:leader="none" w:pos="4940" w:val="left"/>
        </w:tabs>
        <w:rPr>
          <w:sz w:val="20"/>
          <w:szCs w:val="20"/>
          <w:color w:val="auto"/>
        </w:rPr>
      </w:pPr>
      <w:r>
        <w:rPr>
          <w:rFonts w:ascii="Arial" w:cs="Arial" w:eastAsia="Arial" w:hAnsi="Arial"/>
          <w:sz w:val="22"/>
          <w:szCs w:val="22"/>
          <w:b w:val="1"/>
          <w:bCs w:val="1"/>
          <w:color w:val="auto"/>
        </w:rPr>
        <w:t>V Boskovicích dne</w:t>
      </w:r>
      <w:r>
        <w:rPr>
          <w:sz w:val="20"/>
          <w:szCs w:val="20"/>
          <w:color w:val="auto"/>
        </w:rPr>
        <w:tab/>
      </w:r>
      <w:r>
        <w:rPr>
          <w:rFonts w:ascii="Arial" w:cs="Arial" w:eastAsia="Arial" w:hAnsi="Arial"/>
          <w:sz w:val="21"/>
          <w:szCs w:val="21"/>
          <w:b w:val="1"/>
          <w:bCs w:val="1"/>
          <w:color w:val="auto"/>
        </w:rPr>
        <w:t>V Praze dne</w:t>
      </w:r>
    </w:p>
    <w:p>
      <w:pPr>
        <w:sectPr>
          <w:pgSz w:w="11900" w:h="16838" w:orient="portrait"/>
          <w:cols w:equalWidth="0" w:num="1">
            <w:col w:w="9360"/>
          </w:cols>
          <w:pgMar w:left="1420" w:top="1172" w:right="1126" w:bottom="38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w:t>
      </w:r>
    </w:p>
    <w:p>
      <w:pPr>
        <w:spacing w:after="0" w:line="51"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Za kupujícího:</w:t>
      </w:r>
    </w:p>
    <w:p>
      <w:pPr>
        <w:spacing w:after="0" w:line="54" w:lineRule="exact"/>
        <w:rPr>
          <w:sz w:val="20"/>
          <w:szCs w:val="20"/>
          <w:color w:val="auto"/>
        </w:rPr>
      </w:pPr>
    </w:p>
    <w:p>
      <w:pPr>
        <w:spacing w:after="0"/>
        <w:rPr>
          <w:sz w:val="20"/>
          <w:szCs w:val="20"/>
          <w:color w:val="auto"/>
        </w:rPr>
      </w:pPr>
      <w:r>
        <w:rPr>
          <w:rFonts w:ascii="Arial" w:cs="Arial" w:eastAsia="Arial" w:hAnsi="Arial"/>
          <w:sz w:val="21"/>
          <w:szCs w:val="21"/>
          <w:b w:val="1"/>
          <w:bCs w:val="1"/>
          <w:color w:val="auto"/>
        </w:rPr>
        <w:t>prof. MUDr. Miloš Janeček, CSc.</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w:t>
      </w:r>
    </w:p>
    <w:p>
      <w:pPr>
        <w:spacing w:after="0" w:line="4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Za prodávajícího:</w:t>
      </w:r>
    </w:p>
    <w:p>
      <w:pPr>
        <w:spacing w:after="0" w:line="47"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Ing. Milan Šamánek, jednatel</w:t>
      </w:r>
    </w:p>
    <w:p>
      <w:pPr>
        <w:spacing w:after="0" w:line="200" w:lineRule="exact"/>
        <w:rPr>
          <w:sz w:val="20"/>
          <w:szCs w:val="20"/>
          <w:color w:val="auto"/>
        </w:rPr>
      </w:pPr>
    </w:p>
    <w:p>
      <w:pPr>
        <w:sectPr>
          <w:pgSz w:w="11900" w:h="16838" w:orient="portrait"/>
          <w:cols w:equalWidth="0" w:num="2">
            <w:col w:w="4240" w:space="720"/>
            <w:col w:w="4400"/>
          </w:cols>
          <w:pgMar w:left="1420" w:top="1172" w:right="1126" w:bottom="383"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100"/>
        <w:spacing w:after="0"/>
        <w:tabs>
          <w:tab w:leader="none" w:pos="8580" w:val="left"/>
        </w:tabs>
        <w:rPr>
          <w:sz w:val="20"/>
          <w:szCs w:val="20"/>
          <w:color w:val="auto"/>
        </w:rPr>
      </w:pPr>
      <w:r>
        <w:rPr>
          <w:rFonts w:ascii="Arial" w:cs="Arial" w:eastAsia="Arial" w:hAnsi="Arial"/>
          <w:sz w:val="22"/>
          <w:szCs w:val="22"/>
          <w:b w:val="1"/>
          <w:bCs w:val="1"/>
          <w:color w:val="auto"/>
        </w:rPr>
        <w:t>KS 19-7-6</w:t>
      </w:r>
      <w:r>
        <w:rPr>
          <w:sz w:val="20"/>
          <w:szCs w:val="20"/>
          <w:color w:val="auto"/>
        </w:rPr>
        <w:tab/>
      </w:r>
      <w:r>
        <w:rPr>
          <w:rFonts w:ascii="Arial" w:cs="Arial" w:eastAsia="Arial" w:hAnsi="Arial"/>
          <w:sz w:val="19"/>
          <w:szCs w:val="19"/>
          <w:b w:val="1"/>
          <w:bCs w:val="1"/>
          <w:color w:val="auto"/>
        </w:rPr>
        <w:t>strana 7</w:t>
      </w:r>
    </w:p>
    <w:p>
      <w:pPr>
        <w:sectPr>
          <w:pgSz w:w="11900" w:h="16838" w:orient="portrait"/>
          <w:cols w:equalWidth="0" w:num="1">
            <w:col w:w="9360"/>
          </w:cols>
          <w:pgMar w:left="1420" w:top="1172" w:right="1126" w:bottom="383" w:gutter="0" w:footer="0" w:header="0"/>
          <w:type w:val="continuous"/>
        </w:sectPr>
      </w:pPr>
    </w:p>
    <w:sectPr>
      <w:pgSz w:w="11906" w:h="16838" w:orient="portrait"/>
      <w:cols w:equalWidth="1" w:num="1" w:space="0"/>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2CD6"/>
    <w:multiLevelType w:val="hybridMultilevel"/>
    <w:lvl w:ilvl="0">
      <w:lvlJc w:val="left"/>
      <w:lvlText w:val=" "/>
      <w:numFmt w:val="bullet"/>
      <w:start w:val="1"/>
    </w:lvl>
  </w:abstractNum>
  <w:abstractNum w:abstractNumId="1">
    <w:nsid w:val="72AE"/>
    <w:multiLevelType w:val="hybridMultilevel"/>
    <w:lvl w:ilvl="0">
      <w:lvlJc w:val="left"/>
      <w:lvlText w:val=" "/>
      <w:numFmt w:val="bullet"/>
      <w:start w:val="1"/>
    </w:lvl>
  </w:abstractNum>
  <w:abstractNum w:abstractNumId="2">
    <w:nsid w:val="6952"/>
    <w:multiLevelType w:val="hybridMultilevel"/>
    <w:lvl w:ilvl="0">
      <w:lvlJc w:val="left"/>
      <w:lvlText w:val=" "/>
      <w:numFmt w:val="bullet"/>
      <w:start w:val="1"/>
    </w:lvl>
  </w:abstractNum>
  <w:abstractNum w:abstractNumId="3">
    <w:nsid w:val="5F90"/>
    <w:multiLevelType w:val="hybridMultilevel"/>
    <w:lvl w:ilvl="0">
      <w:lvlJc w:val="left"/>
      <w:lvlText w:val=" "/>
      <w:numFmt w:val="bullet"/>
      <w:start w:val="1"/>
    </w:lvl>
  </w:abstractNum>
  <w:abstractNum w:abstractNumId="4">
    <w:nsid w:val="1649"/>
    <w:multiLevelType w:val="hybridMultilevel"/>
    <w:lvl w:ilvl="0">
      <w:lvlJc w:val="left"/>
      <w:lvlText w:val=" "/>
      <w:numFmt w:val="bullet"/>
      <w:start w:val="1"/>
    </w:lvl>
  </w:abstractNum>
  <w:abstractNum w:abstractNumId="5">
    <w:nsid w:val="6DF1"/>
    <w:multiLevelType w:val="hybridMultilevel"/>
    <w:lvl w:ilvl="0">
      <w:lvlJc w:val="left"/>
      <w:lvlText w:val=" "/>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10" Type="http://schemas.openxmlformats.org/officeDocument/2006/relationships/image" Target="media/image1.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2017-05-11T14:42:53Z</dcterms:created>
  <dcterms:modified xsi:type="dcterms:W3CDTF">2017-05-11T14:42:53Z</dcterms:modified>
</cp:coreProperties>
</file>

<file path=docProps/custom.xml><?xml version="1.0" encoding="utf-8"?>
<Properties xmlns:vt="http://schemas.openxmlformats.org/officeDocument/2006/docPropsVTypes" xmlns="http://schemas.openxmlformats.org/officeDocument/2006/custom-properties"/>
</file>