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3014"/>
        <w:gridCol w:w="5731"/>
      </w:tblGrid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22"/>
                <w:szCs w:val="22"/>
              </w:rPr>
              <w:t>Dodatekč. 2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100" w:line="233" w:lineRule="auto"/>
        <w:ind w:left="0" w:right="0" w:firstLine="0"/>
        <w:jc w:val="center"/>
      </w:pPr>
      <w:bookmarkStart w:id="0" w:name="bookmark0"/>
      <w:r>
        <w:rPr>
          <w:rStyle w:val="CharStyle23"/>
          <w:b/>
          <w:bCs/>
        </w:rPr>
        <w:t>ke smlouvě o dílo ze dne 25. 10. 2021 (dále jen „smlouva“)</w:t>
      </w:r>
      <w:bookmarkEnd w:id="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80" w:line="233" w:lineRule="auto"/>
        <w:ind w:left="2520" w:right="0" w:hanging="2520"/>
        <w:jc w:val="left"/>
      </w:pPr>
      <w:r>
        <w:rPr>
          <w:rStyle w:val="CharStyle13"/>
        </w:rPr>
        <w:t>uzavřená v souladu s ustanovením § 2586 a násl. zákona č. 89/2012 Sb„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3014"/>
        <w:gridCol w:w="5736"/>
      </w:tblGrid>
      <w:tr>
        <w:trPr>
          <w:trHeight w:val="5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380" w:right="0" w:firstLine="2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22"/>
                <w:szCs w:val="22"/>
              </w:rPr>
              <w:t>Zdravotnická záchranná služba Jihomoravského kraje, příspěvková organizace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Kamenice 798/ld,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MUDr. Hana Albrechtová, ředitelka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pacing w:val="7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CharStyle16"/>
                <w:rFonts w:ascii="Calibri" w:eastAsia="Calibri" w:hAnsi="Calibri" w:cs="Calibri"/>
                <w:spacing w:val="8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CharStyle16"/>
                <w:rFonts w:ascii="Calibri" w:eastAsia="Calibri" w:hAnsi="Calibri" w:cs="Calibri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CharStyle16"/>
                <w:rFonts w:ascii="Calibri" w:eastAsia="Calibri" w:hAnsi="Calibri" w:cs="Calibri"/>
                <w:spacing w:val="4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CharStyle16"/>
                <w:rFonts w:ascii="Calibri" w:eastAsia="Calibri" w:hAnsi="Calibri" w:cs="Calibri"/>
                <w:spacing w:val="5"/>
                <w:sz w:val="22"/>
                <w:szCs w:val="22"/>
                <w:shd w:val="clear" w:color="auto" w:fill="000000"/>
              </w:rPr>
              <w:t>........</w:t>
            </w:r>
            <w:r>
              <w:rPr>
                <w:rStyle w:val="CharStyle16"/>
                <w:rFonts w:ascii="Calibri" w:eastAsia="Calibri" w:hAnsi="Calibri" w:cs="Calibri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CharStyle16"/>
                <w:rFonts w:ascii="Calibri" w:eastAsia="Calibri" w:hAnsi="Calibri" w:cs="Calibri"/>
                <w:spacing w:val="1"/>
                <w:sz w:val="22"/>
                <w:szCs w:val="22"/>
                <w:shd w:val="clear" w:color="auto" w:fill="000000"/>
              </w:rPr>
              <w:t>....</w:t>
            </w:r>
            <w:r>
              <w:rPr>
                <w:rStyle w:val="CharStyle16"/>
                <w:rFonts w:ascii="Calibri" w:eastAsia="Calibri" w:hAnsi="Calibri" w:cs="Calibri"/>
                <w:spacing w:val="2"/>
                <w:sz w:val="22"/>
                <w:szCs w:val="22"/>
                <w:shd w:val="clear" w:color="auto" w:fill="000000"/>
              </w:rPr>
              <w:t>...........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pacing w:val="2"/>
                <w:sz w:val="22"/>
                <w:szCs w:val="22"/>
                <w:shd w:val="clear" w:color="auto" w:fill="000000"/>
              </w:rPr>
              <w:t>.</w:t>
            </w:r>
            <w:r>
              <w:rPr>
                <w:rStyle w:val="CharStyle16"/>
                <w:rFonts w:ascii="Calibri" w:eastAsia="Calibri" w:hAnsi="Calibri" w:cs="Calibri"/>
                <w:spacing w:val="3"/>
                <w:sz w:val="22"/>
                <w:szCs w:val="22"/>
                <w:shd w:val="clear" w:color="auto" w:fill="000000"/>
              </w:rPr>
              <w:t>..</w:t>
            </w:r>
            <w:r>
              <w:rPr>
                <w:rStyle w:val="CharStyle16"/>
                <w:rFonts w:ascii="Calibri" w:eastAsia="Calibri" w:hAnsi="Calibri" w:cs="Calibri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CharStyle16"/>
                <w:rFonts w:ascii="Calibri" w:eastAsia="Calibri" w:hAnsi="Calibri" w:cs="Calibri"/>
                <w:spacing w:val="5"/>
                <w:sz w:val="22"/>
                <w:szCs w:val="22"/>
                <w:shd w:val="clear" w:color="auto" w:fill="000000"/>
              </w:rPr>
              <w:t>......</w:t>
            </w:r>
            <w:r>
              <w:rPr>
                <w:rStyle w:val="CharStyle16"/>
                <w:rFonts w:ascii="Calibri" w:eastAsia="Calibri" w:hAnsi="Calibri" w:cs="Calibri"/>
                <w:spacing w:val="6"/>
                <w:sz w:val="22"/>
                <w:szCs w:val="22"/>
                <w:shd w:val="clear" w:color="auto" w:fill="000000"/>
              </w:rPr>
              <w:t>..</w:t>
            </w:r>
            <w:r>
              <w:rPr>
                <w:rStyle w:val="CharStyle16"/>
                <w:rFonts w:ascii="Calibri" w:eastAsia="Calibri" w:hAnsi="Calibri" w:cs="Calibri"/>
                <w:sz w:val="22"/>
                <w:szCs w:val="22"/>
                <w:u w:val="single"/>
                <w:shd w:val="clear" w:color="auto" w:fill="000000"/>
              </w:rPr>
              <w:t>​.....</w:t>
            </w:r>
            <w:r>
              <w:rPr>
                <w:rStyle w:val="CharStyle16"/>
                <w:rFonts w:ascii="Calibri" w:eastAsia="Calibri" w:hAnsi="Calibri" w:cs="Calibri"/>
                <w:spacing w:val="1"/>
                <w:sz w:val="22"/>
                <w:szCs w:val="22"/>
                <w:u w:val="single"/>
                <w:shd w:val="clear" w:color="auto" w:fill="000000"/>
              </w:rPr>
              <w:t>................</w:t>
            </w:r>
            <w:r>
              <w:rPr>
                <w:rStyle w:val="CharStyle16"/>
                <w:rFonts w:ascii="Calibri" w:eastAsia="Calibri" w:hAnsi="Calibri" w:cs="Calibri"/>
                <w:spacing w:val="2"/>
                <w:sz w:val="22"/>
                <w:szCs w:val="22"/>
                <w:u w:val="single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CharStyle16"/>
                <w:rFonts w:ascii="Calibri" w:eastAsia="Calibri" w:hAnsi="Calibri" w:cs="Calibri"/>
                <w:spacing w:val="3"/>
                <w:sz w:val="22"/>
                <w:szCs w:val="22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16"/>
                <w:rFonts w:ascii="Calibri" w:eastAsia="Calibri" w:hAnsi="Calibri" w:cs="Calibri"/>
                <w:spacing w:val="49"/>
                <w:sz w:val="22"/>
                <w:szCs w:val="22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6"/>
                <w:rFonts w:ascii="Calibri" w:eastAsia="Calibri" w:hAnsi="Calibri" w:cs="Calibri"/>
                <w:sz w:val="22"/>
                <w:szCs w:val="22"/>
                <w:shd w:val="clear" w:color="auto" w:fill="000000"/>
              </w:rPr>
              <w:t>​.....</w:t>
            </w:r>
            <w:r>
              <w:rPr>
                <w:rStyle w:val="CharStyle16"/>
                <w:rFonts w:ascii="Calibri" w:eastAsia="Calibri" w:hAnsi="Calibri" w:cs="Calibri"/>
                <w:spacing w:val="1"/>
                <w:sz w:val="22"/>
                <w:szCs w:val="22"/>
                <w:shd w:val="clear" w:color="auto" w:fill="000000"/>
              </w:rPr>
              <w:t>.</w:t>
            </w:r>
            <w:r>
              <w:rPr>
                <w:rStyle w:val="CharStyle16"/>
                <w:rFonts w:ascii="Calibri" w:eastAsia="Calibri" w:hAnsi="Calibri" w:cs="Calibri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CharStyle16"/>
                <w:rFonts w:ascii="Calibri" w:eastAsia="Calibri" w:hAnsi="Calibri" w:cs="Calibri"/>
                <w:spacing w:val="8"/>
                <w:sz w:val="22"/>
                <w:szCs w:val="22"/>
                <w:shd w:val="clear" w:color="auto" w:fill="000000"/>
              </w:rPr>
              <w:t>....</w:t>
            </w:r>
            <w:r>
              <w:rPr>
                <w:rStyle w:val="CharStyle16"/>
                <w:rFonts w:ascii="Calibri" w:eastAsia="Calibri" w:hAnsi="Calibri" w:cs="Calibri"/>
                <w:spacing w:val="9"/>
                <w:sz w:val="22"/>
                <w:szCs w:val="22"/>
                <w:shd w:val="clear" w:color="auto" w:fill="000000"/>
              </w:rPr>
              <w:t>..</w:t>
            </w:r>
            <w:r>
              <w:rPr>
                <w:rStyle w:val="CharStyle16"/>
                <w:rFonts w:ascii="Calibri" w:eastAsia="Calibri" w:hAnsi="Calibri" w:cs="Calibri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CharStyle16"/>
                <w:rFonts w:ascii="Calibri" w:eastAsia="Calibri" w:hAnsi="Calibri" w:cs="Calibri"/>
                <w:spacing w:val="8"/>
                <w:sz w:val="22"/>
                <w:szCs w:val="22"/>
                <w:shd w:val="clear" w:color="auto" w:fill="000000"/>
              </w:rPr>
              <w:t>....</w:t>
            </w:r>
            <w:r>
              <w:rPr>
                <w:rStyle w:val="CharStyle16"/>
                <w:rFonts w:ascii="Calibri" w:eastAsia="Calibri" w:hAnsi="Calibri" w:cs="Calibri"/>
                <w:spacing w:val="9"/>
                <w:sz w:val="22"/>
                <w:szCs w:val="22"/>
                <w:shd w:val="clear" w:color="auto" w:fill="000000"/>
              </w:rPr>
              <w:t>..</w:t>
            </w:r>
            <w:r>
              <w:rPr>
                <w:rStyle w:val="CharStyle16"/>
                <w:rFonts w:ascii="Calibri" w:eastAsia="Calibri" w:hAnsi="Calibri" w:cs="Calibri"/>
                <w:sz w:val="22"/>
                <w:szCs w:val="22"/>
                <w:shd w:val="clear" w:color="auto" w:fill="000000"/>
              </w:rPr>
              <w:t>​......</w:t>
            </w:r>
          </w:p>
        </w:tc>
      </w:tr>
      <w:tr>
        <w:trPr>
          <w:trHeight w:val="79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IČ: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DIČ: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00346292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CZ00346292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Krajský soud v Brně sp. zn. Pr 1245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MONETA Money Bank, a.s., č. ú. 117203514/0600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5"/>
        </w:rPr>
        <w:t xml:space="preserve">(dále jen </w:t>
      </w:r>
      <w:r>
        <w:rPr>
          <w:rStyle w:val="CharStyle25"/>
          <w:b/>
          <w:bCs/>
          <w:i/>
          <w:iCs/>
        </w:rPr>
        <w:t>„objednatel")</w:t>
      </w: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014"/>
        <w:gridCol w:w="5731"/>
      </w:tblGrid>
      <w:tr>
        <w:trPr>
          <w:trHeight w:val="67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PERFECT pure servis o.p.s.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Budovatelská 872/51, 696 01 Rohatec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Jaroslav Lovecký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CharStyle16"/>
                <w:rFonts w:ascii="Calibri" w:eastAsia="Calibri" w:hAnsi="Calibri" w:cs="Calibri"/>
                <w:spacing w:val="1"/>
                <w:sz w:val="22"/>
                <w:szCs w:val="22"/>
                <w:shd w:val="clear" w:color="auto" w:fill="000000"/>
              </w:rPr>
              <w:t>.....</w:t>
            </w:r>
            <w:r>
              <w:rPr>
                <w:rStyle w:val="CharStyle16"/>
                <w:rFonts w:ascii="Calibri" w:eastAsia="Calibri" w:hAnsi="Calibri" w:cs="Calibri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CharStyle16"/>
                <w:rFonts w:ascii="Calibri" w:eastAsia="Calibri" w:hAnsi="Calibri" w:cs="Calibri"/>
                <w:spacing w:val="3"/>
                <w:sz w:val="22"/>
                <w:szCs w:val="22"/>
                <w:shd w:val="clear" w:color="auto" w:fill="000000"/>
              </w:rPr>
              <w:t>...........</w:t>
            </w:r>
            <w:r>
              <w:rPr>
                <w:rStyle w:val="CharStyle16"/>
                <w:rFonts w:ascii="Calibri" w:eastAsia="Calibri" w:hAnsi="Calibri" w:cs="Calibri"/>
                <w:spacing w:val="4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CharStyle16"/>
                <w:rFonts w:ascii="Calibri" w:eastAsia="Calibri" w:hAnsi="Calibri" w:cs="Calibri"/>
                <w:sz w:val="22"/>
                <w:szCs w:val="22"/>
                <w:shd w:val="clear" w:color="auto" w:fill="000000"/>
              </w:rPr>
              <w:t>​</w:t>
            </w:r>
            <w:r>
              <w:rPr>
                <w:rStyle w:val="CharStyle16"/>
                <w:rFonts w:ascii="Calibri" w:eastAsia="Calibri" w:hAnsi="Calibri" w:cs="Calibri"/>
                <w:spacing w:val="3"/>
                <w:sz w:val="22"/>
                <w:szCs w:val="22"/>
                <w:shd w:val="clear" w:color="auto" w:fill="000000"/>
              </w:rPr>
              <w:t>..</w:t>
            </w:r>
            <w:r>
              <w:rPr>
                <w:rStyle w:val="CharStyle16"/>
                <w:rFonts w:ascii="Calibri" w:eastAsia="Calibri" w:hAnsi="Calibri" w:cs="Calibri"/>
                <w:spacing w:val="4"/>
                <w:sz w:val="22"/>
                <w:szCs w:val="22"/>
                <w:shd w:val="clear" w:color="auto" w:fill="000000"/>
              </w:rPr>
              <w:t>............</w:t>
            </w:r>
          </w:p>
        </w:tc>
      </w:tr>
      <w:tr>
        <w:trPr>
          <w:trHeight w:val="8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IČ: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DIČ: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02119463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CZ 02119463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Krajský soud v Brně, O 637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FIO banka, a.s., 230066157/2010</w:t>
            </w:r>
          </w:p>
        </w:tc>
      </w:tr>
      <w:tr>
        <w:trPr>
          <w:trHeight w:val="141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 xml:space="preserve">(dále jen </w:t>
            </w:r>
            <w:r>
              <w:rPr>
                <w:rStyle w:val="CharStyle16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„zhotovitel")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13"/>
        </w:rPr>
        <w:t>Článek 10 smlouvy se mění a nadále zní takto: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13"/>
        </w:rPr>
        <w:t>Objednatel se zavazuje platit zhotoviteli za dílo podle čl. 2a až 2e smlouvy měsíční paušální cenu ve výši součtu těchto částek :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rStyle w:val="CharStyle13"/>
        </w:rPr>
        <w:t>15 262,- Kč měsíčně plus DPH z této částky, tzn. 18 467,- Kč měsíčně za úklid VZ Znojmo,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rStyle w:val="CharStyle13"/>
        </w:rPr>
        <w:t>9 603,- Kč měsíčně plus DPH z této částky, tzn. 11 620,- Kč za úklid VZ Hrušovany nad Jevišovkou,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13"/>
          <w:b/>
          <w:bCs/>
        </w:rPr>
        <w:t>tedy celkem 24 865,- Kč měsíčně bez DPH, tj. 30 087,- Kč měsíčně včetně DPH.</w:t>
      </w:r>
      <w:r>
        <w:br w:type="page"/>
      </w:r>
    </w:p>
    <w:p>
      <w:pPr>
        <w:pStyle w:val="Style22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60" w:line="290" w:lineRule="auto"/>
        <w:ind w:left="0" w:right="0" w:firstLine="0"/>
        <w:jc w:val="center"/>
        <w:rPr>
          <w:sz w:val="20"/>
          <w:szCs w:val="20"/>
        </w:rPr>
      </w:pPr>
      <w:bookmarkStart w:id="2" w:name="bookmark2"/>
      <w:bookmarkEnd w:id="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rStyle w:val="CharStyle13"/>
        </w:rPr>
        <w:t>Přílohy č. 1 a č. 2 smlouvy se nahrazují novými přílohami č. 1 a č. 2, které jsou jako přílohy nedílnou součástí tohoto dodatku.</w:t>
      </w:r>
    </w:p>
    <w:p>
      <w:pPr>
        <w:pStyle w:val="Style22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0"/>
          <w:szCs w:val="20"/>
        </w:rPr>
      </w:pPr>
      <w:bookmarkStart w:id="4" w:name="bookmark4"/>
      <w:bookmarkEnd w:id="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rStyle w:val="CharStyle13"/>
        </w:rPr>
        <w:t>Ostatní ujednání smlouvy nejsou tímto dodatkem nijak dotčena.</w:t>
      </w:r>
    </w:p>
    <w:p>
      <w:pPr>
        <w:pStyle w:val="Style22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0"/>
          <w:szCs w:val="20"/>
        </w:rPr>
      </w:pPr>
      <w:bookmarkStart w:id="6" w:name="bookmark6"/>
      <w:bookmarkEnd w:id="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rStyle w:val="CharStyle13"/>
        </w:rPr>
        <w:t>Tento dodatek nabývá platnosti a účinnosti dnem 1. 10. 2022.</w:t>
      </w:r>
    </w:p>
    <w:p>
      <w:pPr>
        <w:pStyle w:val="Style22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60" w:line="286" w:lineRule="auto"/>
        <w:ind w:left="0" w:right="0" w:firstLine="0"/>
        <w:jc w:val="center"/>
        <w:rPr>
          <w:sz w:val="20"/>
          <w:szCs w:val="20"/>
        </w:rPr>
      </w:pPr>
      <w:bookmarkStart w:id="8" w:name="bookmark8"/>
      <w:bookmarkEnd w:id="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rStyle w:val="CharStyle13"/>
        </w:rPr>
        <w:t>Dáno v Brně dne 1. 9. 2022 ve dvou originálních písemných vyhotoveních, z nichž každá ze smluvních stran obdrží po jednom.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60"/>
        <w:ind w:firstLine="0"/>
        <w:jc w:val="right"/>
      </w:pPr>
      <w:r>
        <w:drawing>
          <wp:anchor distT="350520" distB="518160" distL="324485" distR="772795" simplePos="0" relativeHeight="125829378" behindDoc="0" locked="0" layoutInCell="1" allowOverlap="1">
            <wp:simplePos x="0" y="0"/>
            <wp:positionH relativeFrom="page">
              <wp:posOffset>1385570</wp:posOffset>
            </wp:positionH>
            <wp:positionV relativeFrom="margin">
              <wp:posOffset>3447415</wp:posOffset>
            </wp:positionV>
            <wp:extent cx="1237615" cy="87757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37615" cy="8775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1386840" distL="1394460" distR="114300" simplePos="0" relativeHeight="125829379" behindDoc="0" locked="0" layoutInCell="1" allowOverlap="1">
                <wp:simplePos x="0" y="0"/>
                <wp:positionH relativeFrom="page">
                  <wp:posOffset>2455545</wp:posOffset>
                </wp:positionH>
                <wp:positionV relativeFrom="margin">
                  <wp:posOffset>3096895</wp:posOffset>
                </wp:positionV>
                <wp:extent cx="822960" cy="35687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000000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color w:val="000000"/>
                                <w:shd w:val="clear" w:color="auto" w:fill="000000"/>
                              </w:rPr>
                              <w:t>​...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color w:val="000000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</w:rPr>
                              <w:t xml:space="preserve">ba 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color w:val="000000"/>
                                <w:shd w:val="clear" w:color="auto" w:fill="000000"/>
                                <w:vertAlign w:val="superscript"/>
                              </w:rPr>
                              <w:t>​...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color w:val="000000"/>
                                <w:spacing w:val="1"/>
                                <w:shd w:val="clear" w:color="auto" w:fill="00000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color w:val="000000"/>
                                <w:spacing w:val="-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color w:val="000000"/>
                                <w:shd w:val="clear" w:color="auto" w:fill="000000"/>
                              </w:rPr>
                              <w:t>​.........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-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1"/>
                                <w:shd w:val="clear" w:color="auto" w:fill="000000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2"/>
                                <w:shd w:val="clear" w:color="auto" w:fill="000000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3.34999999999999pt;margin-top:243.84999999999999pt;width:64.799999999999997pt;height:28.100000000000001pt;z-index:-125829374;mso-wrap-distance-left:109.8pt;mso-wrap-distance-right:9.pt;mso-wrap-distance-bottom:109.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000000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color w:val="000000"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3"/>
                          <w:color w:val="000000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3"/>
                          <w:i/>
                          <w:iCs/>
                          <w:color w:val="000000"/>
                          <w:shd w:val="clear" w:color="auto" w:fill="000000"/>
                        </w:rPr>
                        <w:t>​...</w:t>
                      </w:r>
                      <w:r>
                        <w:rPr>
                          <w:rStyle w:val="CharStyle3"/>
                          <w:i/>
                          <w:iCs/>
                          <w:color w:val="000000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i/>
                          <w:iCs/>
                        </w:rPr>
                        <w:t xml:space="preserve">ba </w:t>
                      </w:r>
                      <w:r>
                        <w:rPr>
                          <w:rStyle w:val="CharStyle3"/>
                          <w:i/>
                          <w:iCs/>
                          <w:color w:val="000000"/>
                          <w:shd w:val="clear" w:color="auto" w:fill="000000"/>
                          <w:vertAlign w:val="superscript"/>
                        </w:rPr>
                        <w:t>​...</w:t>
                      </w:r>
                      <w:r>
                        <w:rPr>
                          <w:rStyle w:val="CharStyle3"/>
                          <w:i/>
                          <w:iCs/>
                          <w:color w:val="000000"/>
                          <w:spacing w:val="1"/>
                          <w:shd w:val="clear" w:color="auto" w:fill="000000"/>
                          <w:vertAlign w:val="superscript"/>
                        </w:rPr>
                        <w:t>.</w:t>
                      </w:r>
                      <w:r>
                        <w:rPr>
                          <w:rStyle w:val="CharStyle3"/>
                          <w:i/>
                          <w:iCs/>
                          <w:color w:val="000000"/>
                          <w:spacing w:val="-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i/>
                          <w:iCs/>
                          <w:color w:val="000000"/>
                          <w:shd w:val="clear" w:color="auto" w:fill="000000"/>
                        </w:rPr>
                        <w:t>​.........</w:t>
                      </w:r>
                      <w:r>
                        <w:rPr>
                          <w:rStyle w:val="CharStyle3"/>
                          <w:color w:val="000000"/>
                          <w:spacing w:val="-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color w:val="000000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color w:val="000000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color w:val="000000"/>
                          <w:spacing w:val="1"/>
                          <w:shd w:val="clear" w:color="auto" w:fill="000000"/>
                          <w:vertAlign w:val="subscript"/>
                        </w:rPr>
                        <w:t>.</w:t>
                      </w:r>
                      <w:r>
                        <w:rPr>
                          <w:rStyle w:val="CharStyle3"/>
                          <w:color w:val="000000"/>
                          <w:spacing w:val="2"/>
                          <w:shd w:val="clear" w:color="auto" w:fill="000000"/>
                          <w:vertAlign w:val="subscript"/>
                        </w:rPr>
                        <w:t>.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28090" distB="635" distL="114300" distR="732790" simplePos="0" relativeHeight="125829381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margin">
                  <wp:posOffset>4324985</wp:posOffset>
                </wp:positionV>
                <wp:extent cx="1484630" cy="51498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4630" cy="514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3"/>
                                <w:b/>
                                <w:bCs/>
                              </w:rPr>
                              <w:t>MUDr. Hana Albrechtová</w:t>
                              <w:br/>
                            </w:r>
                            <w:r>
                              <w:rPr>
                                <w:rStyle w:val="CharStyle13"/>
                              </w:rPr>
                              <w:t>ředitelka</w:t>
                              <w:br/>
                              <w:t>za objednatele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2.549999999999997pt;margin-top:340.55000000000001pt;width:116.90000000000001pt;height:40.550000000000004pt;z-index:-125829372;mso-wrap-distance-left:9.pt;mso-wrap-distance-top:96.700000000000003pt;mso-wrap-distance-right:57.700000000000003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3"/>
                          <w:b/>
                          <w:bCs/>
                        </w:rPr>
                        <w:t>MUDr. Hana Albrechtová</w:t>
                        <w:br/>
                      </w:r>
                      <w:r>
                        <w:rPr>
                          <w:rStyle w:val="CharStyle13"/>
                        </w:rPr>
                        <w:t>ředitelka</w:t>
                        <w:br/>
                        <w:t>za objednatele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CharStyle46"/>
          <w:shd w:val="clear" w:color="auto" w:fill="000000"/>
        </w:rPr>
        <w:t>........</w:t>
      </w:r>
      <w:r>
        <w:rPr>
          <w:rStyle w:val="CharStyle46"/>
          <w:spacing w:val="1"/>
          <w:shd w:val="clear" w:color="auto" w:fill="000000"/>
        </w:rPr>
        <w:t>......</w:t>
      </w:r>
      <w:r>
        <w:rPr>
          <w:rStyle w:val="CharStyle46"/>
        </w:rPr>
        <w:t xml:space="preserve"> </w:t>
      </w:r>
      <w:r>
        <w:rPr>
          <w:rStyle w:val="CharStyle46"/>
          <w:b/>
          <w:bCs/>
          <w:shd w:val="clear" w:color="auto" w:fill="000000"/>
        </w:rPr>
        <w:t>​</w:t>
      </w:r>
      <w:r>
        <w:rPr>
          <w:rStyle w:val="CharStyle46"/>
          <w:b/>
          <w:bCs/>
          <w:spacing w:val="3"/>
          <w:shd w:val="clear" w:color="auto" w:fill="000000"/>
        </w:rPr>
        <w:t>.......</w:t>
      </w:r>
      <w:r>
        <w:rPr>
          <w:rStyle w:val="CharStyle46"/>
          <w:b/>
          <w:bCs/>
          <w:spacing w:val="4"/>
          <w:shd w:val="clear" w:color="auto" w:fill="000000"/>
        </w:rPr>
        <w:t>......</w:t>
      </w:r>
      <w:r>
        <w:rPr>
          <w:rStyle w:val="CharStyle46"/>
          <w:shd w:val="clear" w:color="auto" w:fill="000000"/>
        </w:rPr>
        <w:t>​</w:t>
      </w:r>
      <w:r>
        <w:rPr>
          <w:rStyle w:val="CharStyle46"/>
          <w:spacing w:val="9"/>
          <w:shd w:val="clear" w:color="auto" w:fill="000000"/>
        </w:rPr>
        <w:t>.</w:t>
      </w:r>
      <w:r>
        <w:rPr>
          <w:rStyle w:val="CharStyle46"/>
          <w:spacing w:val="10"/>
          <w:shd w:val="clear" w:color="auto" w:fill="000000"/>
        </w:rPr>
        <w:t>.</w:t>
      </w:r>
      <w:r>
        <w:rPr>
          <w:rStyle w:val="CharStyle46"/>
          <w:shd w:val="clear" w:color="auto" w:fill="000000"/>
        </w:rPr>
        <w:t>​</w:t>
      </w:r>
      <w:r>
        <w:rPr>
          <w:rStyle w:val="CharStyle46"/>
          <w:spacing w:val="21"/>
          <w:shd w:val="clear" w:color="auto" w:fill="000000"/>
        </w:rPr>
        <w:t>.</w:t>
      </w:r>
      <w:r>
        <w:rPr>
          <w:rStyle w:val="CharStyle46"/>
          <w:spacing w:val="2"/>
          <w:shd w:val="clear" w:color="auto" w:fill="000000"/>
          <w:vertAlign w:val="superscript"/>
        </w:rPr>
        <w:t>......</w:t>
      </w:r>
      <w:r>
        <w:rPr>
          <w:rStyle w:val="CharStyle46"/>
          <w:spacing w:val="3"/>
          <w:shd w:val="clear" w:color="auto" w:fill="000000"/>
          <w:vertAlign w:val="superscript"/>
        </w:rPr>
        <w:t>....</w:t>
      </w:r>
      <w:r>
        <w:rPr>
          <w:rStyle w:val="CharStyle46"/>
          <w:vertAlign w:val="superscript"/>
        </w:rPr>
        <w:t xml:space="preserve"> </w:t>
      </w:r>
      <w:r>
        <w:rPr>
          <w:rStyle w:val="CharStyle46"/>
          <w:b/>
          <w:bCs/>
          <w:shd w:val="clear" w:color="auto" w:fill="000000"/>
        </w:rPr>
        <w:t>​</w:t>
      </w:r>
      <w:r>
        <w:rPr>
          <w:rStyle w:val="CharStyle46"/>
          <w:b/>
          <w:bCs/>
          <w:spacing w:val="2"/>
          <w:shd w:val="clear" w:color="auto" w:fill="000000"/>
        </w:rPr>
        <w:t>................</w:t>
      </w:r>
      <w:r>
        <w:rPr>
          <w:rStyle w:val="CharStyle46"/>
          <w:shd w:val="clear" w:color="auto" w:fill="000000"/>
        </w:rPr>
        <w:t>​</w:t>
      </w:r>
      <w:r>
        <w:rPr>
          <w:rStyle w:val="CharStyle46"/>
          <w:spacing w:val="1"/>
          <w:shd w:val="clear" w:color="auto" w:fill="000000"/>
        </w:rPr>
        <w:t>....</w:t>
      </w:r>
      <w:r>
        <w:rPr>
          <w:rStyle w:val="CharStyle46"/>
          <w:spacing w:val="2"/>
          <w:shd w:val="clear" w:color="auto" w:fill="000000"/>
        </w:rPr>
        <w:t>..........</w:t>
      </w:r>
      <w:r>
        <w:rPr>
          <w:rStyle w:val="CharStyle46"/>
          <w:shd w:val="clear" w:color="auto" w:fill="000000"/>
        </w:rPr>
        <w:t>​</w:t>
      </w:r>
      <w:r>
        <w:rPr>
          <w:rStyle w:val="CharStyle46"/>
          <w:spacing w:val="1"/>
          <w:shd w:val="clear" w:color="auto" w:fill="000000"/>
        </w:rPr>
        <w:t>............</w:t>
      </w:r>
      <w:r>
        <w:rPr>
          <w:rStyle w:val="CharStyle46"/>
          <w:spacing w:val="2"/>
          <w:shd w:val="clear" w:color="auto" w:fill="000000"/>
        </w:rPr>
        <w:t>.</w:t>
      </w:r>
      <w:r>
        <w:rPr>
          <w:rStyle w:val="CharStyle46"/>
        </w:rPr>
        <w:t xml:space="preserve"> </w:t>
      </w:r>
      <w:r>
        <w:rPr>
          <w:rStyle w:val="CharStyle46"/>
          <w:b/>
          <w:bCs/>
          <w:shd w:val="clear" w:color="auto" w:fill="000000"/>
        </w:rPr>
        <w:t>​</w:t>
      </w:r>
      <w:r>
        <w:rPr>
          <w:rStyle w:val="CharStyle46"/>
          <w:b/>
          <w:bCs/>
          <w:spacing w:val="1"/>
          <w:shd w:val="clear" w:color="auto" w:fill="000000"/>
        </w:rPr>
        <w:t>.....</w:t>
      </w:r>
      <w:r>
        <w:rPr>
          <w:rStyle w:val="CharStyle46"/>
          <w:b/>
          <w:bCs/>
          <w:spacing w:val="2"/>
          <w:shd w:val="clear" w:color="auto" w:fill="000000"/>
        </w:rPr>
        <w:t>..........</w:t>
      </w:r>
      <w:r>
        <w:rPr>
          <w:rStyle w:val="CharStyle46"/>
          <w:shd w:val="clear" w:color="auto" w:fill="000000"/>
        </w:rPr>
        <w:t>​</w:t>
      </w:r>
      <w:r>
        <w:rPr>
          <w:rStyle w:val="CharStyle46"/>
          <w:spacing w:val="10"/>
          <w:shd w:val="clear" w:color="auto" w:fill="000000"/>
        </w:rPr>
        <w:t>.</w:t>
      </w:r>
      <w:r>
        <w:rPr>
          <w:rStyle w:val="CharStyle46"/>
          <w:spacing w:val="1"/>
          <w:shd w:val="clear" w:color="auto" w:fill="000000"/>
        </w:rPr>
        <w:t>.</w:t>
      </w:r>
      <w:r>
        <w:rPr>
          <w:rStyle w:val="CharStyle46"/>
          <w:spacing w:val="2"/>
          <w:shd w:val="clear" w:color="auto" w:fill="000000"/>
        </w:rPr>
        <w:t>.....</w:t>
      </w:r>
      <w:r>
        <w:rPr>
          <w:rStyle w:val="CharStyle46"/>
        </w:rPr>
        <w:t xml:space="preserve"> </w:t>
      </w:r>
      <w:r>
        <w:rPr>
          <w:rStyle w:val="CharStyle46"/>
          <w:shd w:val="clear" w:color="auto" w:fill="000000"/>
        </w:rPr>
        <w:t>​</w:t>
      </w:r>
      <w:r>
        <w:rPr>
          <w:rStyle w:val="CharStyle46"/>
          <w:spacing w:val="1"/>
          <w:shd w:val="clear" w:color="auto" w:fill="000000"/>
        </w:rPr>
        <w:t>..................</w:t>
      </w:r>
      <w:r>
        <w:rPr>
          <w:rStyle w:val="CharStyle46"/>
          <w:spacing w:val="2"/>
          <w:shd w:val="clear" w:color="auto" w:fill="000000"/>
        </w:rPr>
        <w:t>.......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center"/>
        <w:sectPr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1824" w:right="1575" w:bottom="2786" w:left="1575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rStyle w:val="CharStyle13"/>
          <w:b/>
          <w:bCs/>
        </w:rPr>
        <w:t>Jaroslav Lovecký</w:t>
        <w:br/>
      </w:r>
      <w:r>
        <w:rPr>
          <w:rStyle w:val="CharStyle13"/>
        </w:rPr>
        <w:t>jednatel</w:t>
        <w:br/>
        <w:t>za zhotovitele</w:t>
      </w:r>
    </w:p>
    <w:p>
      <w:pPr>
        <w:pStyle w:val="Style60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rStyle w:val="CharStyle61"/>
        </w:rPr>
        <w:t>Příloha č. 1</w:t>
      </w:r>
    </w:p>
    <w:p>
      <w:pPr>
        <w:pStyle w:val="Style6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r>
        <w:rPr>
          <w:rStyle w:val="CharStyle64"/>
        </w:rPr>
        <w:t>PASPORT PLOCH VZ ZNOJMO</w:t>
      </w:r>
      <w:bookmarkEnd w:id="10"/>
    </w:p>
    <w:tbl>
      <w:tblPr>
        <w:tblOverlap w:val="never"/>
        <w:jc w:val="center"/>
        <w:tblLayout w:type="fixed"/>
      </w:tblPr>
      <w:tblGrid>
        <w:gridCol w:w="720"/>
        <w:gridCol w:w="874"/>
        <w:gridCol w:w="2990"/>
        <w:gridCol w:w="816"/>
        <w:gridCol w:w="1906"/>
        <w:gridCol w:w="653"/>
        <w:gridCol w:w="379"/>
        <w:gridCol w:w="514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Podlaží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Číslo místností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Plocha v m</w:t>
            </w: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Druh podlahové krytiny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čistící zóna-koberec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Četnost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Denní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Po-Ne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74 1010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ZÁDVEŘÍ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7,59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ŠATNA - ÚKLID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5,78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12,82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terazzová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9,75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MÍSTNOST PRO VÝZVU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21,85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SKLAD ČISTÉHO PRÁDLA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POSILOVNA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14,51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SOCIÁLNÍ ZÁZEMÍ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4,32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 KABINA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GARÁŽ ZÁSAHOVÝCH A ZÁLOŽNÍCH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VOZIDEL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187,29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leštěný beton se vsypem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SKLAD ZDRAVOTNICKÉHO MATERIÁLU A LÉČIV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19,87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epoxidová stěrka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DENNÍ SKLAD ZDRAVOTNICKÉHO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epoxidová stěrka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epoxidová stěrka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SKLAD PNEUMATIK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5,57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epoxidová stěrka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STÁNÍ-VOZÍK PRO MIMOŘÁDNÉ UDÁLOSTI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leštěný beton se vsypem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DEZINFEKČNÍ BOX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53,19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 protiskluzná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ÚKLID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SKLAD KONTAMINOVANÉHO PRÁDLA A INFEKČNÍHO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11,76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epoxidová stěrka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SKLAD KYSLÍKU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epoxidová stěrka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ROZVODNA NN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6,77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epoxidová stěrka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NÁHRADNÍ ZDROJ - 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13,81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epoxidová stěrka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74 1210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ODPADY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epoxidová stěrka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SCHODIŠTĚ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schodovky terazzo, podesta: dlažba terazzo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RESPIRIUM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33,93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terazzová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ŠKOLICÍ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podlaha antist.zdvojená podlaha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JEDNACÍ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68,13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podlaha antist. zdvojená podlaha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DENNÍ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44,92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49,43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PROTOKOL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16,37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ZDRAVOTNÍCI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ZDRAVOTNÍCI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ZDRAVOTNÍCI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VRCHNÍ SESTRA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LÉKAŘ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VEDUCÍ LÉKAŘ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POBYTOVÁ MÍSTNOST STÁŽISTŮ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22,56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ŠATNA MUŽI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UMÝVÁRNA MUŽI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8,29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 KABINA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 - MUŽI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PISOÁR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 KABINA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864"/>
        <w:gridCol w:w="2986"/>
        <w:gridCol w:w="811"/>
        <w:gridCol w:w="1901"/>
        <w:gridCol w:w="653"/>
        <w:gridCol w:w="379"/>
        <w:gridCol w:w="509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 - ŽENY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 KABINA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ŠATNA ŽENY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UMÝVÁRNA ŽENY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4,85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 KABINA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PŘEDSÍŇ DATOVÉHO CENTRA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5,83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antist. 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DATOVÉ CENTRUM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24,79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podlaha antist.zdvojená podlaha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PROVOZNÍ TECHNIK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16,71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ÚKLID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 - ŽENY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5,57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 KABINA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 KABINA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 - MUŽI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PISOÁR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74 2262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 KABINA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SCHODIŠTĚ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schodovky terazzo, podesta: dlažba terazzo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4,59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terazzo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SPISOVNA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12,49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kaučuková podlahovina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TECHNICKÁ MÍSTNOST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4,33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epoxidová stěrka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74 3050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TECHNICKÁ MÍSTNOST - VZT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epoxidová stěrka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74 3060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TECHNICKÁ MÍSTNOST - 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epoxidová stěrka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74 3070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TERASA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23,25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dřevěná podlaha: massaranduba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</w:tr>
      <w:tr>
        <w:trPr>
          <w:trHeight w:val="389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Celková plocha úklidu výjezdové základny Znojmo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1090,22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839" w:line="1" w:lineRule="exact"/>
      </w:pPr>
    </w:p>
    <w:p>
      <w:pPr>
        <w:pStyle w:val="Style6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r>
        <w:rPr>
          <w:rStyle w:val="CharStyle64"/>
        </w:rPr>
        <w:t>PASPORT PLOCH VZ HRUŠOVANY NAD JEVIŠOVKOU</w:t>
      </w:r>
      <w:bookmarkEnd w:id="12"/>
    </w:p>
    <w:tbl>
      <w:tblPr>
        <w:tblOverlap w:val="never"/>
        <w:jc w:val="center"/>
        <w:tblLayout w:type="fixed"/>
      </w:tblPr>
      <w:tblGrid>
        <w:gridCol w:w="720"/>
        <w:gridCol w:w="869"/>
        <w:gridCol w:w="2981"/>
        <w:gridCol w:w="811"/>
        <w:gridCol w:w="1886"/>
        <w:gridCol w:w="653"/>
        <w:gridCol w:w="389"/>
        <w:gridCol w:w="528"/>
      </w:tblGrid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Podlaží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Číslo místností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Plocha v m2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Druh podlahové krytiny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PVC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Četnost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Denní Po-Ne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180" w:firstLine="0"/>
              <w:jc w:val="righ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72 2010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CHODBA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43,00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72 2020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SKLAD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PVC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72 2030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LÉKAŘI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koberec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72 2040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ZÁCHRANÁŘI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koberec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72 2050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KUCHYŇKA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PVC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72 2060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SKLAD, SUŠÁRNA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PVC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72 2061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SPRCHA, WC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72 2070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ŘIDIČI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11,20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koberec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72 2061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WC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72 2090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ŠATNA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21,20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l.NP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72 2080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GARÁŽ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39,40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sz w:val="16"/>
                <w:szCs w:val="16"/>
              </w:rPr>
              <w:t>keramická dlažba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Celková plocha k úklidu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16"/>
                <w:rFonts w:ascii="Calibri" w:eastAsia="Calibri" w:hAnsi="Calibri" w:cs="Calibri"/>
                <w:b/>
                <w:bCs/>
                <w:sz w:val="16"/>
                <w:szCs w:val="16"/>
              </w:rPr>
              <w:t>197,35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519" w:line="1" w:lineRule="exact"/>
      </w:pP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46"/>
        </w:rPr>
        <w:t>Příloha č. 2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  <w:rPr>
          <w:sz w:val="20"/>
          <w:szCs w:val="20"/>
        </w:rPr>
      </w:pPr>
      <w:bookmarkStart w:id="14" w:name="bookmark14"/>
      <w:r>
        <w:rPr>
          <w:rStyle w:val="CharStyle23"/>
          <w:rFonts w:ascii="Arial" w:eastAsia="Arial" w:hAnsi="Arial" w:cs="Arial"/>
          <w:b/>
          <w:bCs/>
          <w:sz w:val="20"/>
          <w:szCs w:val="20"/>
          <w:u w:val="single"/>
        </w:rPr>
        <w:t>TECHNICKÁ SPECIFIKACE</w:t>
      </w:r>
      <w:bookmarkEnd w:id="14"/>
      <w:r>
        <w:br w:type="page"/>
      </w:r>
    </w:p>
    <w:p>
      <w:pPr>
        <w:pStyle w:val="Style6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rStyle w:val="CharStyle61"/>
          <w:b/>
          <w:bCs/>
        </w:rPr>
        <w:t>VÝJEZDOVÉ ZÁKLADNY ZNOJMO</w:t>
      </w:r>
    </w:p>
    <w:tbl>
      <w:tblPr>
        <w:tblOverlap w:val="never"/>
        <w:jc w:val="center"/>
        <w:tblLayout w:type="fixed"/>
      </w:tblPr>
      <w:tblGrid>
        <w:gridCol w:w="2194"/>
        <w:gridCol w:w="6576"/>
      </w:tblGrid>
      <w:tr>
        <w:trPr>
          <w:trHeight w:val="40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6"/>
                <w:b/>
                <w:bCs/>
                <w:sz w:val="19"/>
                <w:szCs w:val="19"/>
              </w:rPr>
              <w:t>Denní úklid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6"/>
                <w:i/>
                <w:iCs/>
                <w:sz w:val="17"/>
                <w:szCs w:val="17"/>
              </w:rPr>
              <w:t>(práce budou prováděny jednou během dne)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6"/>
              </w:rPr>
              <w:t>• denní úklid podlah NORA - přírodní kaučuk: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674" w:val="left"/>
              </w:tabs>
              <w:bidi w:val="0"/>
              <w:spacing w:before="0" w:after="0" w:line="276" w:lineRule="auto"/>
              <w:ind w:left="0" w:right="0" w:firstLine="400"/>
              <w:jc w:val="left"/>
            </w:pPr>
            <w:r>
              <w:rPr>
                <w:rStyle w:val="CharStyle16"/>
              </w:rPr>
              <w:t>kanceláře a pobytové místnosti - mopem s dvojkbelíkem,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694" w:val="left"/>
              </w:tabs>
              <w:bidi w:val="0"/>
              <w:spacing w:before="0" w:after="0" w:line="276" w:lineRule="auto"/>
              <w:ind w:left="660" w:right="0" w:hanging="240"/>
              <w:jc w:val="left"/>
            </w:pPr>
            <w:r>
              <w:rPr>
                <w:rStyle w:val="CharStyle16"/>
              </w:rPr>
              <w:t>chodby 2.NP a větší prostory - strojní čištění s použitím jemného kartáče nebo červeného pádu a předepsaných čisticích prostředků (taski tensol a taski forward). Lze použít srovnatelnou alternativu od jiného výrobce.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97" w:val="left"/>
              </w:tabs>
              <w:bidi w:val="0"/>
              <w:spacing w:before="0" w:after="0" w:line="276" w:lineRule="auto"/>
              <w:ind w:left="260" w:right="0" w:hanging="260"/>
              <w:jc w:val="left"/>
            </w:pPr>
            <w:r>
              <w:rPr>
                <w:rStyle w:val="CharStyle16"/>
              </w:rPr>
              <w:t>denní úklid podlah TERAZZO (chodba v 1 .NP), keramické dlažby (dezinfekční box) a podlahy v garáži - čištění jednokotoučovým strojem,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97" w:val="left"/>
              </w:tabs>
              <w:bidi w:val="0"/>
              <w:spacing w:before="0" w:after="0" w:line="276" w:lineRule="auto"/>
              <w:ind w:left="260" w:right="0" w:hanging="260"/>
              <w:jc w:val="left"/>
            </w:pPr>
            <w:r>
              <w:rPr>
                <w:rStyle w:val="CharStyle16"/>
              </w:rPr>
              <w:t>čištění desky kuchyňské linky a dřezu, baterie, ohmaty na dvířkách kuchyňské linky,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97" w:val="left"/>
              </w:tabs>
              <w:bidi w:val="0"/>
              <w:spacing w:before="0" w:after="0" w:line="276" w:lineRule="auto"/>
              <w:ind w:left="260" w:right="0" w:hanging="260"/>
              <w:jc w:val="left"/>
            </w:pPr>
            <w:r>
              <w:rPr>
                <w:rStyle w:val="CharStyle16"/>
              </w:rPr>
              <w:t xml:space="preserve">doplňování zásobníků toaletního papíru, ručníků, mýdla dle potřeby </w:t>
            </w:r>
            <w:r>
              <w:rPr>
                <w:rStyle w:val="CharStyle16"/>
                <w:u w:val="single"/>
              </w:rPr>
              <w:t>(náplně dodá objednavateli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97" w:val="left"/>
              </w:tabs>
              <w:bidi w:val="0"/>
              <w:spacing w:before="0" w:after="0" w:line="276" w:lineRule="auto"/>
              <w:ind w:left="260" w:right="0" w:hanging="260"/>
              <w:jc w:val="left"/>
            </w:pPr>
            <w:r>
              <w:rPr>
                <w:rStyle w:val="CharStyle16"/>
              </w:rPr>
              <w:t>čištění a desinfekce umyvadel, mís WC, pisoárů, sprchových koutů, odstraňování vodního kamene, čištění vodovodních baterií, čištění keramických obkladů kolem umyvadel, okolo zásobníků, čištění zrcadel,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9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6"/>
              </w:rPr>
              <w:t>úklid venkovních prostor areálu ZZS - sbírání papírů a jiných odpadků,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9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6"/>
              </w:rPr>
              <w:t>vynášení odpadkových košů, třídění odpadů.</w:t>
            </w:r>
          </w:p>
        </w:tc>
      </w:tr>
      <w:tr>
        <w:trPr>
          <w:trHeight w:val="16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6"/>
                <w:b/>
                <w:bCs/>
                <w:sz w:val="19"/>
                <w:szCs w:val="19"/>
              </w:rPr>
              <w:t>Týdenní úklid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6"/>
                <w:i/>
                <w:iCs/>
                <w:sz w:val="17"/>
                <w:szCs w:val="17"/>
              </w:rPr>
              <w:t>(práce budou provedeny vždy jednou během pracovního týdne)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6"/>
              </w:rPr>
              <w:t>otření prachu polic ve skladovacích místnostech,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6"/>
              </w:rPr>
              <w:t>prosklených příček (zábradlí), prosklených dveří a plných dveří,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6"/>
              </w:rPr>
              <w:t>důkladné umytí keramických obkladů,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6"/>
              </w:rPr>
              <w:t>otření vypínačů, zásobníků, znečistění okolo klik dveří a dvířek skříní,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76" w:lineRule="auto"/>
              <w:ind w:left="260" w:right="0" w:hanging="260"/>
              <w:jc w:val="both"/>
            </w:pPr>
            <w:r>
              <w:rPr>
                <w:rStyle w:val="CharStyle16"/>
              </w:rPr>
              <w:t>otření vodorovných ploch a parapetů u okna do 150 cm neobložených ploch nebo ploch po vyklizení.</w:t>
            </w:r>
          </w:p>
        </w:tc>
      </w:tr>
      <w:tr>
        <w:trPr>
          <w:trHeight w:val="45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6"/>
                <w:b/>
                <w:bCs/>
                <w:sz w:val="19"/>
                <w:szCs w:val="19"/>
              </w:rPr>
              <w:t xml:space="preserve">Měsíční úklid </w:t>
            </w:r>
            <w:r>
              <w:rPr>
                <w:rStyle w:val="CharStyle16"/>
                <w:i/>
                <w:iCs/>
                <w:sz w:val="17"/>
                <w:szCs w:val="17"/>
              </w:rPr>
              <w:t>(práce budou prováděny vždy jednou během kalendářního měsíce ve lhůtě nejpozději do konce tohoto kalendářního měsíce)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83" w:lineRule="auto"/>
              <w:ind w:left="260" w:right="0" w:hanging="260"/>
              <w:jc w:val="both"/>
            </w:pPr>
            <w:r>
              <w:rPr>
                <w:rStyle w:val="CharStyle16"/>
              </w:rPr>
              <w:t>mytí keramických obkladů, prosklených příček a zábradlí, plných dveří, zárubní, umytí svislých ploch (nábytku), odpadkových košů,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83" w:lineRule="auto"/>
              <w:ind w:left="260" w:right="0" w:hanging="260"/>
              <w:jc w:val="both"/>
            </w:pPr>
            <w:r>
              <w:rPr>
                <w:rStyle w:val="CharStyle16"/>
              </w:rPr>
              <w:t>otírání radiátorů, nástěnek, stojanů, hasicích přístrojů, hodin, židlí a křesel, zábradlí na schodištích, hůře dostupná místa nad 150 cm (skříně, parapety, šatní skříňky, skříňky na obuv), otření bloků opěrných pro vozidla ve výjezdové garáži,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83" w:lineRule="auto"/>
              <w:ind w:left="260" w:right="0" w:hanging="260"/>
              <w:jc w:val="left"/>
            </w:pPr>
            <w:r>
              <w:rPr>
                <w:rStyle w:val="CharStyle16"/>
              </w:rPr>
              <w:t>čištění nerezových ploch (vybavení soc. zařízení apod.) - speciálními prostředky na nerezové materiály,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rStyle w:val="CharStyle16"/>
              </w:rPr>
              <w:t>smýčení pavučin,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rStyle w:val="CharStyle16"/>
              </w:rPr>
              <w:t>vysávání čalouněného nábytku,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83" w:lineRule="auto"/>
              <w:ind w:left="260" w:right="0" w:hanging="260"/>
              <w:jc w:val="left"/>
            </w:pPr>
            <w:r>
              <w:rPr>
                <w:rStyle w:val="CharStyle16"/>
              </w:rPr>
              <w:t>úklid + plošná dezinfekce chladicího boxu na zdravotnický odpad, včetně stěn,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83" w:lineRule="auto"/>
              <w:ind w:left="260" w:right="0" w:hanging="260"/>
              <w:jc w:val="left"/>
            </w:pPr>
            <w:r>
              <w:rPr>
                <w:rStyle w:val="CharStyle16"/>
              </w:rPr>
              <w:t>důkladné očistění + dezinfekce stěn (cca 84 m</w:t>
            </w:r>
            <w:r>
              <w:rPr>
                <w:rStyle w:val="CharStyle16"/>
                <w:vertAlign w:val="superscript"/>
              </w:rPr>
              <w:t>2</w:t>
            </w:r>
            <w:r>
              <w:rPr>
                <w:rStyle w:val="CharStyle16"/>
              </w:rPr>
              <w:t>) a podlahy (cca 49 m</w:t>
            </w:r>
            <w:r>
              <w:rPr>
                <w:rStyle w:val="CharStyle16"/>
                <w:vertAlign w:val="superscript"/>
              </w:rPr>
              <w:t>2</w:t>
            </w:r>
            <w:r>
              <w:rPr>
                <w:rStyle w:val="CharStyle16"/>
              </w:rPr>
              <w:t>) dezinfekčního boxu,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83" w:lineRule="auto"/>
              <w:ind w:left="260" w:right="0" w:hanging="260"/>
              <w:jc w:val="left"/>
            </w:pPr>
            <w:r>
              <w:rPr>
                <w:rStyle w:val="CharStyle16"/>
              </w:rPr>
              <w:t>příprava a předání nebezpečného odpadu na odvoz,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83" w:lineRule="auto"/>
              <w:ind w:left="260" w:right="0" w:hanging="260"/>
              <w:jc w:val="left"/>
            </w:pPr>
            <w:r>
              <w:rPr>
                <w:rStyle w:val="CharStyle16"/>
              </w:rPr>
              <w:t>důkladné mytí celých ploch skříněk kuchyňské linky, mytí zařízení v kuchyňkách, chladících zařízení a mikrovlnné trouby,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rStyle w:val="CharStyle16"/>
              </w:rPr>
              <w:t>úklid terasy (cca 23 m</w:t>
            </w:r>
            <w:r>
              <w:rPr>
                <w:rStyle w:val="CharStyle16"/>
                <w:vertAlign w:val="superscript"/>
              </w:rPr>
              <w:t>2</w:t>
            </w:r>
            <w:r>
              <w:rPr>
                <w:rStyle w:val="CharStyle16"/>
              </w:rPr>
              <w:t>) mytím vodou s přídavkem Osmo Wisch Fixem.</w:t>
            </w:r>
          </w:p>
        </w:tc>
      </w:tr>
      <w:tr>
        <w:trPr>
          <w:trHeight w:val="3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6"/>
                <w:b/>
                <w:bCs/>
                <w:sz w:val="19"/>
                <w:szCs w:val="19"/>
              </w:rPr>
              <w:t>Půlroční úklid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6"/>
                <w:i/>
                <w:iCs/>
                <w:sz w:val="17"/>
                <w:szCs w:val="17"/>
              </w:rPr>
              <w:t>(práce budou provedeny vždy jednou během pololetí kalendářního roku ve lhůtě do konce tohoto pololetí kalendářního roku)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6"/>
              </w:rPr>
              <w:t>mytí oken, rámů a prosklených ploch nad dveřmi: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780" w:right="0" w:firstLine="0"/>
              <w:jc w:val="left"/>
            </w:pPr>
            <w:r>
              <w:rPr>
                <w:rStyle w:val="CharStyle16"/>
              </w:rPr>
              <w:t>celková plocha mytí oken cca 255,84 m</w:t>
            </w:r>
            <w:r>
              <w:rPr>
                <w:rStyle w:val="CharStyle16"/>
                <w:vertAlign w:val="superscript"/>
              </w:rPr>
              <w:t>2</w:t>
            </w:r>
            <w:r>
              <w:rPr>
                <w:rStyle w:val="CharStyle16"/>
              </w:rPr>
              <w:t xml:space="preserve"> (oboustranně), z toho plocha mytí oken ve výškách cca 138,35 m</w:t>
            </w:r>
            <w:r>
              <w:rPr>
                <w:rStyle w:val="CharStyle16"/>
                <w:vertAlign w:val="superscript"/>
              </w:rPr>
              <w:t>2</w:t>
            </w:r>
            <w:r>
              <w:rPr>
                <w:rStyle w:val="CharStyle16"/>
              </w:rPr>
              <w:t xml:space="preserve"> (oboustranně),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76" w:lineRule="auto"/>
              <w:ind w:left="260" w:right="0" w:hanging="260"/>
              <w:jc w:val="left"/>
            </w:pPr>
            <w:r>
              <w:rPr>
                <w:rStyle w:val="CharStyle16"/>
              </w:rPr>
              <w:t>mytí venkovních žaluzií a venkovních protidešťových horizontálních žaluzií (cca 69 m</w:t>
            </w:r>
            <w:r>
              <w:rPr>
                <w:rStyle w:val="CharStyle16"/>
                <w:vertAlign w:val="superscript"/>
              </w:rPr>
              <w:t>2</w:t>
            </w:r>
            <w:r>
              <w:rPr>
                <w:rStyle w:val="CharStyle16"/>
              </w:rPr>
              <w:t>),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76" w:lineRule="auto"/>
              <w:ind w:left="260" w:right="0" w:hanging="260"/>
              <w:jc w:val="left"/>
            </w:pPr>
            <w:r>
              <w:rPr>
                <w:rStyle w:val="CharStyle16"/>
              </w:rPr>
              <w:t>čištění vnějšího krytu osvětlení (ve spolupráci s technikem ÚO),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76" w:lineRule="auto"/>
              <w:ind w:left="260" w:right="0" w:hanging="260"/>
              <w:jc w:val="left"/>
            </w:pPr>
            <w:r>
              <w:rPr>
                <w:rStyle w:val="CharStyle16"/>
              </w:rPr>
              <w:t>čištění válend (vysátí matrací, vytření úložného prostoru) - 10 ks,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76" w:lineRule="auto"/>
              <w:ind w:left="260" w:right="0" w:hanging="260"/>
              <w:jc w:val="left"/>
            </w:pPr>
            <w:r>
              <w:rPr>
                <w:rStyle w:val="CharStyle16"/>
              </w:rPr>
              <w:t>mytí rohoží (čistících zón) šamponem a teplou vodou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6"/>
              </w:rPr>
              <w:t>čištění čalouněného nábytku strojně: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674" w:val="left"/>
              </w:tabs>
              <w:bidi w:val="0"/>
              <w:spacing w:before="0" w:after="0" w:line="276" w:lineRule="auto"/>
              <w:ind w:left="0" w:right="0" w:firstLine="400"/>
              <w:jc w:val="left"/>
            </w:pPr>
            <w:r>
              <w:rPr>
                <w:rStyle w:val="CharStyle16"/>
              </w:rPr>
              <w:t>2 ks pohovky,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674" w:val="left"/>
              </w:tabs>
              <w:bidi w:val="0"/>
              <w:spacing w:before="0" w:after="0" w:line="276" w:lineRule="auto"/>
              <w:ind w:left="0" w:right="0" w:firstLine="400"/>
              <w:jc w:val="left"/>
            </w:pPr>
            <w:r>
              <w:rPr>
                <w:rStyle w:val="CharStyle16"/>
              </w:rPr>
              <w:t>2 ks křesla čalouněná,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674" w:val="left"/>
              </w:tabs>
              <w:bidi w:val="0"/>
              <w:spacing w:before="0" w:after="0" w:line="276" w:lineRule="auto"/>
              <w:ind w:left="0" w:right="0" w:firstLine="400"/>
              <w:jc w:val="left"/>
            </w:pPr>
            <w:r>
              <w:rPr>
                <w:rStyle w:val="CharStyle16"/>
              </w:rPr>
              <w:t>11 ks kancelářských židlí.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60" w:right="0" w:hanging="260"/>
              <w:jc w:val="both"/>
            </w:pPr>
            <w:r>
              <w:rPr>
                <w:rStyle w:val="CharStyle16"/>
              </w:rPr>
              <w:t>• speciální mytí zdvojených podlah (cca 126 m</w:t>
            </w:r>
            <w:r>
              <w:rPr>
                <w:rStyle w:val="CharStyle16"/>
                <w:vertAlign w:val="superscript"/>
              </w:rPr>
              <w:t>2</w:t>
            </w:r>
            <w:r>
              <w:rPr>
                <w:rStyle w:val="CharStyle16"/>
              </w:rPr>
              <w:t>) - jemnou mlhou ruční nanesení doporučeného přípravku na podlahy Nora (proti zatečení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174"/>
        <w:gridCol w:w="6542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16"/>
              </w:rPr>
              <w:t>kabeláže), poté jednokotoučovým strojem čištění.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  <w:i/>
                <w:iCs/>
                <w:sz w:val="18"/>
                <w:szCs w:val="18"/>
              </w:rPr>
              <w:t>Roční úklid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6"/>
                <w:i/>
                <w:iCs/>
                <w:sz w:val="17"/>
                <w:szCs w:val="17"/>
              </w:rPr>
              <w:t>(práce budou prováděny vždy jednou během kalendářního roku)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• přebroušení podlahy Terazzo.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6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rStyle w:val="CharStyle61"/>
          <w:b/>
          <w:bCs/>
          <w:u w:val="single"/>
        </w:rPr>
        <w:t>TECHNICKÁ SPECIFIKACE</w:t>
      </w:r>
    </w:p>
    <w:p>
      <w:pPr>
        <w:pStyle w:val="Style6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rStyle w:val="CharStyle61"/>
          <w:b/>
          <w:bCs/>
        </w:rPr>
        <w:t>VÝJEZDOVÉ ZÁKLADNY HRUŠOVANY NAD JEVIŠOVKOU</w:t>
      </w:r>
    </w:p>
    <w:tbl>
      <w:tblPr>
        <w:tblOverlap w:val="never"/>
        <w:jc w:val="center"/>
        <w:tblLayout w:type="fixed"/>
      </w:tblPr>
      <w:tblGrid>
        <w:gridCol w:w="2174"/>
        <w:gridCol w:w="6552"/>
      </w:tblGrid>
      <w:tr>
        <w:trPr>
          <w:trHeight w:val="27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6"/>
                <w:b/>
                <w:bCs/>
                <w:sz w:val="19"/>
                <w:szCs w:val="19"/>
              </w:rPr>
              <w:t>Denní úklid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6"/>
                <w:i/>
                <w:iCs/>
                <w:sz w:val="17"/>
                <w:szCs w:val="17"/>
              </w:rPr>
              <w:t>(práce budou prováděny jednou během dne)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400" w:right="0" w:hanging="260"/>
              <w:jc w:val="both"/>
            </w:pPr>
            <w:r>
              <w:rPr>
                <w:rStyle w:val="CharStyle16"/>
              </w:rPr>
              <w:t>mytí podlah kanceláří, chodeb a pobytových místností - mopem s dvojkbelíkem,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rStyle w:val="CharStyle16"/>
              </w:rPr>
              <w:t>čištění baterie, ohmaty na dvířkách kuchyňské linky,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400" w:right="0" w:hanging="260"/>
              <w:jc w:val="both"/>
            </w:pPr>
            <w:r>
              <w:rPr>
                <w:rStyle w:val="CharStyle16"/>
              </w:rPr>
              <w:t>otření vodorovných ploch a parapetů u okna do 150cm neobložených ploch nebo ploch po vyklizení,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400" w:right="0" w:hanging="260"/>
              <w:jc w:val="both"/>
            </w:pPr>
            <w:r>
              <w:rPr>
                <w:rStyle w:val="CharStyle16"/>
              </w:rPr>
              <w:t xml:space="preserve">doplňování zásobníků toaletního papíru, ručníků, mýdla dle potřeby </w:t>
            </w:r>
            <w:r>
              <w:rPr>
                <w:rStyle w:val="CharStyle16"/>
                <w:u w:val="single"/>
              </w:rPr>
              <w:t>(náplně dodá objednavatel)</w:t>
            </w:r>
            <w:r>
              <w:rPr>
                <w:rStyle w:val="CharStyle16"/>
              </w:rPr>
              <w:t>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400" w:right="0" w:hanging="260"/>
              <w:jc w:val="both"/>
            </w:pPr>
            <w:r>
              <w:rPr>
                <w:rStyle w:val="CharStyle16"/>
              </w:rPr>
              <w:t>čištění a desinfekce umyvadel, mís WC, pisoárů, sprchových koutů, odstraňování vodního kamene, čištění vodovodních baterií, keramických obkladů kolem umyvadel, okolo zásobníků, čištění zrcadel,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rStyle w:val="CharStyle16"/>
              </w:rPr>
              <w:t>vynášení odpadkových košů, třídění odpadů.</w:t>
            </w:r>
          </w:p>
        </w:tc>
      </w:tr>
      <w:tr>
        <w:trPr>
          <w:trHeight w:val="19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6"/>
                <w:b/>
                <w:bCs/>
                <w:sz w:val="19"/>
                <w:szCs w:val="19"/>
              </w:rPr>
              <w:t>Týdenní úklid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6"/>
                <w:i/>
                <w:iCs/>
                <w:sz w:val="17"/>
                <w:szCs w:val="17"/>
              </w:rPr>
              <w:t>(práce budou provedeny vždy jednou během pracovního týdne)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28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rStyle w:val="CharStyle16"/>
              </w:rPr>
              <w:t>mytí prosklených dveří a plných dveří,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28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rStyle w:val="CharStyle16"/>
              </w:rPr>
              <w:t>otření prachu polic ve skladovacích místnostech,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28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rStyle w:val="CharStyle16"/>
              </w:rPr>
              <w:t>důkladné umytí keramických obkladů - sprcha, WC,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28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rStyle w:val="CharStyle16"/>
              </w:rPr>
              <w:t>otření vypínačů, zásobníků, znečistění okolo klik dveří a dvířek skříní,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28" w:val="left"/>
              </w:tabs>
              <w:bidi w:val="0"/>
              <w:spacing w:before="0" w:after="0" w:line="276" w:lineRule="auto"/>
              <w:ind w:left="400" w:right="0" w:hanging="260"/>
              <w:jc w:val="both"/>
            </w:pPr>
            <w:r>
              <w:rPr>
                <w:rStyle w:val="CharStyle16"/>
              </w:rPr>
              <w:t>otření vodorovných ploch a parapetů u okna do 150cm neobložených ploch nebo ploch po vyklizení.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28" w:val="left"/>
              </w:tabs>
              <w:bidi w:val="0"/>
              <w:spacing w:before="0" w:after="0" w:line="276" w:lineRule="auto"/>
              <w:ind w:left="400" w:right="0" w:hanging="260"/>
              <w:jc w:val="both"/>
            </w:pPr>
            <w:r>
              <w:rPr>
                <w:rStyle w:val="CharStyle16"/>
              </w:rPr>
              <w:t>kartáčování a následně vytření podlahy garáže, setření prachu na skříni, botníku a otření kachliček v mycím prostoru garáže.</w:t>
            </w:r>
          </w:p>
        </w:tc>
      </w:tr>
      <w:tr>
        <w:trPr>
          <w:trHeight w:val="28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6"/>
                <w:b/>
                <w:bCs/>
                <w:sz w:val="19"/>
                <w:szCs w:val="19"/>
              </w:rPr>
              <w:t xml:space="preserve">Měsíční úklid </w:t>
            </w:r>
            <w:r>
              <w:rPr>
                <w:rStyle w:val="CharStyle16"/>
                <w:i/>
                <w:iCs/>
                <w:sz w:val="17"/>
                <w:szCs w:val="17"/>
              </w:rPr>
              <w:t>(práce budou prováděny vždy jednou během kalendářního měsíce ve lhůtě nejpozději do konce tohoto kalendářního měsíce)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400" w:right="0" w:hanging="260"/>
              <w:jc w:val="both"/>
            </w:pPr>
            <w:r>
              <w:rPr>
                <w:rStyle w:val="CharStyle16"/>
              </w:rPr>
              <w:t>mytí prosklených příček a zábradlí, plných dveří, zárubní, umytí svislých ploch (nábytku), odpadkových košů,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400" w:right="0" w:hanging="260"/>
              <w:jc w:val="both"/>
            </w:pPr>
            <w:r>
              <w:rPr>
                <w:rStyle w:val="CharStyle16"/>
              </w:rPr>
              <w:t>otírání radiátorů, nástěnek, stojanů, hasicích přístrojů, hodin, židlí a křesel, hůře dostupná místa nad 150 cm (skříně, parapety, šatní skříňky, skříňky na obuv),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rStyle w:val="CharStyle16"/>
              </w:rPr>
              <w:t>smýčení pavučin,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rStyle w:val="CharStyle16"/>
              </w:rPr>
              <w:t>vysávání čalouněného nábytku,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rStyle w:val="CharStyle16"/>
              </w:rPr>
              <w:t>vysátí pod úložným prostorem postelí,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400" w:right="0" w:hanging="260"/>
              <w:jc w:val="both"/>
            </w:pPr>
            <w:r>
              <w:rPr>
                <w:rStyle w:val="CharStyle16"/>
              </w:rPr>
              <w:t>důkladné mytí celých ploch skříněk kuchyňské linky, mytí zařízení v kuchyňkách, chladících zařízení a mikrovlnné trouby,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423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rStyle w:val="CharStyle16"/>
              </w:rPr>
              <w:t>příprava a předání nebezpečného odpadu na odvoz.</w:t>
            </w:r>
          </w:p>
        </w:tc>
      </w:tr>
      <w:tr>
        <w:trPr>
          <w:trHeight w:val="21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16"/>
                <w:b/>
                <w:bCs/>
                <w:sz w:val="19"/>
                <w:szCs w:val="19"/>
              </w:rPr>
              <w:t>Půlroční úklid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6"/>
                <w:i/>
                <w:iCs/>
                <w:sz w:val="17"/>
                <w:szCs w:val="17"/>
              </w:rPr>
              <w:t>(práce budou provedeny vždy jednou během pololetí kalendářního roku ve lhůtě do konce tohoto pololetí kalendářního roku)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206" w:val="left"/>
              </w:tabs>
              <w:bidi w:val="0"/>
              <w:spacing w:before="0" w:after="0" w:line="276" w:lineRule="auto"/>
              <w:ind w:left="280" w:right="0" w:hanging="280"/>
              <w:jc w:val="both"/>
            </w:pPr>
            <w:r>
              <w:rPr>
                <w:rStyle w:val="CharStyle16"/>
              </w:rPr>
              <w:t>mytí oken, rámů a prosklených ploch nad dveřmi s plochou mytí cca 37,90 m</w:t>
            </w:r>
            <w:r>
              <w:rPr>
                <w:rStyle w:val="CharStyle16"/>
                <w:vertAlign w:val="superscript"/>
              </w:rPr>
              <w:t>2</w:t>
            </w:r>
            <w:r>
              <w:rPr>
                <w:rStyle w:val="CharStyle16"/>
              </w:rPr>
              <w:t xml:space="preserve"> (oboustranně),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206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6"/>
              </w:rPr>
              <w:t>mytí sekčních vrat s plochou vrat k mytí cca 20,5 m</w:t>
            </w:r>
            <w:r>
              <w:rPr>
                <w:rStyle w:val="CharStyle16"/>
                <w:vertAlign w:val="superscript"/>
              </w:rPr>
              <w:t>2</w:t>
            </w:r>
            <w:r>
              <w:rPr>
                <w:rStyle w:val="CharStyle16"/>
              </w:rPr>
              <w:t>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206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6"/>
              </w:rPr>
              <w:t>čištění válend - vysátí matrací, vytření úložného prostoru - 3 ks,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206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16"/>
              </w:rPr>
              <w:t>čištění čalouněného nábytku strojně: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688" w:val="left"/>
              </w:tabs>
              <w:bidi w:val="0"/>
              <w:spacing w:before="0" w:after="0" w:line="276" w:lineRule="auto"/>
              <w:ind w:left="0" w:right="0" w:firstLine="400"/>
              <w:jc w:val="both"/>
            </w:pPr>
            <w:r>
              <w:rPr>
                <w:rStyle w:val="CharStyle16"/>
              </w:rPr>
              <w:t>1 ks sedací souprava,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688" w:val="left"/>
              </w:tabs>
              <w:bidi w:val="0"/>
              <w:spacing w:before="0" w:after="0" w:line="276" w:lineRule="auto"/>
              <w:ind w:left="0" w:right="0" w:firstLine="400"/>
              <w:jc w:val="both"/>
            </w:pPr>
            <w:r>
              <w:rPr>
                <w:rStyle w:val="CharStyle16"/>
              </w:rPr>
              <w:t>2 ks křesla čalouněná,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688" w:val="left"/>
              </w:tabs>
              <w:bidi w:val="0"/>
              <w:spacing w:before="0" w:after="0" w:line="276" w:lineRule="auto"/>
              <w:ind w:left="0" w:right="0" w:firstLine="400"/>
              <w:jc w:val="both"/>
            </w:pPr>
            <w:r>
              <w:rPr>
                <w:rStyle w:val="CharStyle16"/>
              </w:rPr>
              <w:t>4 ks kancelářských židlí.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left"/>
      </w:pPr>
      <w:r>
        <w:rPr>
          <w:rStyle w:val="CharStyle46"/>
          <w:i/>
          <w:iCs/>
          <w:u w:val="single"/>
        </w:rPr>
        <w:t>Poznámka</w:t>
      </w:r>
      <w:r>
        <w:rPr>
          <w:rStyle w:val="CharStyle46"/>
          <w:i/>
          <w:iCs/>
        </w:rPr>
        <w:t>: úklid se netýká kancelářské techniky, počítačů, tiskáren a telefonů. Součástí plnění nejsou dodávky náplní do zásobníků, ale pouze jejich doplňování. Dodávky a používání úklidové chemie a technického a materiálového zabezpečení (kbelík, mop a další vybaveni nezbytné pro zajištění úklidu) zajišťuje zhotov</w:t>
      </w:r>
    </w:p>
    <w:sectPr>
      <w:footnotePr>
        <w:pos w:val="pageBottom"/>
        <w:numFmt w:val="decimal"/>
        <w:numRestart w:val="continuous"/>
      </w:footnotePr>
      <w:pgSz w:w="11900" w:h="16840"/>
      <w:pgMar w:top="858" w:right="1503" w:bottom="1421" w:left="154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1031875</wp:posOffset>
              </wp:positionH>
              <wp:positionV relativeFrom="page">
                <wp:posOffset>9918065</wp:posOffset>
              </wp:positionV>
              <wp:extent cx="3980815" cy="1098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8081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9"/>
                              <w:i/>
                              <w:iCs/>
                              <w:sz w:val="19"/>
                              <w:szCs w:val="19"/>
                            </w:rPr>
                            <w:t>VZ 03 21 Zajištění úklidových služeb VZ Znojmo a VZ Hrušovany nad Jevišovkou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1.25pt;margin-top:780.95000000000005pt;width:313.44999999999999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9"/>
                        <w:i/>
                        <w:iCs/>
                        <w:sz w:val="19"/>
                        <w:szCs w:val="19"/>
                      </w:rPr>
                      <w:t>VZ 03 21 Zajištění úklidových služeb VZ Znojmo a VZ Hrušovany nad Jevišovkou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1024255</wp:posOffset>
              </wp:positionH>
              <wp:positionV relativeFrom="page">
                <wp:posOffset>9771380</wp:posOffset>
              </wp:positionV>
              <wp:extent cx="3989705" cy="11557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897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9"/>
                              <w:i/>
                              <w:iCs/>
                              <w:sz w:val="19"/>
                              <w:szCs w:val="19"/>
                            </w:rPr>
                            <w:t>VZ 03_21 Zajištění úklidových služeb VZ Znojmo a VZ Hrušovany nad Jevišovkou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0.650000000000006pt;margin-top:769.39999999999998pt;width:314.15000000000003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9"/>
                        <w:i/>
                        <w:iCs/>
                        <w:sz w:val="19"/>
                        <w:szCs w:val="19"/>
                      </w:rPr>
                      <w:t>VZ 03_21 Zajištění úklidových služeb VZ Znojmo a VZ Hrušovany nad Jevišovkou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5718175</wp:posOffset>
              </wp:positionH>
              <wp:positionV relativeFrom="page">
                <wp:posOffset>709930</wp:posOffset>
              </wp:positionV>
              <wp:extent cx="545465" cy="10350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546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19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2022006521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50.25pt;margin-top:55.899999999999999pt;width:42.950000000000003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19"/>
                        <w:rFonts w:ascii="Arial" w:eastAsia="Arial" w:hAnsi="Arial" w:cs="Arial"/>
                        <w:sz w:val="16"/>
                        <w:szCs w:val="16"/>
                      </w:rPr>
                      <w:t>2022006521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Calibri" w:eastAsia="Calibri" w:hAnsi="Calibri" w:cs="Calibri"/>
      <w:b w:val="0"/>
      <w:bCs w:val="0"/>
      <w:i/>
      <w:iCs/>
      <w:smallCaps w:val="0"/>
      <w:strike w:val="0"/>
      <w:color w:val="7DD6ED"/>
      <w:sz w:val="19"/>
      <w:szCs w:val="19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Záhlaví nebo zápatí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Nadpis #2_"/>
    <w:basedOn w:val="DefaultParagraphFont"/>
    <w:link w:val="Style2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Titulek tabulky_"/>
    <w:basedOn w:val="DefaultParagraphFont"/>
    <w:link w:val="Style24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46">
    <w:name w:val="Základní text (2)_"/>
    <w:basedOn w:val="DefaultParagraphFont"/>
    <w:link w:val="Style4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61">
    <w:name w:val="Základní text (3)_"/>
    <w:basedOn w:val="DefaultParagraphFont"/>
    <w:link w:val="Style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4">
    <w:name w:val="Nadpis #1_"/>
    <w:basedOn w:val="DefaultParagraphFont"/>
    <w:link w:val="Style6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auto"/>
      <w:spacing w:line="185" w:lineRule="auto"/>
    </w:pPr>
    <w:rPr>
      <w:rFonts w:ascii="Calibri" w:eastAsia="Calibri" w:hAnsi="Calibri" w:cs="Calibri"/>
      <w:b w:val="0"/>
      <w:bCs w:val="0"/>
      <w:i/>
      <w:iCs/>
      <w:smallCaps w:val="0"/>
      <w:strike w:val="0"/>
      <w:color w:val="7DD6ED"/>
      <w:sz w:val="19"/>
      <w:szCs w:val="19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auto"/>
      <w:spacing w:after="3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Záhlaví nebo zápatí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auto"/>
      <w:spacing w:after="11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4">
    <w:name w:val="Titulek tabulky"/>
    <w:basedOn w:val="Normal"/>
    <w:link w:val="CharStyle25"/>
    <w:pPr>
      <w:widowControl w:val="0"/>
      <w:shd w:val="clear" w:color="auto" w:fill="auto"/>
    </w:pPr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Style45">
    <w:name w:val="Základní text (2)"/>
    <w:basedOn w:val="Normal"/>
    <w:link w:val="CharStyle46"/>
    <w:pPr>
      <w:widowControl w:val="0"/>
      <w:shd w:val="clear" w:color="auto" w:fill="auto"/>
      <w:spacing w:after="90" w:line="360" w:lineRule="auto"/>
      <w:ind w:left="1360" w:right="700"/>
      <w:jc w:val="right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60">
    <w:name w:val="Základní text (3)"/>
    <w:basedOn w:val="Normal"/>
    <w:link w:val="CharStyle61"/>
    <w:pPr>
      <w:widowControl w:val="0"/>
      <w:shd w:val="clear" w:color="auto" w:fill="auto"/>
      <w:spacing w:after="29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63">
    <w:name w:val="Nadpis #1"/>
    <w:basedOn w:val="Normal"/>
    <w:link w:val="CharStyle64"/>
    <w:pPr>
      <w:widowControl w:val="0"/>
      <w:shd w:val="clear" w:color="auto" w:fill="auto"/>
      <w:spacing w:after="18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