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2F4D4C20"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p>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5E7A83D" w14:textId="77777777" w:rsidR="00AF3E4F" w:rsidRPr="0038265C" w:rsidRDefault="00AF3E4F" w:rsidP="00B171EF">
      <w:pPr>
        <w:spacing w:line="360" w:lineRule="auto"/>
        <w:rPr>
          <w:rFonts w:cs="Arial"/>
          <w:b/>
          <w:sz w:val="20"/>
        </w:rPr>
      </w:pPr>
    </w:p>
    <w:p w14:paraId="78038D43" w14:textId="77777777"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1E5C686C"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w:t>
      </w:r>
      <w:proofErr w:type="gramStart"/>
      <w:r w:rsidR="004B7008" w:rsidRPr="007F5C75">
        <w:rPr>
          <w:rFonts w:cs="Arial"/>
          <w:b/>
          <w:sz w:val="22"/>
          <w:szCs w:val="22"/>
        </w:rPr>
        <w:t>republika - Úřad</w:t>
      </w:r>
      <w:proofErr w:type="gramEnd"/>
      <w:r w:rsidR="004B7008" w:rsidRPr="007F5C75">
        <w:rPr>
          <w:rFonts w:cs="Arial"/>
          <w:b/>
          <w:sz w:val="22"/>
          <w:szCs w:val="22"/>
        </w:rPr>
        <w:t xml:space="preserve"> práce </w:t>
      </w:r>
      <w:r w:rsidR="0047677B" w:rsidRPr="007F5C75">
        <w:rPr>
          <w:rFonts w:cs="Arial"/>
          <w:b/>
          <w:sz w:val="22"/>
          <w:szCs w:val="22"/>
        </w:rPr>
        <w:t>České republiky</w:t>
      </w:r>
    </w:p>
    <w:p w14:paraId="44DE6B85" w14:textId="72E90922" w:rsidR="00DD5FF2" w:rsidRPr="00DD0CF0"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0CF0">
        <w:rPr>
          <w:rFonts w:cs="Arial"/>
          <w:bCs/>
          <w:sz w:val="22"/>
          <w:szCs w:val="22"/>
        </w:rPr>
        <w:t xml:space="preserve">Dobrovského 1278/25, 170 00 Praha </w:t>
      </w:r>
      <w:r w:rsidR="00DD5FF2" w:rsidRPr="007F5C75">
        <w:rPr>
          <w:rFonts w:cs="Arial"/>
          <w:bCs/>
          <w:sz w:val="22"/>
          <w:szCs w:val="22"/>
        </w:rPr>
        <w:t xml:space="preserve"> </w:t>
      </w:r>
    </w:p>
    <w:p w14:paraId="23CF9F71" w14:textId="4BBB6D2C" w:rsidR="00C77FB6" w:rsidRPr="007F5C75" w:rsidRDefault="00B95977" w:rsidP="00B171EF">
      <w:pPr>
        <w:spacing w:line="360" w:lineRule="auto"/>
        <w:ind w:right="-284"/>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E1517A">
        <w:rPr>
          <w:rFonts w:cs="Arial"/>
          <w:bCs/>
          <w:sz w:val="22"/>
          <w:szCs w:val="22"/>
        </w:rPr>
        <w:t>Ing. Jiří Frolec, zastupující ředitele Krajské pobočky ÚP ČR v Brně</w:t>
      </w:r>
      <w:r w:rsidR="00C77FB6" w:rsidRPr="007F5C75">
        <w:rPr>
          <w:rFonts w:cs="Arial"/>
          <w:sz w:val="22"/>
          <w:szCs w:val="22"/>
        </w:rPr>
        <w:t xml:space="preserve"> </w:t>
      </w:r>
    </w:p>
    <w:p w14:paraId="6F246885" w14:textId="77777777"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E1517A">
        <w:rPr>
          <w:rFonts w:cs="Arial"/>
          <w:b/>
          <w:bCs/>
          <w:sz w:val="22"/>
          <w:szCs w:val="22"/>
        </w:rPr>
        <w:t>72496991</w:t>
      </w:r>
    </w:p>
    <w:p w14:paraId="62CAB88A" w14:textId="7CE59C47"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E1517A">
        <w:rPr>
          <w:rFonts w:cs="Arial"/>
          <w:b/>
          <w:bCs/>
          <w:sz w:val="22"/>
          <w:szCs w:val="22"/>
        </w:rPr>
        <w:t xml:space="preserve">Úřad práce </w:t>
      </w:r>
      <w:proofErr w:type="gramStart"/>
      <w:r w:rsidR="00D80047" w:rsidRPr="00E1517A">
        <w:rPr>
          <w:rFonts w:cs="Arial"/>
          <w:b/>
          <w:bCs/>
          <w:sz w:val="22"/>
          <w:szCs w:val="22"/>
        </w:rPr>
        <w:t>ČR - Krajská</w:t>
      </w:r>
      <w:proofErr w:type="gramEnd"/>
      <w:r w:rsidR="00D80047" w:rsidRPr="00E1517A">
        <w:rPr>
          <w:rFonts w:cs="Arial"/>
          <w:b/>
          <w:bCs/>
          <w:sz w:val="22"/>
          <w:szCs w:val="22"/>
        </w:rPr>
        <w:t xml:space="preserve"> pobočka v </w:t>
      </w:r>
      <w:r w:rsidR="00E1517A" w:rsidRPr="00E1517A">
        <w:rPr>
          <w:rFonts w:cs="Arial"/>
          <w:b/>
          <w:bCs/>
          <w:sz w:val="22"/>
          <w:szCs w:val="22"/>
        </w:rPr>
        <w:t>Brně</w:t>
      </w:r>
    </w:p>
    <w:p w14:paraId="16167AA6" w14:textId="5D0CA95E" w:rsidR="00C24902" w:rsidRPr="007F5C75"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877F8">
        <w:rPr>
          <w:rFonts w:cs="Arial"/>
          <w:b/>
          <w:sz w:val="22"/>
          <w:szCs w:val="22"/>
        </w:rPr>
        <w:t>XXX</w:t>
      </w:r>
    </w:p>
    <w:p w14:paraId="776BF716" w14:textId="1CFB62F7" w:rsidR="000F646B" w:rsidRPr="007F5C75" w:rsidRDefault="00B95977" w:rsidP="00996982">
      <w:pPr>
        <w:spacing w:line="360" w:lineRule="auto"/>
        <w:ind w:right="-284"/>
        <w:jc w:val="both"/>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877F8">
        <w:rPr>
          <w:rFonts w:cs="Arial"/>
          <w:b/>
          <w:sz w:val="22"/>
          <w:szCs w:val="22"/>
        </w:rPr>
        <w:t>XXX</w:t>
      </w:r>
    </w:p>
    <w:p w14:paraId="03F2FD75" w14:textId="333054CF" w:rsidR="00D80047" w:rsidRPr="007F5C75" w:rsidRDefault="00996982" w:rsidP="00996982">
      <w:pPr>
        <w:spacing w:line="360" w:lineRule="auto"/>
        <w:ind w:right="-284"/>
        <w:jc w:val="both"/>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proofErr w:type="spellStart"/>
      <w:r w:rsidR="00E1517A" w:rsidRPr="00FE5C87">
        <w:rPr>
          <w:rFonts w:eastAsia="Calibri" w:cs="Arial"/>
          <w:b/>
          <w:sz w:val="22"/>
          <w:szCs w:val="22"/>
          <w:lang w:eastAsia="en-US"/>
        </w:rPr>
        <w:t>syyztwe</w:t>
      </w:r>
      <w:proofErr w:type="spellEnd"/>
    </w:p>
    <w:p w14:paraId="1BF22BBA" w14:textId="77777777"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14:paraId="34843738" w14:textId="77777777" w:rsidR="004B7008" w:rsidRPr="007856D1" w:rsidRDefault="004B7008" w:rsidP="00996982">
      <w:pPr>
        <w:spacing w:line="360" w:lineRule="auto"/>
        <w:ind w:right="-284"/>
        <w:jc w:val="both"/>
        <w:rPr>
          <w:rFonts w:cs="Arial"/>
          <w:sz w:val="18"/>
          <w:szCs w:val="22"/>
        </w:rPr>
      </w:pPr>
    </w:p>
    <w:p w14:paraId="4F471F1B" w14:textId="77777777" w:rsidR="004B7008" w:rsidRPr="007856D1" w:rsidRDefault="004B7008" w:rsidP="00996982">
      <w:pPr>
        <w:spacing w:line="360" w:lineRule="auto"/>
        <w:ind w:right="-284"/>
        <w:jc w:val="both"/>
        <w:rPr>
          <w:rFonts w:cs="Arial"/>
          <w:sz w:val="22"/>
          <w:szCs w:val="22"/>
        </w:rPr>
      </w:pPr>
      <w:r w:rsidRPr="007856D1">
        <w:rPr>
          <w:rFonts w:cs="Arial"/>
          <w:sz w:val="22"/>
          <w:szCs w:val="22"/>
        </w:rPr>
        <w:t>a</w:t>
      </w:r>
    </w:p>
    <w:p w14:paraId="76813EC0" w14:textId="77777777" w:rsidR="000F646B" w:rsidRPr="007856D1" w:rsidRDefault="000F646B" w:rsidP="00996982">
      <w:pPr>
        <w:spacing w:line="360" w:lineRule="auto"/>
        <w:ind w:right="-284"/>
        <w:jc w:val="both"/>
        <w:rPr>
          <w:rFonts w:cs="Arial"/>
          <w:sz w:val="18"/>
          <w:szCs w:val="22"/>
        </w:rPr>
      </w:pPr>
    </w:p>
    <w:p w14:paraId="575133D3" w14:textId="12005EF8"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EF218D" w:rsidRPr="00EF218D">
        <w:rPr>
          <w:rFonts w:cs="Arial"/>
          <w:b/>
          <w:bCs/>
          <w:lang w:val="en-US"/>
        </w:rPr>
        <w:t xml:space="preserve">AP NETSOFT, </w:t>
      </w:r>
      <w:proofErr w:type="spellStart"/>
      <w:r w:rsidR="00EF218D" w:rsidRPr="00EF218D">
        <w:rPr>
          <w:rFonts w:cs="Arial"/>
          <w:b/>
          <w:bCs/>
          <w:lang w:val="en-US"/>
        </w:rPr>
        <w:t>s.r.o.</w:t>
      </w:r>
      <w:proofErr w:type="spellEnd"/>
    </w:p>
    <w:p w14:paraId="613E0B07" w14:textId="7C7AC498"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EF218D" w:rsidRPr="0047503C">
        <w:rPr>
          <w:rFonts w:cs="Arial"/>
        </w:rPr>
        <w:t xml:space="preserve">Hradecká 772/15, 746 01 </w:t>
      </w:r>
      <w:proofErr w:type="gramStart"/>
      <w:r w:rsidR="00EF218D" w:rsidRPr="0047503C">
        <w:rPr>
          <w:rFonts w:cs="Arial"/>
        </w:rPr>
        <w:t>Opava - Předměstí</w:t>
      </w:r>
      <w:proofErr w:type="gramEnd"/>
    </w:p>
    <w:p w14:paraId="243A0288" w14:textId="48E0411D" w:rsidR="000F646B" w:rsidRPr="0047503C"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proofErr w:type="spellStart"/>
      <w:r w:rsidR="0047503C" w:rsidRPr="0047503C">
        <w:rPr>
          <w:rFonts w:cs="Arial"/>
        </w:rPr>
        <w:t>x</w:t>
      </w:r>
      <w:r w:rsidR="0047503C">
        <w:rPr>
          <w:rFonts w:cs="Arial"/>
        </w:rPr>
        <w:t>xx</w:t>
      </w:r>
      <w:proofErr w:type="spellEnd"/>
      <w:r w:rsidR="0047503C">
        <w:rPr>
          <w:rFonts w:cs="Arial"/>
        </w:rPr>
        <w:t xml:space="preserve"> </w:t>
      </w:r>
      <w:proofErr w:type="spellStart"/>
      <w:r w:rsidR="0047503C">
        <w:rPr>
          <w:rFonts w:cs="Arial"/>
        </w:rPr>
        <w:t>xxx</w:t>
      </w:r>
      <w:proofErr w:type="spellEnd"/>
    </w:p>
    <w:p w14:paraId="607FDFF7" w14:textId="42C5B5DC" w:rsidR="000F646B" w:rsidRPr="00EF218D" w:rsidRDefault="000F646B" w:rsidP="00996982">
      <w:pPr>
        <w:spacing w:line="360" w:lineRule="auto"/>
        <w:ind w:right="-284"/>
        <w:jc w:val="both"/>
        <w:rPr>
          <w:rFonts w:cs="Arial"/>
          <w:b/>
          <w:bCs/>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EF218D" w:rsidRPr="0047503C">
        <w:rPr>
          <w:rFonts w:cs="Arial"/>
          <w:b/>
          <w:bCs/>
        </w:rPr>
        <w:t>25900901</w:t>
      </w:r>
    </w:p>
    <w:p w14:paraId="24BFE84A" w14:textId="3819DA70" w:rsidR="00B95977" w:rsidRPr="007856D1" w:rsidRDefault="00996982" w:rsidP="00996982">
      <w:pPr>
        <w:spacing w:line="360" w:lineRule="auto"/>
        <w:ind w:right="-284"/>
        <w:jc w:val="both"/>
        <w:rPr>
          <w:rFonts w:cs="Arial"/>
          <w:sz w:val="22"/>
          <w:szCs w:val="22"/>
        </w:rPr>
      </w:pPr>
      <w:r w:rsidRPr="00EF218D">
        <w:rPr>
          <w:rFonts w:cs="Arial"/>
          <w:b/>
          <w:bCs/>
          <w:sz w:val="22"/>
          <w:szCs w:val="22"/>
        </w:rPr>
        <w:t>kontaktní a fakturační adresa:</w:t>
      </w:r>
      <w:r w:rsidRPr="00EF218D">
        <w:rPr>
          <w:rFonts w:cs="Arial"/>
          <w:b/>
          <w:bCs/>
          <w:sz w:val="22"/>
          <w:szCs w:val="22"/>
        </w:rPr>
        <w:tab/>
      </w:r>
      <w:r w:rsidR="00EF218D" w:rsidRPr="0047503C">
        <w:rPr>
          <w:rFonts w:cs="Arial"/>
          <w:b/>
          <w:bCs/>
        </w:rPr>
        <w:t xml:space="preserve">Hradecká 772/15, 746 01 </w:t>
      </w:r>
      <w:proofErr w:type="gramStart"/>
      <w:r w:rsidR="00EF218D" w:rsidRPr="0047503C">
        <w:rPr>
          <w:rFonts w:cs="Arial"/>
          <w:b/>
          <w:bCs/>
        </w:rPr>
        <w:t>Opava - Předměstí</w:t>
      </w:r>
      <w:proofErr w:type="gramEnd"/>
    </w:p>
    <w:p w14:paraId="713F2563" w14:textId="7181A736" w:rsidR="006259A1" w:rsidRPr="007856D1"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D877F8">
        <w:rPr>
          <w:rFonts w:cs="Arial"/>
          <w:b/>
          <w:sz w:val="22"/>
          <w:szCs w:val="22"/>
        </w:rPr>
        <w:t>XXX</w:t>
      </w:r>
    </w:p>
    <w:p w14:paraId="1E8A443F" w14:textId="7F7710BA"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D877F8">
        <w:rPr>
          <w:rFonts w:cs="Arial"/>
          <w:b/>
          <w:sz w:val="22"/>
          <w:szCs w:val="22"/>
        </w:rPr>
        <w:t>XXX</w:t>
      </w:r>
    </w:p>
    <w:p w14:paraId="3968F356" w14:textId="7C5FFC1F"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proofErr w:type="spellStart"/>
      <w:r w:rsidR="00EF218D" w:rsidRPr="0047503C">
        <w:rPr>
          <w:rFonts w:cs="Arial"/>
        </w:rPr>
        <w:t>njtmqsn</w:t>
      </w:r>
      <w:proofErr w:type="spellEnd"/>
    </w:p>
    <w:p w14:paraId="0A4C0AE7" w14:textId="77777777"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14:paraId="224AFF89" w14:textId="77777777" w:rsidR="004B7008" w:rsidRPr="007856D1" w:rsidRDefault="004B7008" w:rsidP="00996982">
      <w:pPr>
        <w:spacing w:line="360" w:lineRule="auto"/>
        <w:ind w:right="-284"/>
        <w:jc w:val="both"/>
        <w:rPr>
          <w:rFonts w:cs="Arial"/>
          <w:sz w:val="18"/>
          <w:szCs w:val="22"/>
        </w:rPr>
      </w:pPr>
    </w:p>
    <w:p w14:paraId="3239E66A" w14:textId="3A2B190C"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47503C">
        <w:rPr>
          <w:rFonts w:cs="Arial"/>
          <w:i/>
          <w:sz w:val="22"/>
          <w:szCs w:val="22"/>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14:paraId="226CC025" w14:textId="0958227B" w:rsidR="007A7D1D" w:rsidRDefault="007A7D1D" w:rsidP="007F5C75">
      <w:pPr>
        <w:spacing w:line="360" w:lineRule="auto"/>
        <w:ind w:right="-284"/>
        <w:jc w:val="both"/>
        <w:rPr>
          <w:rFonts w:cs="Arial"/>
          <w:sz w:val="22"/>
          <w:szCs w:val="22"/>
        </w:rPr>
      </w:pPr>
    </w:p>
    <w:p w14:paraId="152F8DD8" w14:textId="5C61640B" w:rsidR="00EF218D" w:rsidRDefault="00EF218D" w:rsidP="007F5C75">
      <w:pPr>
        <w:spacing w:line="360" w:lineRule="auto"/>
        <w:ind w:right="-284"/>
        <w:jc w:val="both"/>
        <w:rPr>
          <w:rFonts w:cs="Arial"/>
          <w:sz w:val="22"/>
          <w:szCs w:val="22"/>
        </w:rPr>
      </w:pPr>
    </w:p>
    <w:p w14:paraId="1F47EC44" w14:textId="77777777" w:rsidR="00EF218D" w:rsidRDefault="00EF218D" w:rsidP="007F5C75">
      <w:pPr>
        <w:spacing w:line="360" w:lineRule="auto"/>
        <w:ind w:right="-284"/>
        <w:jc w:val="both"/>
        <w:rPr>
          <w:rFonts w:cs="Arial"/>
          <w:sz w:val="22"/>
          <w:szCs w:val="22"/>
        </w:rPr>
      </w:pPr>
    </w:p>
    <w:p w14:paraId="72493A76" w14:textId="77777777" w:rsidR="00171255" w:rsidRPr="007F5C75" w:rsidRDefault="00171255" w:rsidP="007F5C75">
      <w:pPr>
        <w:spacing w:line="360" w:lineRule="auto"/>
        <w:ind w:right="-284"/>
        <w:jc w:val="both"/>
        <w:rPr>
          <w:rFonts w:cs="Arial"/>
          <w:sz w:val="18"/>
          <w:szCs w:val="22"/>
        </w:rPr>
      </w:pPr>
    </w:p>
    <w:p w14:paraId="7E54A56B" w14:textId="77777777"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71255">
      <w:pPr>
        <w:pStyle w:val="Odstavecseseznamem"/>
        <w:spacing w:line="360" w:lineRule="auto"/>
        <w:ind w:left="567"/>
        <w:jc w:val="both"/>
        <w:rPr>
          <w:rFonts w:cs="Arial"/>
          <w:bCs/>
          <w:sz w:val="14"/>
          <w:szCs w:val="22"/>
        </w:rPr>
      </w:pPr>
    </w:p>
    <w:p w14:paraId="0BDF8C2C" w14:textId="77777777"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14:paraId="1A1129C9" w14:textId="2D4B00B6" w:rsidR="00F94DF3" w:rsidRPr="00EF218D" w:rsidRDefault="00EF218D" w:rsidP="007F5C75">
      <w:pPr>
        <w:pStyle w:val="Odstavecseseznamem"/>
        <w:spacing w:line="360" w:lineRule="auto"/>
        <w:ind w:left="567"/>
        <w:jc w:val="both"/>
        <w:rPr>
          <w:rFonts w:cs="Arial"/>
          <w:b/>
          <w:sz w:val="22"/>
          <w:szCs w:val="22"/>
          <w:lang w:eastAsia="cs-CZ"/>
        </w:rPr>
      </w:pPr>
      <w:r w:rsidRPr="00EF218D">
        <w:rPr>
          <w:rFonts w:cs="Arial"/>
          <w:b/>
          <w:sz w:val="22"/>
          <w:szCs w:val="22"/>
          <w:lang w:eastAsia="cs-CZ"/>
        </w:rPr>
        <w:t xml:space="preserve">Počítačová gramotnost (dle sylabů ECDL </w:t>
      </w:r>
      <w:proofErr w:type="spellStart"/>
      <w:r w:rsidRPr="00EF218D">
        <w:rPr>
          <w:rFonts w:cs="Arial"/>
          <w:b/>
          <w:sz w:val="22"/>
          <w:szCs w:val="22"/>
          <w:lang w:eastAsia="cs-CZ"/>
        </w:rPr>
        <w:t>Core</w:t>
      </w:r>
      <w:proofErr w:type="spellEnd"/>
      <w:r w:rsidRPr="00EF218D">
        <w:rPr>
          <w:rFonts w:cs="Arial"/>
          <w:b/>
          <w:sz w:val="22"/>
          <w:szCs w:val="22"/>
          <w:lang w:eastAsia="cs-CZ"/>
        </w:rPr>
        <w:t>) - 5 modulů</w:t>
      </w:r>
    </w:p>
    <w:p w14:paraId="1F7CC788" w14:textId="1940ECB5"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7777777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w:t>
      </w:r>
      <w:proofErr w:type="gramStart"/>
      <w:r w:rsidRPr="007856D1">
        <w:rPr>
          <w:rFonts w:cs="Arial"/>
          <w:bCs/>
          <w:sz w:val="22"/>
          <w:szCs w:val="22"/>
          <w:lang w:eastAsia="cs-CZ"/>
        </w:rPr>
        <w:t>tvoří</w:t>
      </w:r>
      <w:proofErr w:type="gramEnd"/>
      <w:r w:rsidRPr="007856D1">
        <w:rPr>
          <w:rFonts w:cs="Arial"/>
          <w:bCs/>
          <w:sz w:val="22"/>
          <w:szCs w:val="22"/>
          <w:lang w:eastAsia="cs-CZ"/>
        </w:rPr>
        <w:t xml:space="preserve"> právně závazný základ pro uzavírání jednotlivých Dohod o provedení rekvalifikace na základě výzvy ze strany objednatele. </w:t>
      </w:r>
    </w:p>
    <w:p w14:paraId="33D6E731" w14:textId="77777777"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proofErr w:type="spellStart"/>
      <w:r w:rsidR="00F94DF3" w:rsidRPr="007856D1">
        <w:rPr>
          <w:rFonts w:cs="Arial"/>
          <w:bCs/>
          <w:sz w:val="22"/>
          <w:szCs w:val="22"/>
          <w:lang w:eastAsia="cs-CZ"/>
        </w:rPr>
        <w:t>ZoZ</w:t>
      </w:r>
      <w:proofErr w:type="spellEnd"/>
      <w:r w:rsidR="00F94DF3" w:rsidRPr="007856D1">
        <w:rPr>
          <w:rFonts w:cs="Arial"/>
          <w:bCs/>
          <w:sz w:val="22"/>
          <w:szCs w:val="22"/>
          <w:lang w:eastAsia="cs-CZ"/>
        </w:rPr>
        <w:t xml:space="preserve">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1FC6CADB"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E1517A" w:rsidRPr="00E1517A">
        <w:rPr>
          <w:rFonts w:cs="Arial"/>
          <w:b/>
          <w:bCs/>
          <w:sz w:val="22"/>
          <w:szCs w:val="22"/>
          <w:lang w:eastAsia="cs-CZ"/>
        </w:rPr>
        <w:t xml:space="preserve">JMK – rekvalifikační kurzy pro Jihomoravský kraj IX. </w:t>
      </w:r>
      <w:proofErr w:type="gramStart"/>
      <w:r w:rsidR="00E1517A" w:rsidRPr="00E1517A">
        <w:rPr>
          <w:rFonts w:cs="Arial"/>
          <w:b/>
          <w:bCs/>
          <w:sz w:val="22"/>
          <w:szCs w:val="22"/>
          <w:lang w:eastAsia="cs-CZ"/>
        </w:rPr>
        <w:t>202</w:t>
      </w:r>
      <w:r w:rsidR="00642E1C">
        <w:rPr>
          <w:rFonts w:cs="Arial"/>
          <w:b/>
          <w:bCs/>
          <w:sz w:val="22"/>
          <w:szCs w:val="22"/>
          <w:lang w:eastAsia="cs-CZ"/>
        </w:rPr>
        <w:t>1</w:t>
      </w:r>
      <w:r w:rsidR="00E1517A" w:rsidRPr="00E1517A">
        <w:rPr>
          <w:rFonts w:cs="Arial"/>
          <w:b/>
          <w:bCs/>
          <w:sz w:val="22"/>
          <w:szCs w:val="22"/>
          <w:lang w:eastAsia="cs-CZ"/>
        </w:rPr>
        <w:t xml:space="preserve"> - 202</w:t>
      </w:r>
      <w:r w:rsidR="00642E1C">
        <w:rPr>
          <w:rFonts w:cs="Arial"/>
          <w:b/>
          <w:bCs/>
          <w:sz w:val="22"/>
          <w:szCs w:val="22"/>
          <w:lang w:eastAsia="cs-CZ"/>
        </w:rPr>
        <w:t>5</w:t>
      </w:r>
      <w:proofErr w:type="gramEnd"/>
      <w:r w:rsidRPr="007856D1">
        <w:rPr>
          <w:rFonts w:cs="Arial"/>
          <w:bCs/>
          <w:sz w:val="22"/>
          <w:szCs w:val="22"/>
          <w:lang w:eastAsia="cs-CZ"/>
        </w:rPr>
        <w:t>“</w:t>
      </w:r>
      <w:r w:rsidR="00996982" w:rsidRPr="007856D1">
        <w:rPr>
          <w:rFonts w:cs="Arial"/>
          <w:bCs/>
          <w:sz w:val="22"/>
          <w:szCs w:val="22"/>
          <w:lang w:eastAsia="cs-CZ"/>
        </w:rPr>
        <w:t xml:space="preserve">, část </w:t>
      </w:r>
      <w:r w:rsidR="00EC1921">
        <w:rPr>
          <w:rFonts w:cs="Arial"/>
          <w:bCs/>
          <w:sz w:val="22"/>
          <w:szCs w:val="22"/>
          <w:lang w:eastAsia="cs-CZ"/>
        </w:rPr>
        <w:t>5</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14:paraId="3CACF4ED" w14:textId="77777777"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14:paraId="7FB119B3" w14:textId="1837BB9F"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Pr>
          <w:rFonts w:cs="Arial"/>
          <w:bCs/>
          <w:iCs/>
          <w:sz w:val="22"/>
          <w:szCs w:val="22"/>
          <w:lang w:eastAsia="x-none"/>
        </w:rPr>
        <w:t>Z</w:t>
      </w:r>
      <w:r w:rsidRPr="00E575FC">
        <w:rPr>
          <w:rFonts w:cs="Arial"/>
          <w:bCs/>
          <w:iCs/>
          <w:sz w:val="22"/>
          <w:szCs w:val="22"/>
          <w:lang w:eastAsia="x-none"/>
        </w:rPr>
        <w:t xml:space="preserve">adávací dokumentaci a dodavatelem předložené </w:t>
      </w:r>
      <w:r>
        <w:rPr>
          <w:rFonts w:cs="Arial"/>
          <w:bCs/>
          <w:iCs/>
          <w:sz w:val="22"/>
          <w:szCs w:val="22"/>
          <w:lang w:eastAsia="x-none"/>
        </w:rPr>
        <w:t>N</w:t>
      </w:r>
      <w:r w:rsidRPr="00E575FC">
        <w:rPr>
          <w:rFonts w:cs="Arial"/>
          <w:bCs/>
          <w:iCs/>
          <w:sz w:val="22"/>
          <w:szCs w:val="22"/>
          <w:lang w:eastAsia="x-none"/>
        </w:rPr>
        <w:t>abídce.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5" w:name="_Toc236099588"/>
      <w:bookmarkStart w:id="16" w:name="_Toc236099817"/>
      <w:bookmarkStart w:id="17" w:name="_Toc236100397"/>
      <w:bookmarkStart w:id="18" w:name="_Toc236100780"/>
      <w:bookmarkStart w:id="19" w:name="_Toc236101304"/>
      <w:bookmarkStart w:id="20" w:name="_Toc236101362"/>
      <w:bookmarkStart w:id="21" w:name="_Toc236101455"/>
      <w:bookmarkStart w:id="22" w:name="_Toc236707275"/>
      <w:bookmarkStart w:id="23" w:name="_Toc236707858"/>
      <w:bookmarkStart w:id="24" w:name="_Toc236809003"/>
      <w:bookmarkStart w:id="25" w:name="_Toc237064630"/>
      <w:r w:rsidRPr="0016777C">
        <w:rPr>
          <w:color w:val="FFFFFF" w:themeColor="background1"/>
          <w:sz w:val="22"/>
          <w:szCs w:val="22"/>
        </w:rPr>
        <w:t xml:space="preserve">Předmět </w:t>
      </w:r>
      <w:bookmarkEnd w:id="15"/>
      <w:bookmarkEnd w:id="16"/>
      <w:bookmarkEnd w:id="17"/>
      <w:bookmarkEnd w:id="18"/>
      <w:bookmarkEnd w:id="19"/>
      <w:bookmarkEnd w:id="20"/>
      <w:bookmarkEnd w:id="21"/>
      <w:bookmarkEnd w:id="22"/>
      <w:bookmarkEnd w:id="23"/>
      <w:bookmarkEnd w:id="24"/>
      <w:bookmarkEnd w:id="25"/>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171255">
      <w:pPr>
        <w:keepNext/>
        <w:spacing w:line="360" w:lineRule="auto"/>
        <w:jc w:val="center"/>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7856D1"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3527" w:type="dxa"/>
            <w:shd w:val="clear" w:color="auto" w:fill="FFFFFF" w:themeFill="background1"/>
            <w:vAlign w:val="center"/>
          </w:tcPr>
          <w:p w14:paraId="4F3DA7CE" w14:textId="571BBDFA" w:rsidR="00D54167" w:rsidRPr="007856D1" w:rsidRDefault="00EC1921" w:rsidP="00D54167">
            <w:pPr>
              <w:tabs>
                <w:tab w:val="left" w:pos="1418"/>
              </w:tabs>
              <w:rPr>
                <w:rFonts w:cs="Arial"/>
                <w:sz w:val="22"/>
                <w:szCs w:val="22"/>
              </w:rPr>
            </w:pPr>
            <w:proofErr w:type="gramStart"/>
            <w:r>
              <w:rPr>
                <w:rFonts w:cs="Arial"/>
                <w:sz w:val="22"/>
                <w:szCs w:val="22"/>
              </w:rPr>
              <w:t>8.692,-</w:t>
            </w:r>
            <w:proofErr w:type="gramEnd"/>
          </w:p>
        </w:tc>
      </w:tr>
      <w:tr w:rsidR="009503E6" w:rsidRPr="007856D1" w14:paraId="6B9041A6" w14:textId="77777777" w:rsidTr="00FC7201">
        <w:trPr>
          <w:trHeight w:val="430"/>
        </w:trPr>
        <w:tc>
          <w:tcPr>
            <w:tcW w:w="6096" w:type="dxa"/>
            <w:shd w:val="clear" w:color="auto" w:fill="D9D9D9" w:themeFill="background1" w:themeFillShade="D9"/>
            <w:vAlign w:val="center"/>
          </w:tcPr>
          <w:p w14:paraId="3EA44BCF" w14:textId="36EFD486" w:rsidR="00D54167" w:rsidRPr="00AD34C9" w:rsidRDefault="00442003" w:rsidP="00FC7201">
            <w:pPr>
              <w:tabs>
                <w:tab w:val="left" w:pos="1418"/>
              </w:tabs>
              <w:jc w:val="both"/>
              <w:rPr>
                <w:rFonts w:cs="Arial"/>
                <w:b/>
                <w:sz w:val="22"/>
                <w:szCs w:val="22"/>
              </w:rPr>
            </w:pPr>
            <w:r w:rsidRPr="00442003">
              <w:rPr>
                <w:rFonts w:cs="Arial"/>
                <w:b/>
                <w:sz w:val="22"/>
                <w:szCs w:val="22"/>
              </w:rPr>
              <w:t xml:space="preserve">Celkový </w:t>
            </w:r>
            <w:r w:rsidR="00FC7201">
              <w:rPr>
                <w:rFonts w:cs="Arial"/>
                <w:b/>
                <w:sz w:val="22"/>
                <w:szCs w:val="22"/>
              </w:rPr>
              <w:t xml:space="preserve">minimální </w:t>
            </w:r>
            <w:r w:rsidRPr="00442003">
              <w:rPr>
                <w:rFonts w:cs="Arial"/>
                <w:b/>
                <w:sz w:val="22"/>
                <w:szCs w:val="22"/>
              </w:rPr>
              <w:t xml:space="preserve">počet hodin rekvalifikačního </w:t>
            </w:r>
            <w:proofErr w:type="gramStart"/>
            <w:r w:rsidRPr="00442003">
              <w:rPr>
                <w:rFonts w:cs="Arial"/>
                <w:b/>
                <w:sz w:val="22"/>
                <w:szCs w:val="22"/>
              </w:rPr>
              <w:t>kurz</w:t>
            </w:r>
            <w:r w:rsidR="00AD34C9">
              <w:rPr>
                <w:rFonts w:cs="Arial"/>
                <w:b/>
                <w:sz w:val="22"/>
                <w:szCs w:val="22"/>
              </w:rPr>
              <w:t xml:space="preserve">u - </w:t>
            </w:r>
            <w:r w:rsidRPr="00442003">
              <w:rPr>
                <w:rFonts w:cs="Arial"/>
                <w:b/>
                <w:sz w:val="22"/>
                <w:szCs w:val="22"/>
              </w:rPr>
              <w:t>součet</w:t>
            </w:r>
            <w:proofErr w:type="gramEnd"/>
            <w:r w:rsidRPr="00442003">
              <w:rPr>
                <w:rFonts w:cs="Arial"/>
                <w:b/>
                <w:sz w:val="22"/>
                <w:szCs w:val="22"/>
              </w:rPr>
              <w:t xml:space="preserve"> teoretické a praktické přípravy a ověření získaných znalostí a dovedností</w:t>
            </w:r>
            <w:r w:rsidR="00AD34C9">
              <w:rPr>
                <w:rFonts w:cs="Arial"/>
                <w:b/>
                <w:sz w:val="22"/>
                <w:szCs w:val="22"/>
              </w:rPr>
              <w:t xml:space="preserve"> (tj. např. zkouška)</w:t>
            </w:r>
          </w:p>
        </w:tc>
        <w:tc>
          <w:tcPr>
            <w:tcW w:w="3527" w:type="dxa"/>
            <w:shd w:val="clear" w:color="auto" w:fill="FFFFFF" w:themeFill="background1"/>
            <w:vAlign w:val="center"/>
          </w:tcPr>
          <w:p w14:paraId="3FFD180B" w14:textId="671B6B4E" w:rsidR="00D54167" w:rsidRPr="00C46BDD" w:rsidRDefault="00EC1921" w:rsidP="00D54167">
            <w:pPr>
              <w:tabs>
                <w:tab w:val="left" w:pos="1418"/>
              </w:tabs>
              <w:rPr>
                <w:rFonts w:cs="Arial"/>
                <w:color w:val="FF0000"/>
                <w:sz w:val="22"/>
                <w:szCs w:val="22"/>
              </w:rPr>
            </w:pPr>
            <w:r w:rsidRPr="00EC1921">
              <w:rPr>
                <w:rFonts w:cs="Arial"/>
                <w:sz w:val="22"/>
                <w:szCs w:val="22"/>
              </w:rPr>
              <w:t>106</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77777777"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lastRenderedPageBreak/>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14:paraId="2FC45C40" w14:textId="77777777" w:rsidR="00F94DF3" w:rsidRPr="00171255" w:rsidRDefault="00F94DF3" w:rsidP="00171255">
      <w:pPr>
        <w:keepNext/>
        <w:spacing w:line="360" w:lineRule="auto"/>
        <w:jc w:val="center"/>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171255">
      <w:pPr>
        <w:keepNext/>
        <w:spacing w:line="360" w:lineRule="auto"/>
        <w:jc w:val="center"/>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6D942943"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 předmětného zadávacího řízení,</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4FA0C5D4"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stanovit účastníkům rekvalifikačního kurzu studijní a výcvikové povinnosti, prokazatelně je seznámit s předpisy o bezpečnosti a ochraně zdraví při práci a předpisy o</w:t>
      </w:r>
      <w:r w:rsidR="001E40F5">
        <w:rPr>
          <w:rFonts w:cs="Arial"/>
          <w:sz w:val="22"/>
          <w:szCs w:val="22"/>
        </w:rPr>
        <w:t xml:space="preserve"> </w:t>
      </w:r>
      <w:r w:rsidRPr="007856D1">
        <w:rPr>
          <w:rFonts w:cs="Arial"/>
          <w:sz w:val="22"/>
          <w:szCs w:val="22"/>
        </w:rPr>
        <w:t>požární ochraně mající vztah k rekvalifikaci, zajistit jejich bezpečnost a ochranu zdraví během celé rekvalifikace, vybavit účastníky rekvalifikace nezbytnými ochrannými pracovními prostředky, pokud to charakter praktické přípravy vyžaduje,</w:t>
      </w:r>
    </w:p>
    <w:p w14:paraId="6F63502D" w14:textId="09FADA12" w:rsidR="00D61B78" w:rsidRPr="006D5589" w:rsidRDefault="00D61B78" w:rsidP="00D61B78">
      <w:pPr>
        <w:pStyle w:val="Odstavecseseznamem"/>
        <w:numPr>
          <w:ilvl w:val="0"/>
          <w:numId w:val="6"/>
        </w:numPr>
        <w:spacing w:line="360" w:lineRule="auto"/>
        <w:ind w:left="851" w:hanging="284"/>
        <w:jc w:val="both"/>
        <w:rPr>
          <w:rFonts w:cs="Arial"/>
          <w:bCs/>
          <w:sz w:val="22"/>
          <w:szCs w:val="22"/>
          <w:lang w:eastAsia="cs-CZ"/>
        </w:rPr>
      </w:pPr>
      <w:r w:rsidRPr="006D5589">
        <w:rPr>
          <w:rFonts w:cs="Arial"/>
          <w:bCs/>
          <w:sz w:val="22"/>
          <w:szCs w:val="22"/>
        </w:rPr>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Pr="006D5589">
        <w:rPr>
          <w:rFonts w:cs="Arial"/>
          <w:bCs/>
          <w:sz w:val="22"/>
          <w:szCs w:val="22"/>
        </w:rPr>
        <w:t>, která jsou specifikována v Příloze č. 1 této Rámcové dohody,</w:t>
      </w:r>
    </w:p>
    <w:p w14:paraId="292F7C53" w14:textId="07C8A478"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míst pro konání </w:t>
      </w:r>
      <w:r w:rsidR="000535B5">
        <w:rPr>
          <w:rFonts w:cs="Arial"/>
          <w:bCs/>
          <w:sz w:val="22"/>
          <w:szCs w:val="22"/>
        </w:rPr>
        <w:t>rekvalifikačních kurzů</w:t>
      </w:r>
      <w:r w:rsidRPr="00C6279B">
        <w:rPr>
          <w:rFonts w:cs="Arial"/>
          <w:bCs/>
          <w:sz w:val="22"/>
          <w:szCs w:val="22"/>
        </w:rPr>
        <w:t xml:space="preserve"> během trvání této Rámcové dohody </w:t>
      </w:r>
      <w:r w:rsidRPr="006C7C2A">
        <w:rPr>
          <w:rFonts w:cs="Arial"/>
          <w:bCs/>
          <w:sz w:val="22"/>
          <w:szCs w:val="22"/>
        </w:rPr>
        <w:t xml:space="preserve">požádat objednatele o souhlas se změnou prostor, a to minimálně 7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musí odpovídat </w:t>
      </w:r>
      <w:r w:rsidRPr="006C7C2A">
        <w:rPr>
          <w:rFonts w:cs="Arial"/>
          <w:sz w:val="22"/>
          <w:szCs w:val="22"/>
        </w:rPr>
        <w:lastRenderedPageBreak/>
        <w:t xml:space="preserve">charakteru a cílům </w:t>
      </w:r>
      <w:r w:rsidR="003146B8">
        <w:rPr>
          <w:rFonts w:cs="Arial"/>
          <w:sz w:val="22"/>
          <w:szCs w:val="22"/>
        </w:rPr>
        <w:t>rekvalifikačního kurzu</w:t>
      </w:r>
      <w:r w:rsidRPr="006C7C2A">
        <w:rPr>
          <w:rFonts w:cs="Arial"/>
          <w:sz w:val="22"/>
          <w:szCs w:val="22"/>
        </w:rPr>
        <w:t xml:space="preserve">) a splňovat aktuální </w:t>
      </w:r>
      <w:proofErr w:type="spellStart"/>
      <w:r w:rsidRPr="006C7C2A">
        <w:rPr>
          <w:rFonts w:cs="Arial"/>
          <w:sz w:val="22"/>
          <w:szCs w:val="22"/>
        </w:rPr>
        <w:t>protiepidemiologická</w:t>
      </w:r>
      <w:proofErr w:type="spellEnd"/>
      <w:r w:rsidRPr="006C7C2A">
        <w:rPr>
          <w:rFonts w:cs="Arial"/>
          <w:sz w:val="22"/>
          <w:szCs w:val="22"/>
        </w:rPr>
        <w:t xml:space="preserve">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6FB00C04" w:rsidR="003146B8" w:rsidRPr="00D9214A"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bCs/>
          <w:sz w:val="22"/>
          <w:szCs w:val="22"/>
        </w:rPr>
        <w:t>zajistit nádoby na tříděný odpad v prostorech určených pro konání rekvalifikačních kurzů,</w:t>
      </w:r>
    </w:p>
    <w:p w14:paraId="01A8D10F" w14:textId="77777777"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59C99BFF"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na vyžádání objednatele zaslat kopii docházky 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7777777"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6" w:name="_Hlk65664830"/>
      <w:r w:rsidRPr="006D5589">
        <w:rPr>
          <w:rFonts w:eastAsia="Arial-ItalicMT" w:cs="Arial"/>
          <w:sz w:val="22"/>
          <w:szCs w:val="22"/>
          <w:lang w:eastAsia="en-US"/>
        </w:rPr>
        <w:t>V případě využití poddodavatele je dodavatel povinen zavázat poddodavatele k dodržení této podmínky.</w:t>
      </w:r>
      <w:bookmarkEnd w:id="26"/>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7C189335" w14:textId="77777777" w:rsidR="00D54167" w:rsidRPr="00C46BDD" w:rsidRDefault="00D54167" w:rsidP="00CB29FD">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t xml:space="preserve">po ukončení </w:t>
      </w:r>
      <w:r w:rsidRPr="00C46BDD">
        <w:rPr>
          <w:rFonts w:cs="Arial"/>
          <w:sz w:val="22"/>
          <w:szCs w:val="22"/>
        </w:rPr>
        <w:t xml:space="preserve">rekvalifikačního kurzu, nejpozději s fakturací zaslat objednateli </w:t>
      </w:r>
      <w:r w:rsidR="000C33CA" w:rsidRPr="00C46BDD">
        <w:rPr>
          <w:rFonts w:cs="Arial"/>
          <w:sz w:val="22"/>
          <w:szCs w:val="22"/>
          <w:lang w:eastAsia="x-none"/>
        </w:rPr>
        <w:t>originály prezenční listiny účastníků kurzu (denní evidence docházky),</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55D46259"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w:t>
      </w:r>
      <w:r w:rsidRPr="00AD34C9">
        <w:rPr>
          <w:rFonts w:cs="Arial"/>
          <w:sz w:val="22"/>
          <w:szCs w:val="22"/>
        </w:rPr>
        <w:lastRenderedPageBreak/>
        <w:t xml:space="preserve">informovat </w:t>
      </w:r>
      <w:r w:rsidR="00946E10" w:rsidRPr="00AD34C9">
        <w:rPr>
          <w:rFonts w:cs="Arial"/>
          <w:sz w:val="22"/>
          <w:szCs w:val="22"/>
        </w:rPr>
        <w:t>objednatele</w:t>
      </w:r>
      <w:r w:rsidRPr="00AD34C9">
        <w:rPr>
          <w:rFonts w:cs="Arial"/>
          <w:sz w:val="22"/>
          <w:szCs w:val="22"/>
        </w:rPr>
        <w:t xml:space="preserve"> o opatřeních k nápravě, která mu byla uložena, 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4CB91FA4"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samostatně</w:t>
      </w:r>
      <w:r w:rsidRPr="005B1F9B">
        <w:rPr>
          <w:rFonts w:cs="Arial"/>
          <w:bCs/>
          <w:sz w:val="22"/>
          <w:szCs w:val="22"/>
        </w:rPr>
        <w:t xml:space="preserve"> s výjimkou třídní knihy, která bude doložena pouze jedenkrát</w:t>
      </w:r>
      <w:r w:rsidR="00EE0E9A" w:rsidRPr="005B1F9B">
        <w:rPr>
          <w:rFonts w:cs="Arial"/>
          <w:bCs/>
          <w:sz w:val="22"/>
          <w:szCs w:val="22"/>
        </w:rPr>
        <w:t>),</w:t>
      </w:r>
      <w:r w:rsidR="00140E43" w:rsidRPr="005B1F9B">
        <w:rPr>
          <w:rFonts w:cs="Arial"/>
          <w:bCs/>
          <w:sz w:val="22"/>
          <w:szCs w:val="22"/>
        </w:rPr>
        <w:t xml:space="preserve"> </w:t>
      </w:r>
    </w:p>
    <w:p w14:paraId="752BB5BE" w14:textId="77777777" w:rsidR="00140E43" w:rsidRDefault="00200934" w:rsidP="00140E43">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jakákoliv změna místa </w:t>
      </w:r>
      <w:r w:rsidR="00D54167" w:rsidRPr="00AD34C9">
        <w:rPr>
          <w:rFonts w:cs="Arial"/>
          <w:sz w:val="22"/>
          <w:szCs w:val="22"/>
        </w:rPr>
        <w:t xml:space="preserve">konání kurzu </w:t>
      </w:r>
      <w:r w:rsidRPr="00AD34C9">
        <w:rPr>
          <w:rFonts w:cs="Arial"/>
          <w:sz w:val="22"/>
          <w:szCs w:val="22"/>
        </w:rPr>
        <w:t xml:space="preserve">musí být dodavatelem písemně ohlášena objednateli v dostatečném předstihu před zahájením každého rekvalifikačního kurzu, nejpozději </w:t>
      </w:r>
      <w:r w:rsidRPr="006063F9">
        <w:rPr>
          <w:rFonts w:cs="Arial"/>
          <w:sz w:val="22"/>
          <w:szCs w:val="22"/>
        </w:rPr>
        <w:t>7 kalendářních dnů přede dn</w:t>
      </w:r>
      <w:r w:rsidR="00D54167" w:rsidRPr="006063F9">
        <w:rPr>
          <w:rFonts w:cs="Arial"/>
          <w:sz w:val="22"/>
          <w:szCs w:val="22"/>
        </w:rPr>
        <w:t xml:space="preserve">em, kdy tato skutečnost </w:t>
      </w:r>
      <w:r w:rsidR="00D54167" w:rsidRPr="00AD34C9">
        <w:rPr>
          <w:rFonts w:cs="Arial"/>
          <w:sz w:val="22"/>
          <w:szCs w:val="22"/>
        </w:rPr>
        <w:t>nastane</w:t>
      </w:r>
      <w:r w:rsidR="00C46BDD" w:rsidRPr="00AD34C9">
        <w:rPr>
          <w:rFonts w:cs="Arial"/>
          <w:sz w:val="22"/>
          <w:szCs w:val="22"/>
        </w:rPr>
        <w:t>, nedohodnou-li se smluvní strany jinak.</w:t>
      </w:r>
      <w:r w:rsidR="00D54167" w:rsidRPr="00AD34C9">
        <w:rPr>
          <w:rFonts w:cs="Arial"/>
          <w:sz w:val="22"/>
          <w:szCs w:val="22"/>
        </w:rPr>
        <w:t xml:space="preserve"> Změna </w:t>
      </w:r>
      <w:r w:rsidR="00D54167" w:rsidRPr="006063F9">
        <w:rPr>
          <w:rFonts w:cs="Arial"/>
          <w:sz w:val="22"/>
          <w:szCs w:val="22"/>
        </w:rPr>
        <w:t>může být provedena pouze se souhlasem objednatele,</w:t>
      </w:r>
    </w:p>
    <w:p w14:paraId="055112F8" w14:textId="248AA013"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r w:rsidRPr="0047503C">
        <w:rPr>
          <w:rFonts w:cs="Arial"/>
          <w:sz w:val="22"/>
          <w:szCs w:val="22"/>
        </w:rPr>
        <w:t>Rámcové dohody</w:t>
      </w:r>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14:paraId="2A18F385" w14:textId="77777777" w:rsidR="007D5B18" w:rsidRPr="006A3B00" w:rsidRDefault="007D5B18" w:rsidP="00171255">
      <w:pPr>
        <w:keepNext/>
        <w:spacing w:line="360" w:lineRule="auto"/>
        <w:jc w:val="center"/>
        <w:rPr>
          <w:rFonts w:cs="Arial"/>
          <w:b/>
          <w:sz w:val="14"/>
          <w:szCs w:val="22"/>
        </w:rPr>
      </w:pPr>
    </w:p>
    <w:p w14:paraId="1A42F0E3" w14:textId="77777777"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14:paraId="151FF774" w14:textId="538DCB77"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AE51FE">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18B8DF9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2060C6D6" w14:textId="77777777" w:rsidR="0098532D" w:rsidRPr="0098532D" w:rsidRDefault="0098532D" w:rsidP="0098532D">
      <w:pPr>
        <w:pStyle w:val="Odstavecseseznamem"/>
        <w:spacing w:line="360" w:lineRule="auto"/>
        <w:ind w:left="567"/>
        <w:jc w:val="both"/>
        <w:rPr>
          <w:rFonts w:cs="Arial"/>
          <w:bCs/>
          <w:sz w:val="18"/>
          <w:szCs w:val="18"/>
        </w:rPr>
      </w:pP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171255">
      <w:pPr>
        <w:keepNext/>
        <w:spacing w:line="360" w:lineRule="auto"/>
        <w:jc w:val="center"/>
        <w:rPr>
          <w:rFonts w:cs="Arial"/>
          <w:b/>
          <w:sz w:val="14"/>
          <w:szCs w:val="22"/>
        </w:rPr>
      </w:pPr>
    </w:p>
    <w:p w14:paraId="314E6642" w14:textId="77777777"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14:paraId="27B5CB25" w14:textId="251B118C"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proofErr w:type="gramStart"/>
      <w:r w:rsidR="00EC1921">
        <w:rPr>
          <w:rFonts w:cs="Arial"/>
          <w:sz w:val="22"/>
          <w:szCs w:val="22"/>
        </w:rPr>
        <w:t>7.200.000</w:t>
      </w:r>
      <w:r w:rsidR="00865095" w:rsidRPr="00171255">
        <w:rPr>
          <w:rFonts w:cs="Arial"/>
          <w:sz w:val="22"/>
          <w:szCs w:val="22"/>
        </w:rPr>
        <w:t>,-</w:t>
      </w:r>
      <w:proofErr w:type="gramEnd"/>
      <w:r w:rsidR="00865095" w:rsidRPr="00171255">
        <w:rPr>
          <w:rFonts w:cs="Arial"/>
          <w:sz w:val="22"/>
          <w:szCs w:val="22"/>
        </w:rPr>
        <w:t xml:space="preserve"> Kč bez DPH</w:t>
      </w:r>
      <w:r w:rsidR="00B54E64" w:rsidRPr="00171255">
        <w:rPr>
          <w:rFonts w:cs="Arial"/>
          <w:sz w:val="22"/>
          <w:szCs w:val="22"/>
        </w:rPr>
        <w:t>.</w:t>
      </w:r>
      <w:r w:rsidR="00DA5551" w:rsidRPr="00171255">
        <w:rPr>
          <w:rFonts w:cs="Arial"/>
          <w:sz w:val="22"/>
          <w:szCs w:val="22"/>
        </w:rPr>
        <w:t xml:space="preserve"> </w:t>
      </w:r>
    </w:p>
    <w:p w14:paraId="043F03C4" w14:textId="5266FB75"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pouze v případě změny daňových předpisů, v jejichž důsledku by byl dodavatel povinen odvádět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o </w:t>
      </w:r>
      <w:r w:rsidR="00694249" w:rsidRPr="007856D1">
        <w:rPr>
          <w:rFonts w:cs="Arial"/>
          <w:bCs/>
          <w:sz w:val="22"/>
          <w:szCs w:val="22"/>
          <w:lang w:eastAsia="cs-CZ"/>
        </w:rPr>
        <w:t>odváděnou DPH.</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2FCCD2CD" w14:textId="77777777" w:rsidR="00B149EA" w:rsidRPr="00A847CC"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Pr="00A847CC">
        <w:rPr>
          <w:rFonts w:cs="Arial"/>
          <w:bCs/>
          <w:sz w:val="22"/>
          <w:szCs w:val="22"/>
          <w:lang w:eastAsia="cs-CZ"/>
        </w:rPr>
        <w:t>nebude poskytovat zálohy.</w:t>
      </w:r>
    </w:p>
    <w:p w14:paraId="5FBFCAA1" w14:textId="4259594B" w:rsidR="00B149EA" w:rsidRPr="00A847CC"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7" w:name="_Hlk77932300"/>
      <w:r w:rsidRPr="00A847CC">
        <w:rPr>
          <w:rFonts w:cs="Arial"/>
          <w:bCs/>
          <w:sz w:val="22"/>
          <w:szCs w:val="22"/>
          <w:lang w:eastAsia="cs-CZ"/>
        </w:rPr>
        <w:t xml:space="preserve">Faktury budou </w:t>
      </w:r>
      <w:r w:rsidR="00746586" w:rsidRPr="00A847CC">
        <w:rPr>
          <w:rFonts w:cs="Arial"/>
          <w:bCs/>
          <w:sz w:val="22"/>
          <w:szCs w:val="22"/>
          <w:lang w:eastAsia="cs-CZ"/>
        </w:rPr>
        <w:t xml:space="preserve">vystaveny na fakturační adresu uvedenou v záhlaví této Rámcové dohody a </w:t>
      </w:r>
      <w:r w:rsidRPr="00A847CC">
        <w:rPr>
          <w:rFonts w:cs="Arial"/>
          <w:bCs/>
          <w:sz w:val="22"/>
          <w:szCs w:val="22"/>
          <w:lang w:eastAsia="cs-CZ"/>
        </w:rPr>
        <w:t xml:space="preserve">zasílány na příslušná kontaktní </w:t>
      </w:r>
      <w:r w:rsidR="00D16CEA" w:rsidRPr="00A847CC">
        <w:rPr>
          <w:rFonts w:cs="Arial"/>
          <w:bCs/>
          <w:sz w:val="22"/>
          <w:szCs w:val="22"/>
          <w:lang w:eastAsia="cs-CZ"/>
        </w:rPr>
        <w:t>pracoviště objednatele.</w:t>
      </w:r>
      <w:r w:rsidR="005B1F9B" w:rsidRPr="00A847CC">
        <w:rPr>
          <w:rFonts w:cs="Arial"/>
          <w:bCs/>
          <w:sz w:val="22"/>
          <w:szCs w:val="22"/>
          <w:lang w:eastAsia="cs-CZ"/>
        </w:rPr>
        <w:t xml:space="preserve"> </w:t>
      </w:r>
    </w:p>
    <w:p w14:paraId="265FFAC9" w14:textId="48547630" w:rsidR="00442003" w:rsidRPr="00BA0997"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8" w:name="_Hlk58493347"/>
      <w:bookmarkEnd w:id="27"/>
      <w:r w:rsidRPr="00DB3B14">
        <w:rPr>
          <w:rFonts w:cs="Arial"/>
          <w:sz w:val="22"/>
          <w:szCs w:val="22"/>
        </w:rPr>
        <w:t xml:space="preserve">Dodavatel je oprávněn </w:t>
      </w:r>
      <w:r w:rsidR="00A65CF8" w:rsidRPr="00DB3B14">
        <w:rPr>
          <w:rFonts w:cs="Arial"/>
          <w:sz w:val="22"/>
          <w:szCs w:val="22"/>
        </w:rPr>
        <w:t>o</w:t>
      </w:r>
      <w:r w:rsidRPr="00DB3B14">
        <w:rPr>
          <w:rFonts w:cs="Arial"/>
          <w:sz w:val="22"/>
          <w:szCs w:val="22"/>
        </w:rPr>
        <w:t>bjednateli plně fakturovat náklady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 xml:space="preserve">a řádně ho </w:t>
      </w:r>
      <w:proofErr w:type="gramStart"/>
      <w:r w:rsidR="00D16CEA" w:rsidRPr="00DB3B14">
        <w:rPr>
          <w:rFonts w:cs="Arial"/>
          <w:sz w:val="22"/>
          <w:szCs w:val="22"/>
        </w:rPr>
        <w:t>ukončí</w:t>
      </w:r>
      <w:proofErr w:type="gramEnd"/>
      <w:r w:rsidR="00140E43" w:rsidRPr="00DB3B14">
        <w:rPr>
          <w:rFonts w:cs="Arial"/>
          <w:sz w:val="22"/>
          <w:szCs w:val="22"/>
        </w:rPr>
        <w:t xml:space="preserve">. </w:t>
      </w:r>
      <w:r w:rsidR="00442003" w:rsidRPr="00DB3B14">
        <w:rPr>
          <w:rFonts w:cs="Arial"/>
          <w:sz w:val="22"/>
          <w:szCs w:val="22"/>
        </w:rPr>
        <w:t xml:space="preserve">V případě, že účastník rekvalifikační kurz </w:t>
      </w:r>
      <w:proofErr w:type="gramStart"/>
      <w:r w:rsidR="00442003" w:rsidRPr="00DB3B14">
        <w:rPr>
          <w:rFonts w:cs="Arial"/>
          <w:sz w:val="22"/>
          <w:szCs w:val="22"/>
        </w:rPr>
        <w:t>nedokončí</w:t>
      </w:r>
      <w:proofErr w:type="gramEnd"/>
      <w:r w:rsidR="00442003" w:rsidRPr="00DB3B14">
        <w:rPr>
          <w:rFonts w:cs="Arial"/>
          <w:sz w:val="22"/>
          <w:szCs w:val="22"/>
        </w:rPr>
        <w:t xml:space="preserve">, je dodavatel oprávněn fakturovat objednateli pouze poměrnou </w:t>
      </w:r>
      <w:r w:rsidR="00442003" w:rsidRPr="00DB3B14">
        <w:rPr>
          <w:rFonts w:cs="Arial"/>
          <w:sz w:val="22"/>
          <w:szCs w:val="22"/>
        </w:rPr>
        <w:lastRenderedPageBreak/>
        <w:t>část nákladů rekvalifikačního kurzu (cena za osobu / celkový počet hodin rekvalifikačního kurzu dle bodu 2.2 této Rámcové smlouvy x skutečný počet absolvovaných hodin).</w:t>
      </w: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Cena za osobu: 5 000 Kč, celkový počet hodin: 100, skutečný počet absolvovaných hodin: 40</w:t>
      </w:r>
    </w:p>
    <w:p w14:paraId="4527AA14" w14:textId="04BC5BAF"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Výpočet: 5 000 / 100 x 40 = 2 000 Kč</w:t>
      </w:r>
    </w:p>
    <w:p w14:paraId="0B4D29AA" w14:textId="77777777"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77777777"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Cena za osobu: 25 000 Kč, navýšený počet hodin: 200, skutečný počet absolvovaných hodin: 60</w:t>
      </w:r>
    </w:p>
    <w:p w14:paraId="4ABD2961" w14:textId="023BFA2D" w:rsidR="009B22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Výpočet: 25 000 / 200 x 60 = 7 500 Kč</w:t>
      </w:r>
    </w:p>
    <w:bookmarkEnd w:id="28"/>
    <w:p w14:paraId="64A1194F" w14:textId="2CAD3265"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je povinen vrátit poskytnuté finanční prostředky nebo jejich část, pokud </w:t>
      </w:r>
      <w:proofErr w:type="gramStart"/>
      <w:r w:rsidRPr="007856D1">
        <w:rPr>
          <w:rFonts w:cs="Arial"/>
          <w:bCs/>
          <w:sz w:val="22"/>
          <w:szCs w:val="22"/>
          <w:lang w:eastAsia="cs-CZ"/>
        </w:rPr>
        <w:t>nedodrží</w:t>
      </w:r>
      <w:proofErr w:type="gramEnd"/>
      <w:r w:rsidRPr="007856D1">
        <w:rPr>
          <w:rFonts w:cs="Arial"/>
          <w:bCs/>
          <w:sz w:val="22"/>
          <w:szCs w:val="22"/>
          <w:lang w:eastAsia="cs-CZ"/>
        </w:rPr>
        <w:t xml:space="preserve">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(ustanovení § 108 odst. 7 písm. i) zákona č. 435/2004 Sb., ve znění pozdějších předpisů).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9" w:name="_Toc236099590"/>
      <w:bookmarkStart w:id="30" w:name="_Toc236099819"/>
      <w:bookmarkStart w:id="31" w:name="_Toc236100399"/>
      <w:bookmarkStart w:id="32" w:name="_Toc236100782"/>
      <w:bookmarkStart w:id="33" w:name="_Toc236101306"/>
      <w:bookmarkStart w:id="34" w:name="_Toc236101364"/>
      <w:bookmarkStart w:id="35" w:name="_Toc236101457"/>
      <w:bookmarkStart w:id="36" w:name="_Toc236707277"/>
      <w:bookmarkStart w:id="37" w:name="_Toc236707860"/>
      <w:bookmarkStart w:id="38" w:name="_Toc236809005"/>
      <w:bookmarkStart w:id="39" w:name="_Toc237064632"/>
      <w:r w:rsidRPr="00171255">
        <w:rPr>
          <w:color w:val="FFFFFF" w:themeColor="background1"/>
          <w:sz w:val="22"/>
          <w:szCs w:val="22"/>
        </w:rPr>
        <w:t>Podmínky spolupráce</w:t>
      </w:r>
      <w:bookmarkEnd w:id="29"/>
      <w:bookmarkEnd w:id="30"/>
      <w:bookmarkEnd w:id="31"/>
      <w:bookmarkEnd w:id="32"/>
      <w:bookmarkEnd w:id="33"/>
      <w:bookmarkEnd w:id="34"/>
      <w:bookmarkEnd w:id="35"/>
      <w:bookmarkEnd w:id="36"/>
      <w:bookmarkEnd w:id="37"/>
      <w:bookmarkEnd w:id="38"/>
      <w:bookmarkEnd w:id="39"/>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672CDDFC"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xml:space="preserve">, </w:t>
      </w:r>
      <w:r w:rsidR="00104753" w:rsidRPr="007856D1">
        <w:rPr>
          <w:rFonts w:cs="Arial"/>
          <w:sz w:val="22"/>
          <w:szCs w:val="22"/>
        </w:rPr>
        <w:lastRenderedPageBreak/>
        <w:t>s pojistným plněním ve výši minimálně 1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171255">
      <w:pPr>
        <w:tabs>
          <w:tab w:val="left" w:pos="0"/>
        </w:tabs>
        <w:spacing w:line="360" w:lineRule="auto"/>
        <w:contextualSpacing/>
        <w:jc w:val="center"/>
        <w:outlineLvl w:val="0"/>
        <w:rPr>
          <w:rFonts w:cs="Arial"/>
          <w:b/>
          <w:sz w:val="14"/>
          <w:szCs w:val="22"/>
          <w:lang w:eastAsia="x-none"/>
        </w:rPr>
      </w:pPr>
    </w:p>
    <w:p w14:paraId="78572785"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bjednatele</w:t>
      </w:r>
      <w:proofErr w:type="spellEnd"/>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w:t>
      </w:r>
      <w:proofErr w:type="gramStart"/>
      <w:r w:rsidRPr="007856D1">
        <w:rPr>
          <w:rFonts w:cs="Arial"/>
          <w:sz w:val="22"/>
          <w:szCs w:val="22"/>
          <w:lang w:eastAsia="ar-SA"/>
        </w:rPr>
        <w:t>označí</w:t>
      </w:r>
      <w:proofErr w:type="gramEnd"/>
      <w:r w:rsidRPr="007856D1">
        <w:rPr>
          <w:rFonts w:cs="Arial"/>
          <w:sz w:val="22"/>
          <w:szCs w:val="22"/>
          <w:lang w:eastAsia="ar-SA"/>
        </w:rPr>
        <w:t xml:space="preserve">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2B6DC1B6"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odavatele</w:t>
      </w:r>
      <w:proofErr w:type="spellEnd"/>
      <w:r w:rsidRPr="007856D1">
        <w:rPr>
          <w:rFonts w:cs="Arial"/>
          <w:bCs/>
          <w:iCs/>
          <w:sz w:val="22"/>
          <w:szCs w:val="22"/>
          <w:lang w:val="x-none" w:eastAsia="x-none"/>
        </w:rPr>
        <w:t xml:space="preserve"> vyplývající</w:t>
      </w:r>
      <w:r w:rsidR="00AE51FE">
        <w:rPr>
          <w:rFonts w:cs="Arial"/>
          <w:bCs/>
          <w:iCs/>
          <w:sz w:val="22"/>
          <w:szCs w:val="22"/>
          <w:lang w:eastAsia="x-none"/>
        </w:rPr>
        <w:t>m</w:t>
      </w:r>
      <w:r w:rsidRPr="007856D1">
        <w:rPr>
          <w:rFonts w:cs="Arial"/>
          <w:bCs/>
          <w:iCs/>
          <w:sz w:val="22"/>
          <w:szCs w:val="22"/>
          <w:lang w:eastAsia="x-none"/>
        </w:rPr>
        <w:t xml:space="preserve">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bjednateli</w:t>
      </w:r>
      <w:proofErr w:type="spellEnd"/>
      <w:r w:rsidRPr="007856D1">
        <w:rPr>
          <w:rFonts w:cs="Arial"/>
          <w:bCs/>
          <w:iCs/>
          <w:sz w:val="22"/>
          <w:szCs w:val="22"/>
          <w:lang w:val="x-none" w:eastAsia="x-none"/>
        </w:rPr>
        <w:t xml:space="preserve"> odpovídá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w:t>
      </w:r>
      <w:proofErr w:type="spellEnd"/>
      <w:r w:rsidRPr="007856D1">
        <w:rPr>
          <w:rFonts w:cs="Arial"/>
          <w:bCs/>
          <w:iCs/>
          <w:sz w:val="22"/>
          <w:szCs w:val="22"/>
          <w:lang w:val="x-none" w:eastAsia="x-none"/>
        </w:rPr>
        <w:t xml:space="preserve">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15C12F0B"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r>
        <w:rPr>
          <w:sz w:val="22"/>
          <w:szCs w:val="22"/>
        </w:rPr>
        <w:t>.</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77777777"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proofErr w:type="spellStart"/>
      <w:r w:rsidRPr="007856D1">
        <w:rPr>
          <w:rFonts w:cs="Arial"/>
          <w:iCs/>
          <w:sz w:val="22"/>
          <w:szCs w:val="22"/>
          <w:lang w:val="x-none" w:eastAsia="x-none"/>
        </w:rPr>
        <w:t>bjednatel</w:t>
      </w:r>
      <w:proofErr w:type="spellEnd"/>
      <w:r w:rsidRPr="007856D1">
        <w:rPr>
          <w:rFonts w:cs="Arial"/>
          <w:iCs/>
          <w:sz w:val="22"/>
          <w:szCs w:val="22"/>
          <w:lang w:val="x-none" w:eastAsia="x-none"/>
        </w:rPr>
        <w:t xml:space="preserve"> písemně sdělí, že na dokončení netrvá. </w:t>
      </w:r>
      <w:r w:rsidRPr="007856D1">
        <w:rPr>
          <w:rFonts w:cs="Arial"/>
          <w:iCs/>
          <w:sz w:val="22"/>
          <w:szCs w:val="22"/>
          <w:lang w:val="x-none" w:eastAsia="x-none"/>
        </w:rPr>
        <w:lastRenderedPageBreak/>
        <w:t xml:space="preserve">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proofErr w:type="spellStart"/>
      <w:r w:rsidRPr="007856D1">
        <w:rPr>
          <w:rFonts w:cs="Arial"/>
          <w:iCs/>
          <w:sz w:val="22"/>
          <w:szCs w:val="22"/>
          <w:lang w:val="x-none" w:eastAsia="x-none"/>
        </w:rPr>
        <w:t>bjednatelem</w:t>
      </w:r>
      <w:proofErr w:type="spellEnd"/>
      <w:r w:rsidRPr="007856D1">
        <w:rPr>
          <w:rFonts w:cs="Arial"/>
          <w:iCs/>
          <w:sz w:val="22"/>
          <w:szCs w:val="22"/>
          <w:lang w:val="x-none" w:eastAsia="x-none"/>
        </w:rPr>
        <w:t xml:space="preserve">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77777777"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14:paraId="10F7840F" w14:textId="77777777" w:rsidR="00171255" w:rsidRPr="006A3B00" w:rsidRDefault="00171255" w:rsidP="00171255">
      <w:pPr>
        <w:pStyle w:val="Odstavecseseznamem"/>
        <w:spacing w:line="360" w:lineRule="auto"/>
        <w:ind w:left="567"/>
        <w:jc w:val="both"/>
        <w:rPr>
          <w:rFonts w:cs="Arial"/>
          <w:sz w:val="14"/>
          <w:szCs w:val="22"/>
        </w:rPr>
      </w:pPr>
    </w:p>
    <w:p w14:paraId="0291FC6F" w14:textId="77777777"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76AB6A53"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Dodavatel se zavazuje plnit 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pravidel pro publicitu 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5B1F9B">
        <w:rPr>
          <w:rFonts w:cs="Arial"/>
          <w:bCs/>
          <w:sz w:val="22"/>
          <w:szCs w:val="22"/>
        </w:rPr>
        <w:t xml:space="preserve">, </w:t>
      </w:r>
      <w:r w:rsidR="005B1F9B" w:rsidRPr="005B1F9B">
        <w:rPr>
          <w:sz w:val="22"/>
          <w:szCs w:val="22"/>
        </w:rPr>
        <w:t xml:space="preserve">případně navazujícího operačního programu pro programovací období </w:t>
      </w:r>
      <w:proofErr w:type="gramStart"/>
      <w:r w:rsidR="005B1F9B" w:rsidRPr="005B1F9B">
        <w:rPr>
          <w:sz w:val="22"/>
          <w:szCs w:val="22"/>
        </w:rPr>
        <w:t>2021 – 2027</w:t>
      </w:r>
      <w:proofErr w:type="gramEnd"/>
      <w:r w:rsidR="005B1F9B" w:rsidRPr="005B1F9B">
        <w:rPr>
          <w:sz w:val="22"/>
          <w:szCs w:val="22"/>
        </w:rPr>
        <w:t>.</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w:t>
      </w:r>
      <w:proofErr w:type="gramStart"/>
      <w:r w:rsidRPr="00171255">
        <w:rPr>
          <w:rFonts w:cs="Arial"/>
          <w:sz w:val="22"/>
          <w:szCs w:val="22"/>
        </w:rPr>
        <w:t>nepodaří</w:t>
      </w:r>
      <w:proofErr w:type="gramEnd"/>
      <w:r w:rsidRPr="00171255">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718C19EC" w14:textId="77777777"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26CB629B" w14:textId="233FB8B1" w:rsidR="000F2B25" w:rsidRDefault="000F2B25" w:rsidP="00AF3E4F">
      <w:pPr>
        <w:pStyle w:val="Odstavecseseznamem"/>
        <w:spacing w:line="360" w:lineRule="auto"/>
        <w:ind w:left="426"/>
        <w:jc w:val="both"/>
        <w:rPr>
          <w:rFonts w:cs="Arial"/>
          <w:sz w:val="18"/>
          <w:szCs w:val="22"/>
        </w:rPr>
      </w:pPr>
    </w:p>
    <w:p w14:paraId="5E9D1A18" w14:textId="77777777" w:rsidR="00AD34C9" w:rsidRPr="007856D1" w:rsidRDefault="00AD34C9" w:rsidP="00AF3E4F">
      <w:pPr>
        <w:pStyle w:val="Odstavecseseznamem"/>
        <w:spacing w:line="360" w:lineRule="auto"/>
        <w:ind w:left="426"/>
        <w:jc w:val="both"/>
        <w:rPr>
          <w:rFonts w:cs="Arial"/>
          <w:sz w:val="18"/>
          <w:szCs w:val="22"/>
        </w:rPr>
      </w:pPr>
    </w:p>
    <w:p w14:paraId="63928F20" w14:textId="77777777"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14:paraId="0889AF05" w14:textId="77777777"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14:paraId="250C17FA" w14:textId="24F40FC9" w:rsidR="00C03490" w:rsidRDefault="00C03490" w:rsidP="00C03490">
      <w:pPr>
        <w:pStyle w:val="Odstavecseseznamem"/>
        <w:spacing w:line="360" w:lineRule="auto"/>
        <w:ind w:left="0"/>
        <w:jc w:val="both"/>
        <w:rPr>
          <w:rFonts w:cs="Arial"/>
          <w:sz w:val="22"/>
          <w:szCs w:val="22"/>
        </w:rPr>
      </w:pPr>
    </w:p>
    <w:p w14:paraId="420E5D66" w14:textId="3C21E18E" w:rsidR="00AD34C9" w:rsidRDefault="00AD34C9" w:rsidP="00C03490">
      <w:pPr>
        <w:pStyle w:val="Odstavecseseznamem"/>
        <w:spacing w:line="360" w:lineRule="auto"/>
        <w:ind w:left="0"/>
        <w:jc w:val="both"/>
        <w:rPr>
          <w:rFonts w:cs="Arial"/>
          <w:sz w:val="22"/>
          <w:szCs w:val="22"/>
        </w:rPr>
      </w:pPr>
    </w:p>
    <w:p w14:paraId="7AD6D3B5" w14:textId="1E84BFC4" w:rsidR="00AD34C9" w:rsidRDefault="00AD34C9" w:rsidP="00C03490">
      <w:pPr>
        <w:pStyle w:val="Odstavecseseznamem"/>
        <w:spacing w:line="360" w:lineRule="auto"/>
        <w:ind w:left="0"/>
        <w:jc w:val="both"/>
        <w:rPr>
          <w:rFonts w:cs="Arial"/>
          <w:sz w:val="22"/>
          <w:szCs w:val="22"/>
        </w:rPr>
      </w:pPr>
    </w:p>
    <w:p w14:paraId="65BD832A" w14:textId="325DCE9B" w:rsidR="00AD34C9" w:rsidRDefault="00AD34C9" w:rsidP="00C03490">
      <w:pPr>
        <w:pStyle w:val="Odstavecseseznamem"/>
        <w:spacing w:line="360" w:lineRule="auto"/>
        <w:ind w:left="0"/>
        <w:jc w:val="both"/>
        <w:rPr>
          <w:rFonts w:cs="Arial"/>
          <w:sz w:val="22"/>
          <w:szCs w:val="22"/>
        </w:rPr>
      </w:pPr>
    </w:p>
    <w:p w14:paraId="15F38EB8" w14:textId="77777777" w:rsidR="0047503C" w:rsidRPr="007856D1" w:rsidRDefault="0047503C" w:rsidP="0047503C">
      <w:pPr>
        <w:pStyle w:val="Odstavecseseznamem"/>
        <w:spacing w:line="360" w:lineRule="auto"/>
        <w:ind w:left="0"/>
        <w:jc w:val="both"/>
        <w:rPr>
          <w:rFonts w:cs="Arial"/>
          <w:sz w:val="22"/>
          <w:szCs w:val="22"/>
        </w:rPr>
      </w:pPr>
      <w:r>
        <w:rPr>
          <w:rFonts w:cs="Arial"/>
          <w:sz w:val="22"/>
          <w:szCs w:val="22"/>
        </w:rPr>
        <w:t>19. 9. 2022</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19. 9. 2022</w:t>
      </w:r>
    </w:p>
    <w:p w14:paraId="53CBDCCF" w14:textId="3BB6F50C" w:rsidR="00AD34C9" w:rsidRPr="007856D1" w:rsidRDefault="00AD34C9" w:rsidP="00C03490">
      <w:pPr>
        <w:pStyle w:val="Odstavecseseznamem"/>
        <w:spacing w:line="360" w:lineRule="auto"/>
        <w:ind w:left="0"/>
        <w:jc w:val="both"/>
        <w:rPr>
          <w:rFonts w:cs="Arial"/>
          <w:sz w:val="22"/>
          <w:szCs w:val="22"/>
        </w:rPr>
      </w:pPr>
    </w:p>
    <w:p w14:paraId="0E5C8A5D" w14:textId="77777777"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14:paraId="0F34BA06" w14:textId="436E260A" w:rsidR="00200934" w:rsidRDefault="007856D1" w:rsidP="00200934">
      <w:pPr>
        <w:tabs>
          <w:tab w:val="left" w:pos="4680"/>
        </w:tabs>
        <w:spacing w:line="360" w:lineRule="auto"/>
        <w:jc w:val="both"/>
        <w:rPr>
          <w:rFonts w:cs="Arial"/>
          <w:bCs/>
          <w:sz w:val="22"/>
          <w:szCs w:val="22"/>
        </w:rPr>
      </w:pPr>
      <w:r w:rsidRPr="007856D1">
        <w:rPr>
          <w:rFonts w:cs="Arial"/>
          <w:sz w:val="22"/>
          <w:szCs w:val="22"/>
        </w:rPr>
        <w:t>Dodavatel</w:t>
      </w:r>
      <w:r w:rsidRPr="007856D1">
        <w:rPr>
          <w:rFonts w:cs="Arial"/>
          <w:sz w:val="22"/>
          <w:szCs w:val="22"/>
        </w:rPr>
        <w:tab/>
        <w:t>Objednatel</w:t>
      </w:r>
      <w:r w:rsidR="00200934" w:rsidRPr="007856D1">
        <w:rPr>
          <w:rFonts w:cs="Arial"/>
          <w:bCs/>
          <w:sz w:val="22"/>
          <w:szCs w:val="22"/>
        </w:rPr>
        <w:tab/>
      </w:r>
    </w:p>
    <w:p w14:paraId="73B6333C" w14:textId="221D98AC" w:rsidR="007B6F72" w:rsidRDefault="007B6F72" w:rsidP="00200934">
      <w:pPr>
        <w:tabs>
          <w:tab w:val="left" w:pos="4680"/>
        </w:tabs>
        <w:spacing w:line="360" w:lineRule="auto"/>
        <w:jc w:val="both"/>
        <w:rPr>
          <w:rFonts w:cs="Arial"/>
          <w:bCs/>
          <w:sz w:val="22"/>
          <w:szCs w:val="22"/>
        </w:rPr>
      </w:pPr>
    </w:p>
    <w:p w14:paraId="6476B64E" w14:textId="393CB48A" w:rsidR="007B6F72" w:rsidRDefault="007B6F72" w:rsidP="00200934">
      <w:pPr>
        <w:tabs>
          <w:tab w:val="left" w:pos="4680"/>
        </w:tabs>
        <w:spacing w:line="360" w:lineRule="auto"/>
        <w:jc w:val="both"/>
        <w:rPr>
          <w:rFonts w:cs="Arial"/>
          <w:bCs/>
          <w:sz w:val="22"/>
          <w:szCs w:val="22"/>
        </w:rPr>
      </w:pPr>
    </w:p>
    <w:p w14:paraId="68E6E2AE" w14:textId="451175B8" w:rsidR="007B6F72" w:rsidRDefault="007B6F72" w:rsidP="00200934">
      <w:pPr>
        <w:tabs>
          <w:tab w:val="left" w:pos="4680"/>
        </w:tabs>
        <w:spacing w:line="360" w:lineRule="auto"/>
        <w:jc w:val="both"/>
        <w:rPr>
          <w:rFonts w:cs="Arial"/>
          <w:bCs/>
          <w:sz w:val="22"/>
          <w:szCs w:val="22"/>
        </w:rPr>
      </w:pPr>
      <w:r w:rsidRPr="007856D1">
        <w:rPr>
          <w:rFonts w:cs="Arial"/>
          <w:bCs/>
          <w:sz w:val="22"/>
          <w:szCs w:val="22"/>
        </w:rPr>
        <w:t>Příloha č. 1 - Specifikace a technické podmínky</w:t>
      </w:r>
    </w:p>
    <w:p w14:paraId="21217145" w14:textId="36CC1F67" w:rsidR="007B6F72" w:rsidRDefault="007B6F72" w:rsidP="00200934">
      <w:pPr>
        <w:tabs>
          <w:tab w:val="left" w:pos="4680"/>
        </w:tabs>
        <w:spacing w:line="360" w:lineRule="auto"/>
        <w:jc w:val="both"/>
        <w:rPr>
          <w:rFonts w:cs="Arial"/>
          <w:sz w:val="22"/>
          <w:szCs w:val="22"/>
        </w:rPr>
      </w:pPr>
    </w:p>
    <w:p w14:paraId="7DFC3871" w14:textId="77777777" w:rsidR="007B6F72" w:rsidRPr="005F33E2" w:rsidRDefault="007B6F72" w:rsidP="007B6F72">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5F33E2">
        <w:rPr>
          <w:rFonts w:cs="Arial"/>
          <w:b/>
          <w:bCs/>
          <w:color w:val="FFFFFF" w:themeColor="background1"/>
          <w:sz w:val="28"/>
        </w:rPr>
        <w:t xml:space="preserve">SPECIFIKACE A TECHNICKÉ PODMÍNKY PRO ČÁST č. </w:t>
      </w:r>
      <w:r>
        <w:rPr>
          <w:rFonts w:cs="Arial"/>
          <w:b/>
          <w:bCs/>
          <w:color w:val="FFFFFF" w:themeColor="background1"/>
          <w:sz w:val="28"/>
        </w:rPr>
        <w:t>5</w:t>
      </w:r>
      <w:r w:rsidRPr="005F33E2">
        <w:rPr>
          <w:rFonts w:cs="Arial"/>
          <w:b/>
          <w:bCs/>
          <w:color w:val="FFFFFF" w:themeColor="background1"/>
          <w:sz w:val="28"/>
        </w:rPr>
        <w:t>:</w:t>
      </w:r>
    </w:p>
    <w:p w14:paraId="500E4F7F" w14:textId="77777777" w:rsidR="007B6F72" w:rsidRPr="005F33E2" w:rsidRDefault="007B6F72" w:rsidP="007B6F72">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795B0F">
        <w:rPr>
          <w:rFonts w:cs="Arial"/>
          <w:b/>
          <w:bCs/>
          <w:color w:val="FFFFFF" w:themeColor="background1"/>
          <w:sz w:val="28"/>
        </w:rPr>
        <w:t xml:space="preserve">Rekvalifikační kurzy pro oblast </w:t>
      </w:r>
      <w:r w:rsidRPr="00CC447D">
        <w:rPr>
          <w:rFonts w:cs="Arial"/>
          <w:b/>
          <w:bCs/>
          <w:color w:val="FFFFFF" w:themeColor="background1"/>
          <w:sz w:val="28"/>
        </w:rPr>
        <w:t xml:space="preserve">počítačové rekvalifikace </w:t>
      </w:r>
      <w:r>
        <w:rPr>
          <w:rFonts w:cs="Arial"/>
          <w:b/>
          <w:bCs/>
          <w:color w:val="FFFFFF" w:themeColor="background1"/>
          <w:sz w:val="28"/>
        </w:rPr>
        <w:t>–</w:t>
      </w:r>
      <w:r w:rsidRPr="00CC447D">
        <w:rPr>
          <w:rFonts w:cs="Arial"/>
          <w:b/>
          <w:bCs/>
          <w:color w:val="FFFFFF" w:themeColor="background1"/>
          <w:sz w:val="28"/>
        </w:rPr>
        <w:t xml:space="preserve"> základní dovednosti</w:t>
      </w:r>
    </w:p>
    <w:tbl>
      <w:tblPr>
        <w:tblW w:w="9072" w:type="dxa"/>
        <w:tblInd w:w="70" w:type="dxa"/>
        <w:tblLayout w:type="fixed"/>
        <w:tblCellMar>
          <w:left w:w="70" w:type="dxa"/>
          <w:right w:w="70" w:type="dxa"/>
        </w:tblCellMar>
        <w:tblLook w:val="04A0" w:firstRow="1" w:lastRow="0" w:firstColumn="1" w:lastColumn="0" w:noHBand="0" w:noVBand="1"/>
      </w:tblPr>
      <w:tblGrid>
        <w:gridCol w:w="5245"/>
        <w:gridCol w:w="3827"/>
      </w:tblGrid>
      <w:tr w:rsidR="007B6F72" w:rsidRPr="00483FBA" w14:paraId="08A73F43" w14:textId="77777777" w:rsidTr="0003658C">
        <w:trPr>
          <w:trHeight w:val="885"/>
        </w:trPr>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0C8C22" w14:textId="77777777" w:rsidR="007B6F72" w:rsidRPr="00483FBA" w:rsidRDefault="007B6F72" w:rsidP="0003658C">
            <w:pPr>
              <w:jc w:val="center"/>
              <w:rPr>
                <w:rFonts w:cs="Arial"/>
                <w:b/>
              </w:rPr>
            </w:pPr>
            <w:r w:rsidRPr="00483FBA">
              <w:rPr>
                <w:rFonts w:cs="Arial"/>
                <w:b/>
              </w:rPr>
              <w:t>Typ rekvalifikačního kurzu</w:t>
            </w:r>
          </w:p>
          <w:p w14:paraId="0C68DBC2" w14:textId="77777777" w:rsidR="007B6F72" w:rsidRPr="00483FBA" w:rsidRDefault="007B6F72" w:rsidP="0003658C">
            <w:pPr>
              <w:jc w:val="center"/>
              <w:rPr>
                <w:rFonts w:cs="Arial"/>
                <w:b/>
              </w:rPr>
            </w:pPr>
            <w:r w:rsidRPr="00483FBA">
              <w:rPr>
                <w:rFonts w:cs="Arial"/>
                <w:b/>
              </w:rPr>
              <w:t>(pracovní činnost)</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C34811" w14:textId="77777777" w:rsidR="007B6F72" w:rsidRPr="00483FBA" w:rsidRDefault="007B6F72" w:rsidP="0003658C">
            <w:pPr>
              <w:jc w:val="center"/>
              <w:rPr>
                <w:rFonts w:cs="Arial"/>
                <w:b/>
              </w:rPr>
            </w:pPr>
            <w:r w:rsidRPr="00483FBA">
              <w:rPr>
                <w:rFonts w:cs="Arial"/>
                <w:b/>
              </w:rPr>
              <w:t>Minimální rozsah kurzu bez zkoušek</w:t>
            </w:r>
          </w:p>
          <w:p w14:paraId="37B07C8F" w14:textId="77777777" w:rsidR="007B6F72" w:rsidRPr="00483FBA" w:rsidRDefault="007B6F72" w:rsidP="0003658C">
            <w:pPr>
              <w:jc w:val="center"/>
              <w:rPr>
                <w:rFonts w:cs="Arial"/>
                <w:b/>
              </w:rPr>
            </w:pPr>
            <w:r w:rsidRPr="00483FBA">
              <w:rPr>
                <w:rFonts w:cs="Arial"/>
                <w:b/>
              </w:rPr>
              <w:t>(počet vyučovacích hodin)</w:t>
            </w:r>
          </w:p>
        </w:tc>
      </w:tr>
      <w:tr w:rsidR="007B6F72" w:rsidRPr="00483FBA" w14:paraId="3AB7D6FD" w14:textId="77777777" w:rsidTr="0003658C">
        <w:trPr>
          <w:trHeight w:val="567"/>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1332A17E" w14:textId="77777777" w:rsidR="007B6F72" w:rsidRPr="00483FBA" w:rsidRDefault="007B6F72" w:rsidP="0003658C">
            <w:pPr>
              <w:jc w:val="center"/>
              <w:rPr>
                <w:rFonts w:cs="Arial"/>
              </w:rPr>
            </w:pPr>
            <w:r w:rsidRPr="00CC447D">
              <w:rPr>
                <w:rFonts w:cs="Arial"/>
              </w:rPr>
              <w:t xml:space="preserve">Počítačová gramotnost (dle sylabů ECDL </w:t>
            </w:r>
            <w:proofErr w:type="spellStart"/>
            <w:r w:rsidRPr="00CC447D">
              <w:rPr>
                <w:rFonts w:cs="Arial"/>
              </w:rPr>
              <w:t>Core</w:t>
            </w:r>
            <w:proofErr w:type="spellEnd"/>
            <w:r w:rsidRPr="00CC447D">
              <w:rPr>
                <w:rFonts w:cs="Arial"/>
              </w:rPr>
              <w:t>) - 5 modulů</w:t>
            </w:r>
          </w:p>
        </w:tc>
        <w:tc>
          <w:tcPr>
            <w:tcW w:w="3827" w:type="dxa"/>
            <w:tcBorders>
              <w:top w:val="single" w:sz="4" w:space="0" w:color="auto"/>
              <w:left w:val="single" w:sz="4" w:space="0" w:color="auto"/>
              <w:bottom w:val="single" w:sz="4" w:space="0" w:color="auto"/>
              <w:right w:val="single" w:sz="4" w:space="0" w:color="auto"/>
            </w:tcBorders>
            <w:noWrap/>
            <w:vAlign w:val="center"/>
            <w:hideMark/>
          </w:tcPr>
          <w:p w14:paraId="186A2270" w14:textId="77777777" w:rsidR="007B6F72" w:rsidRPr="000C4441" w:rsidRDefault="007B6F72" w:rsidP="0003658C">
            <w:pPr>
              <w:pStyle w:val="Default"/>
              <w:spacing w:line="360" w:lineRule="auto"/>
              <w:jc w:val="center"/>
              <w:rPr>
                <w:sz w:val="20"/>
                <w:szCs w:val="20"/>
              </w:rPr>
            </w:pPr>
            <w:r>
              <w:rPr>
                <w:sz w:val="20"/>
                <w:szCs w:val="20"/>
              </w:rPr>
              <w:t>100</w:t>
            </w:r>
          </w:p>
        </w:tc>
      </w:tr>
    </w:tbl>
    <w:p w14:paraId="39BF7982" w14:textId="77777777" w:rsidR="007B6F72" w:rsidRPr="000C4441" w:rsidRDefault="007B6F72" w:rsidP="007B6F72">
      <w:pPr>
        <w:spacing w:after="120" w:line="360" w:lineRule="auto"/>
        <w:jc w:val="both"/>
        <w:rPr>
          <w:rFonts w:cs="Arial"/>
        </w:rPr>
      </w:pPr>
    </w:p>
    <w:p w14:paraId="01A542A7" w14:textId="77777777" w:rsidR="007B6F72" w:rsidRPr="00B41571" w:rsidRDefault="007B6F72" w:rsidP="007B6F72">
      <w:pPr>
        <w:pStyle w:val="Default"/>
        <w:numPr>
          <w:ilvl w:val="0"/>
          <w:numId w:val="32"/>
        </w:numPr>
        <w:spacing w:line="360" w:lineRule="auto"/>
        <w:jc w:val="both"/>
        <w:rPr>
          <w:b/>
          <w:bCs/>
          <w:sz w:val="20"/>
          <w:szCs w:val="20"/>
        </w:rPr>
      </w:pPr>
      <w:r w:rsidRPr="00373EDC">
        <w:rPr>
          <w:sz w:val="20"/>
          <w:szCs w:val="20"/>
        </w:rPr>
        <w:t xml:space="preserve">Předpokládaný počet účastníků všech kurzů </w:t>
      </w:r>
      <w:r w:rsidRPr="00B41571">
        <w:rPr>
          <w:sz w:val="20"/>
          <w:szCs w:val="20"/>
        </w:rPr>
        <w:t xml:space="preserve">této části: </w:t>
      </w:r>
      <w:r w:rsidRPr="00B41571">
        <w:rPr>
          <w:b/>
          <w:sz w:val="20"/>
          <w:szCs w:val="20"/>
        </w:rPr>
        <w:t>800</w:t>
      </w:r>
      <w:r w:rsidRPr="00B41571">
        <w:rPr>
          <w:bCs/>
          <w:sz w:val="20"/>
          <w:szCs w:val="20"/>
        </w:rPr>
        <w:t>.</w:t>
      </w:r>
    </w:p>
    <w:p w14:paraId="3BFAACA7" w14:textId="77777777" w:rsidR="007B6F72" w:rsidRPr="00B41571" w:rsidRDefault="007B6F72" w:rsidP="007B6F72">
      <w:pPr>
        <w:pStyle w:val="Default"/>
        <w:numPr>
          <w:ilvl w:val="0"/>
          <w:numId w:val="32"/>
        </w:numPr>
        <w:spacing w:line="360" w:lineRule="auto"/>
        <w:jc w:val="both"/>
        <w:rPr>
          <w:b/>
          <w:bCs/>
          <w:sz w:val="20"/>
          <w:szCs w:val="20"/>
        </w:rPr>
      </w:pPr>
      <w:r w:rsidRPr="00B41571">
        <w:rPr>
          <w:bCs/>
          <w:sz w:val="20"/>
          <w:szCs w:val="20"/>
        </w:rPr>
        <w:t xml:space="preserve">Předpokládaná hodnota části: </w:t>
      </w:r>
      <w:r w:rsidRPr="00B41571">
        <w:rPr>
          <w:b/>
          <w:sz w:val="20"/>
          <w:szCs w:val="20"/>
        </w:rPr>
        <w:t>7 200 000</w:t>
      </w:r>
      <w:r w:rsidRPr="00B41571">
        <w:rPr>
          <w:sz w:val="20"/>
          <w:szCs w:val="20"/>
        </w:rPr>
        <w:t>,- Kč bez DPH.</w:t>
      </w:r>
    </w:p>
    <w:p w14:paraId="1ABE4E0D" w14:textId="77777777" w:rsidR="007B6F72" w:rsidRPr="000C4441" w:rsidRDefault="007B6F72" w:rsidP="007B6F72">
      <w:pPr>
        <w:pStyle w:val="Default"/>
        <w:numPr>
          <w:ilvl w:val="0"/>
          <w:numId w:val="32"/>
        </w:numPr>
        <w:spacing w:line="360" w:lineRule="auto"/>
        <w:jc w:val="both"/>
        <w:rPr>
          <w:sz w:val="20"/>
          <w:szCs w:val="20"/>
        </w:rPr>
      </w:pPr>
      <w:r w:rsidRPr="00B41571">
        <w:rPr>
          <w:sz w:val="20"/>
          <w:szCs w:val="20"/>
        </w:rPr>
        <w:t xml:space="preserve">Maximální cena za kurz (Kč/osoba/kurz): </w:t>
      </w:r>
      <w:r w:rsidRPr="00B41571">
        <w:rPr>
          <w:b/>
          <w:sz w:val="20"/>
          <w:szCs w:val="20"/>
        </w:rPr>
        <w:t>9 000</w:t>
      </w:r>
      <w:r w:rsidRPr="00B41571">
        <w:rPr>
          <w:sz w:val="20"/>
          <w:szCs w:val="20"/>
        </w:rPr>
        <w:t>,</w:t>
      </w:r>
      <w:r w:rsidRPr="00113F48">
        <w:rPr>
          <w:sz w:val="20"/>
          <w:szCs w:val="20"/>
        </w:rPr>
        <w:t xml:space="preserve">- </w:t>
      </w:r>
      <w:r w:rsidRPr="0003788F">
        <w:rPr>
          <w:sz w:val="20"/>
          <w:szCs w:val="20"/>
        </w:rPr>
        <w:t>Kč</w:t>
      </w:r>
      <w:r w:rsidRPr="00113F48">
        <w:rPr>
          <w:sz w:val="20"/>
          <w:szCs w:val="20"/>
        </w:rPr>
        <w:t xml:space="preserve"> </w:t>
      </w:r>
      <w:r w:rsidRPr="00373EDC">
        <w:rPr>
          <w:sz w:val="20"/>
          <w:szCs w:val="20"/>
        </w:rPr>
        <w:t>bez DPH</w:t>
      </w:r>
      <w:r w:rsidRPr="000C4441">
        <w:rPr>
          <w:sz w:val="20"/>
          <w:szCs w:val="20"/>
        </w:rPr>
        <w:t>.</w:t>
      </w:r>
    </w:p>
    <w:p w14:paraId="11C4FD53" w14:textId="77777777" w:rsidR="007B6F72" w:rsidRDefault="007B6F72" w:rsidP="007B6F72">
      <w:pPr>
        <w:pStyle w:val="Default"/>
        <w:numPr>
          <w:ilvl w:val="0"/>
          <w:numId w:val="32"/>
        </w:numPr>
        <w:spacing w:line="360" w:lineRule="auto"/>
        <w:jc w:val="both"/>
        <w:rPr>
          <w:sz w:val="20"/>
          <w:szCs w:val="20"/>
        </w:rPr>
      </w:pPr>
      <w:r w:rsidRPr="00373EDC">
        <w:rPr>
          <w:sz w:val="20"/>
          <w:szCs w:val="20"/>
        </w:rPr>
        <w:t>U rekvalifikačního kurzu bude dodržen minimální počet hodin bez zkoušek uvede</w:t>
      </w:r>
      <w:r>
        <w:rPr>
          <w:sz w:val="20"/>
          <w:szCs w:val="20"/>
        </w:rPr>
        <w:t>ný v tabulce</w:t>
      </w:r>
      <w:r w:rsidRPr="000C4441">
        <w:rPr>
          <w:sz w:val="20"/>
          <w:szCs w:val="20"/>
        </w:rPr>
        <w:t xml:space="preserve">. </w:t>
      </w:r>
    </w:p>
    <w:p w14:paraId="4D372042" w14:textId="77777777" w:rsidR="007B6F72" w:rsidRDefault="007B6F72" w:rsidP="007B6F72">
      <w:pPr>
        <w:pStyle w:val="Default"/>
        <w:numPr>
          <w:ilvl w:val="0"/>
          <w:numId w:val="32"/>
        </w:numPr>
        <w:spacing w:line="360" w:lineRule="auto"/>
        <w:jc w:val="both"/>
        <w:rPr>
          <w:sz w:val="20"/>
          <w:szCs w:val="20"/>
        </w:rPr>
      </w:pPr>
      <w:r w:rsidRPr="00373EDC">
        <w:rPr>
          <w:sz w:val="20"/>
          <w:szCs w:val="20"/>
        </w:rPr>
        <w:t>Minimální počet účastníků nutný pro za</w:t>
      </w:r>
      <w:r>
        <w:rPr>
          <w:sz w:val="20"/>
          <w:szCs w:val="20"/>
        </w:rPr>
        <w:t xml:space="preserve">hájení rekvalifikačního kurzu: </w:t>
      </w:r>
      <w:r>
        <w:rPr>
          <w:b/>
          <w:sz w:val="20"/>
          <w:szCs w:val="20"/>
        </w:rPr>
        <w:t>5.</w:t>
      </w:r>
    </w:p>
    <w:p w14:paraId="56DD6C47" w14:textId="77777777" w:rsidR="007B6F72" w:rsidRDefault="007B6F72" w:rsidP="007B6F72">
      <w:pPr>
        <w:pStyle w:val="Default"/>
        <w:numPr>
          <w:ilvl w:val="0"/>
          <w:numId w:val="32"/>
        </w:numPr>
        <w:spacing w:line="360" w:lineRule="auto"/>
        <w:jc w:val="both"/>
        <w:rPr>
          <w:sz w:val="20"/>
          <w:szCs w:val="20"/>
        </w:rPr>
      </w:pPr>
      <w:r w:rsidRPr="00770140">
        <w:rPr>
          <w:sz w:val="20"/>
          <w:szCs w:val="20"/>
        </w:rPr>
        <w:t xml:space="preserve">Maximální počet účastníků v kurzu nepřesáhne </w:t>
      </w:r>
      <w:r w:rsidRPr="00770140">
        <w:rPr>
          <w:b/>
          <w:bCs/>
          <w:sz w:val="20"/>
          <w:szCs w:val="20"/>
        </w:rPr>
        <w:t>12 osob</w:t>
      </w:r>
      <w:r w:rsidRPr="00770140">
        <w:rPr>
          <w:sz w:val="20"/>
          <w:szCs w:val="20"/>
        </w:rPr>
        <w:t>.</w:t>
      </w:r>
    </w:p>
    <w:p w14:paraId="078FB3A4" w14:textId="77777777" w:rsidR="007B6F72" w:rsidRDefault="007B6F72" w:rsidP="007B6F72">
      <w:pPr>
        <w:pStyle w:val="Default"/>
        <w:numPr>
          <w:ilvl w:val="0"/>
          <w:numId w:val="32"/>
        </w:numPr>
        <w:spacing w:line="360" w:lineRule="auto"/>
        <w:jc w:val="both"/>
        <w:rPr>
          <w:sz w:val="20"/>
          <w:szCs w:val="20"/>
        </w:rPr>
      </w:pPr>
      <w:r w:rsidRPr="000C12AA">
        <w:rPr>
          <w:sz w:val="20"/>
          <w:szCs w:val="20"/>
        </w:rPr>
        <w:t>Organizace výuky: výuka bude organizována v maximálním rozsahu 8 vyučovacích hodin denně</w:t>
      </w:r>
      <w:r>
        <w:rPr>
          <w:sz w:val="20"/>
          <w:szCs w:val="20"/>
        </w:rPr>
        <w:t xml:space="preserve"> vč. přestávek</w:t>
      </w:r>
      <w:r w:rsidRPr="000C12AA">
        <w:rPr>
          <w:sz w:val="20"/>
          <w:szCs w:val="20"/>
        </w:rPr>
        <w:t xml:space="preserve">, </w:t>
      </w:r>
      <w:r w:rsidRPr="000C4441">
        <w:rPr>
          <w:sz w:val="20"/>
          <w:szCs w:val="20"/>
        </w:rPr>
        <w:t>od pondělí do pátku, zpravidla od 8.00 do 16.00 hod.</w:t>
      </w:r>
    </w:p>
    <w:p w14:paraId="2EEB57DF" w14:textId="77777777" w:rsidR="007B6F72" w:rsidRDefault="007B6F72" w:rsidP="007B6F72">
      <w:pPr>
        <w:pStyle w:val="Default"/>
        <w:numPr>
          <w:ilvl w:val="0"/>
          <w:numId w:val="32"/>
        </w:numPr>
        <w:spacing w:line="360" w:lineRule="auto"/>
        <w:jc w:val="both"/>
        <w:rPr>
          <w:sz w:val="20"/>
          <w:szCs w:val="20"/>
        </w:rPr>
      </w:pPr>
      <w:r>
        <w:rPr>
          <w:sz w:val="20"/>
          <w:szCs w:val="20"/>
        </w:rPr>
        <w:t xml:space="preserve">Kurz bude obsahovat následující moduly: </w:t>
      </w:r>
      <w:r w:rsidRPr="00770140">
        <w:rPr>
          <w:sz w:val="20"/>
          <w:szCs w:val="20"/>
        </w:rPr>
        <w:t>M3, M4, M6, M12, M14</w:t>
      </w:r>
      <w:r>
        <w:rPr>
          <w:sz w:val="20"/>
          <w:szCs w:val="20"/>
        </w:rPr>
        <w:t>.</w:t>
      </w:r>
    </w:p>
    <w:p w14:paraId="1596CFD2" w14:textId="77777777" w:rsidR="007B6F72" w:rsidRDefault="007B6F72" w:rsidP="007B6F72">
      <w:pPr>
        <w:pStyle w:val="Default"/>
        <w:numPr>
          <w:ilvl w:val="0"/>
          <w:numId w:val="32"/>
        </w:numPr>
        <w:spacing w:line="360" w:lineRule="auto"/>
        <w:jc w:val="both"/>
        <w:rPr>
          <w:sz w:val="20"/>
          <w:szCs w:val="20"/>
        </w:rPr>
      </w:pPr>
      <w:r w:rsidRPr="000C12AA">
        <w:rPr>
          <w:sz w:val="20"/>
          <w:szCs w:val="20"/>
        </w:rPr>
        <w:t xml:space="preserve">Délka rekvalifikace včetně závěrečné zkoušky nesmí přesáhnout </w:t>
      </w:r>
      <w:r w:rsidRPr="005144D4">
        <w:rPr>
          <w:sz w:val="20"/>
          <w:szCs w:val="20"/>
        </w:rPr>
        <w:t>5</w:t>
      </w:r>
      <w:r>
        <w:rPr>
          <w:sz w:val="20"/>
          <w:szCs w:val="20"/>
        </w:rPr>
        <w:t xml:space="preserve"> týdnů</w:t>
      </w:r>
      <w:r w:rsidRPr="000C12AA">
        <w:rPr>
          <w:sz w:val="20"/>
          <w:szCs w:val="20"/>
        </w:rPr>
        <w:t>.</w:t>
      </w:r>
    </w:p>
    <w:p w14:paraId="55AF5B8B" w14:textId="77777777" w:rsidR="007B6F72" w:rsidRPr="005144D4" w:rsidRDefault="007B6F72" w:rsidP="007B6F72">
      <w:pPr>
        <w:pStyle w:val="Default"/>
        <w:numPr>
          <w:ilvl w:val="0"/>
          <w:numId w:val="32"/>
        </w:numPr>
        <w:spacing w:line="360" w:lineRule="auto"/>
        <w:jc w:val="both"/>
        <w:rPr>
          <w:sz w:val="20"/>
          <w:szCs w:val="20"/>
        </w:rPr>
      </w:pPr>
      <w:r w:rsidRPr="005144D4">
        <w:rPr>
          <w:sz w:val="20"/>
          <w:szCs w:val="20"/>
        </w:rPr>
        <w:t>Obsah (tematické celky) bude v souladu s bodem 2.2 písm. h) Zadávací dokumentace rozepsán v Příloze č. 5 Nabídka zabezpečení rekvalifikace.</w:t>
      </w:r>
    </w:p>
    <w:p w14:paraId="4357BC70" w14:textId="77777777" w:rsidR="007B6F72" w:rsidRDefault="007B6F72" w:rsidP="007B6F72">
      <w:pPr>
        <w:pStyle w:val="Default"/>
        <w:numPr>
          <w:ilvl w:val="0"/>
          <w:numId w:val="33"/>
        </w:numPr>
        <w:spacing w:line="360" w:lineRule="auto"/>
        <w:jc w:val="both"/>
        <w:rPr>
          <w:sz w:val="20"/>
          <w:szCs w:val="20"/>
        </w:rPr>
      </w:pPr>
      <w:r>
        <w:rPr>
          <w:sz w:val="20"/>
          <w:szCs w:val="20"/>
        </w:rPr>
        <w:t>Dodavatel zajistí, že k</w:t>
      </w:r>
      <w:r w:rsidRPr="00770140">
        <w:rPr>
          <w:sz w:val="20"/>
          <w:szCs w:val="20"/>
        </w:rPr>
        <w:t>aždý účastník bude mít k dispozici počítač s internetovým připojením v průběhu celé rekvalifikace.</w:t>
      </w:r>
    </w:p>
    <w:p w14:paraId="17E4DF78" w14:textId="77777777" w:rsidR="007B6F72" w:rsidRPr="00770140" w:rsidRDefault="007B6F72" w:rsidP="007B6F72">
      <w:pPr>
        <w:pStyle w:val="Default"/>
        <w:numPr>
          <w:ilvl w:val="0"/>
          <w:numId w:val="33"/>
        </w:numPr>
        <w:spacing w:line="360" w:lineRule="auto"/>
        <w:jc w:val="both"/>
        <w:rPr>
          <w:sz w:val="20"/>
          <w:szCs w:val="20"/>
        </w:rPr>
      </w:pPr>
      <w:r w:rsidRPr="00770140">
        <w:rPr>
          <w:sz w:val="20"/>
          <w:szCs w:val="20"/>
        </w:rPr>
        <w:t>Dodavatel musí disponovat akreditovaným kurzem a akreditovaným testovacím střediskem ECDL, uvedeným na oficiálních webových stránkách ECDL-CZ (http://www.ecdl.cz), u nichž je ČSKI garantovaná odborná způsobilost v oblasti počítačové gramotnosti dle konceptu ECDL.</w:t>
      </w:r>
    </w:p>
    <w:p w14:paraId="425DBCB6" w14:textId="77777777" w:rsidR="007B6F72" w:rsidRPr="00770140" w:rsidRDefault="007B6F72" w:rsidP="007B6F72">
      <w:pPr>
        <w:pStyle w:val="Default"/>
        <w:numPr>
          <w:ilvl w:val="0"/>
          <w:numId w:val="33"/>
        </w:numPr>
        <w:spacing w:line="360" w:lineRule="auto"/>
        <w:jc w:val="both"/>
        <w:rPr>
          <w:sz w:val="20"/>
          <w:szCs w:val="20"/>
        </w:rPr>
      </w:pPr>
      <w:r w:rsidRPr="00770140">
        <w:rPr>
          <w:sz w:val="20"/>
          <w:szCs w:val="20"/>
        </w:rPr>
        <w:t>Po absolvování kurz</w:t>
      </w:r>
      <w:r>
        <w:rPr>
          <w:sz w:val="20"/>
          <w:szCs w:val="20"/>
        </w:rPr>
        <w:t>u</w:t>
      </w:r>
      <w:r w:rsidRPr="00770140">
        <w:rPr>
          <w:sz w:val="20"/>
          <w:szCs w:val="20"/>
        </w:rPr>
        <w:t xml:space="preserve"> Počítačová gramotnost (dle Sylabů ECDL) bude vydáno Osvědčení o rekvalifikaci a odpovídající mezinárodní doklad o úspěšném absolvování ECDL testů.</w:t>
      </w:r>
    </w:p>
    <w:p w14:paraId="211D5BD9" w14:textId="77777777" w:rsidR="007B6F72" w:rsidRDefault="007B6F72" w:rsidP="007B6F72">
      <w:pPr>
        <w:pStyle w:val="Default"/>
        <w:numPr>
          <w:ilvl w:val="0"/>
          <w:numId w:val="32"/>
        </w:numPr>
        <w:spacing w:line="360" w:lineRule="auto"/>
        <w:jc w:val="both"/>
        <w:rPr>
          <w:sz w:val="20"/>
          <w:szCs w:val="20"/>
        </w:rPr>
      </w:pPr>
      <w:r w:rsidRPr="00373EDC">
        <w:rPr>
          <w:sz w:val="20"/>
          <w:szCs w:val="20"/>
        </w:rPr>
        <w:t>Vstupní vzdělání účastníků kurzů se předpokládá minimálně</w:t>
      </w:r>
      <w:r>
        <w:rPr>
          <w:sz w:val="20"/>
          <w:szCs w:val="20"/>
        </w:rPr>
        <w:t xml:space="preserve"> </w:t>
      </w:r>
      <w:r w:rsidRPr="00770140">
        <w:rPr>
          <w:sz w:val="20"/>
          <w:szCs w:val="20"/>
        </w:rPr>
        <w:t xml:space="preserve">střední </w:t>
      </w:r>
      <w:r>
        <w:rPr>
          <w:sz w:val="20"/>
          <w:szCs w:val="20"/>
        </w:rPr>
        <w:t>vzdělání s výučním listem</w:t>
      </w:r>
      <w:r w:rsidRPr="00770140">
        <w:rPr>
          <w:sz w:val="20"/>
          <w:szCs w:val="20"/>
        </w:rPr>
        <w:t>.</w:t>
      </w:r>
    </w:p>
    <w:p w14:paraId="7E59637A" w14:textId="77777777" w:rsidR="007B6F72" w:rsidRPr="00745D88" w:rsidRDefault="007B6F72" w:rsidP="007B6F72">
      <w:pPr>
        <w:pStyle w:val="Default"/>
        <w:numPr>
          <w:ilvl w:val="0"/>
          <w:numId w:val="32"/>
        </w:numPr>
        <w:spacing w:line="360" w:lineRule="auto"/>
        <w:ind w:right="-126"/>
        <w:jc w:val="both"/>
        <w:rPr>
          <w:b/>
          <w:sz w:val="20"/>
          <w:szCs w:val="20"/>
        </w:rPr>
      </w:pPr>
      <w:r w:rsidRPr="000C4441">
        <w:rPr>
          <w:sz w:val="20"/>
          <w:szCs w:val="20"/>
        </w:rPr>
        <w:t xml:space="preserve">Místo konání </w:t>
      </w:r>
      <w:r>
        <w:rPr>
          <w:sz w:val="20"/>
          <w:szCs w:val="20"/>
        </w:rPr>
        <w:t>kurzů:</w:t>
      </w:r>
      <w:r w:rsidRPr="000C4441">
        <w:rPr>
          <w:sz w:val="20"/>
          <w:szCs w:val="20"/>
        </w:rPr>
        <w:t xml:space="preserve"> </w:t>
      </w:r>
      <w:r w:rsidRPr="00770140">
        <w:rPr>
          <w:b/>
          <w:sz w:val="20"/>
          <w:szCs w:val="20"/>
        </w:rPr>
        <w:t>Brno</w:t>
      </w:r>
      <w:r>
        <w:rPr>
          <w:b/>
          <w:sz w:val="20"/>
          <w:szCs w:val="20"/>
        </w:rPr>
        <w:t>-</w:t>
      </w:r>
      <w:r w:rsidRPr="00770140">
        <w:rPr>
          <w:b/>
          <w:sz w:val="20"/>
          <w:szCs w:val="20"/>
        </w:rPr>
        <w:t>město, Blansko, Břeclav, Hodonín, Vyškov, Znojmo</w:t>
      </w:r>
      <w:r w:rsidRPr="001C7368">
        <w:rPr>
          <w:sz w:val="20"/>
          <w:szCs w:val="20"/>
        </w:rPr>
        <w:t>.</w:t>
      </w:r>
    </w:p>
    <w:p w14:paraId="464A42BF" w14:textId="77777777" w:rsidR="007B6F72" w:rsidRPr="00D830A9" w:rsidRDefault="007B6F72" w:rsidP="007B6F72">
      <w:pPr>
        <w:pStyle w:val="Default"/>
        <w:numPr>
          <w:ilvl w:val="0"/>
          <w:numId w:val="32"/>
        </w:numPr>
        <w:spacing w:line="360" w:lineRule="auto"/>
        <w:ind w:right="-126"/>
        <w:jc w:val="both"/>
        <w:rPr>
          <w:b/>
          <w:sz w:val="20"/>
          <w:szCs w:val="20"/>
        </w:rPr>
      </w:pPr>
      <w:r>
        <w:rPr>
          <w:sz w:val="20"/>
          <w:szCs w:val="20"/>
        </w:rPr>
        <w:t>Místo konání bude vzdáleno od nejbližší zastávky veřejné dopravy nejvýše 10 min pěší chůzí.</w:t>
      </w:r>
    </w:p>
    <w:p w14:paraId="4FDD75C7" w14:textId="77777777" w:rsidR="007B6F72" w:rsidRPr="0098532D" w:rsidRDefault="007B6F72" w:rsidP="00200934">
      <w:pPr>
        <w:tabs>
          <w:tab w:val="left" w:pos="4680"/>
        </w:tabs>
        <w:spacing w:line="360" w:lineRule="auto"/>
        <w:jc w:val="both"/>
        <w:rPr>
          <w:rFonts w:cs="Arial"/>
          <w:sz w:val="22"/>
          <w:szCs w:val="22"/>
        </w:rPr>
      </w:pPr>
    </w:p>
    <w:sectPr w:rsidR="007B6F72" w:rsidRPr="0098532D"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26E1" w14:textId="77777777" w:rsidR="00F62E4E" w:rsidRDefault="00F62E4E">
      <w:r>
        <w:separator/>
      </w:r>
    </w:p>
  </w:endnote>
  <w:endnote w:type="continuationSeparator" w:id="0">
    <w:p w14:paraId="32CF5205" w14:textId="77777777" w:rsidR="00F62E4E" w:rsidRDefault="00F6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A7BA1">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0A0D" w14:textId="77777777" w:rsidR="00F62E4E" w:rsidRDefault="00F62E4E">
      <w:r>
        <w:separator/>
      </w:r>
    </w:p>
  </w:footnote>
  <w:footnote w:type="continuationSeparator" w:id="0">
    <w:p w14:paraId="6C51AEDD" w14:textId="77777777" w:rsidR="00F62E4E" w:rsidRDefault="00F6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0A2" w14:textId="77777777" w:rsidR="00EC3334" w:rsidRDefault="003B364E" w:rsidP="00DF00AD">
    <w:pPr>
      <w:pStyle w:val="Zhlav"/>
    </w:pPr>
    <w:r>
      <w:rPr>
        <w:noProof/>
      </w:rPr>
      <w:drawing>
        <wp:inline distT="0" distB="0" distL="0" distR="0" wp14:anchorId="3E01268A" wp14:editId="4D305898">
          <wp:extent cx="4069203" cy="968400"/>
          <wp:effectExtent l="0" t="0" r="762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73B3284"/>
    <w:multiLevelType w:val="hybridMultilevel"/>
    <w:tmpl w:val="767C0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3"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5" w15:restartNumberingAfterBreak="0">
    <w:nsid w:val="3E736FEC"/>
    <w:multiLevelType w:val="hybridMultilevel"/>
    <w:tmpl w:val="E40891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7"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8"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9"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6"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1"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4"/>
  </w:num>
  <w:num w:numId="3">
    <w:abstractNumId w:val="22"/>
  </w:num>
  <w:num w:numId="4">
    <w:abstractNumId w:val="5"/>
  </w:num>
  <w:num w:numId="5">
    <w:abstractNumId w:val="29"/>
  </w:num>
  <w:num w:numId="6">
    <w:abstractNumId w:val="20"/>
  </w:num>
  <w:num w:numId="7">
    <w:abstractNumId w:val="11"/>
  </w:num>
  <w:num w:numId="8">
    <w:abstractNumId w:val="8"/>
  </w:num>
  <w:num w:numId="9">
    <w:abstractNumId w:val="2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7"/>
  </w:num>
  <w:num w:numId="13">
    <w:abstractNumId w:val="12"/>
  </w:num>
  <w:num w:numId="14">
    <w:abstractNumId w:val="21"/>
  </w:num>
  <w:num w:numId="15">
    <w:abstractNumId w:val="31"/>
  </w:num>
  <w:num w:numId="16">
    <w:abstractNumId w:val="32"/>
  </w:num>
  <w:num w:numId="17">
    <w:abstractNumId w:val="30"/>
  </w:num>
  <w:num w:numId="18">
    <w:abstractNumId w:val="4"/>
  </w:num>
  <w:num w:numId="19">
    <w:abstractNumId w:val="17"/>
  </w:num>
  <w:num w:numId="20">
    <w:abstractNumId w:val="18"/>
  </w:num>
  <w:num w:numId="21">
    <w:abstractNumId w:val="1"/>
  </w:num>
  <w:num w:numId="22">
    <w:abstractNumId w:val="28"/>
  </w:num>
  <w:num w:numId="23">
    <w:abstractNumId w:val="0"/>
  </w:num>
  <w:num w:numId="24">
    <w:abstractNumId w:val="26"/>
  </w:num>
  <w:num w:numId="25">
    <w:abstractNumId w:val="2"/>
  </w:num>
  <w:num w:numId="26">
    <w:abstractNumId w:val="7"/>
  </w:num>
  <w:num w:numId="27">
    <w:abstractNumId w:val="9"/>
  </w:num>
  <w:num w:numId="28">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6"/>
  </w:num>
  <w:num w:numId="31">
    <w:abstractNumId w:val="19"/>
  </w:num>
  <w:num w:numId="32">
    <w:abstractNumId w:val="15"/>
  </w:num>
  <w:num w:numId="3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60F65"/>
    <w:rsid w:val="00061F54"/>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21703"/>
    <w:rsid w:val="00222084"/>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5815"/>
    <w:rsid w:val="00417263"/>
    <w:rsid w:val="00417331"/>
    <w:rsid w:val="00417AA9"/>
    <w:rsid w:val="004207BD"/>
    <w:rsid w:val="00421986"/>
    <w:rsid w:val="004242B6"/>
    <w:rsid w:val="00424E4F"/>
    <w:rsid w:val="00441211"/>
    <w:rsid w:val="00442003"/>
    <w:rsid w:val="00450E92"/>
    <w:rsid w:val="00451176"/>
    <w:rsid w:val="00461E94"/>
    <w:rsid w:val="00462B09"/>
    <w:rsid w:val="00463CF2"/>
    <w:rsid w:val="00471FBE"/>
    <w:rsid w:val="00472F2B"/>
    <w:rsid w:val="0047503C"/>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36BD"/>
    <w:rsid w:val="00614C96"/>
    <w:rsid w:val="00616C62"/>
    <w:rsid w:val="006178F7"/>
    <w:rsid w:val="0062380F"/>
    <w:rsid w:val="006259A1"/>
    <w:rsid w:val="006278D7"/>
    <w:rsid w:val="0063104B"/>
    <w:rsid w:val="00633286"/>
    <w:rsid w:val="00635C3C"/>
    <w:rsid w:val="00642E1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6272"/>
    <w:rsid w:val="007B633D"/>
    <w:rsid w:val="007B6F72"/>
    <w:rsid w:val="007C13D0"/>
    <w:rsid w:val="007C189E"/>
    <w:rsid w:val="007C30DB"/>
    <w:rsid w:val="007D2FF2"/>
    <w:rsid w:val="007D5B18"/>
    <w:rsid w:val="007E0C71"/>
    <w:rsid w:val="007E389E"/>
    <w:rsid w:val="007E727F"/>
    <w:rsid w:val="007F00E7"/>
    <w:rsid w:val="007F0825"/>
    <w:rsid w:val="007F4485"/>
    <w:rsid w:val="007F5C75"/>
    <w:rsid w:val="0080467D"/>
    <w:rsid w:val="00805540"/>
    <w:rsid w:val="00806195"/>
    <w:rsid w:val="00806543"/>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552B4"/>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F2B16"/>
    <w:rsid w:val="008F4332"/>
    <w:rsid w:val="008F664C"/>
    <w:rsid w:val="0090520A"/>
    <w:rsid w:val="0090521F"/>
    <w:rsid w:val="009070CA"/>
    <w:rsid w:val="00907C2C"/>
    <w:rsid w:val="00907C91"/>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41E"/>
    <w:rsid w:val="00A32825"/>
    <w:rsid w:val="00A35DA9"/>
    <w:rsid w:val="00A4144F"/>
    <w:rsid w:val="00A458DF"/>
    <w:rsid w:val="00A46017"/>
    <w:rsid w:val="00A466AC"/>
    <w:rsid w:val="00A46AD2"/>
    <w:rsid w:val="00A501FE"/>
    <w:rsid w:val="00A52BDF"/>
    <w:rsid w:val="00A569A5"/>
    <w:rsid w:val="00A56EFA"/>
    <w:rsid w:val="00A60135"/>
    <w:rsid w:val="00A61EB3"/>
    <w:rsid w:val="00A6443C"/>
    <w:rsid w:val="00A65CF8"/>
    <w:rsid w:val="00A66D39"/>
    <w:rsid w:val="00A71085"/>
    <w:rsid w:val="00A74AFC"/>
    <w:rsid w:val="00A8052F"/>
    <w:rsid w:val="00A809A5"/>
    <w:rsid w:val="00A83C37"/>
    <w:rsid w:val="00A847CC"/>
    <w:rsid w:val="00A91454"/>
    <w:rsid w:val="00A93C80"/>
    <w:rsid w:val="00A95467"/>
    <w:rsid w:val="00AA4D76"/>
    <w:rsid w:val="00AB01C5"/>
    <w:rsid w:val="00AB29A3"/>
    <w:rsid w:val="00AB6AC0"/>
    <w:rsid w:val="00AC3544"/>
    <w:rsid w:val="00AC3639"/>
    <w:rsid w:val="00AC4E2F"/>
    <w:rsid w:val="00AD2FA7"/>
    <w:rsid w:val="00AD34C9"/>
    <w:rsid w:val="00AE51FE"/>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316E"/>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F3BAB"/>
    <w:rsid w:val="00BF48F1"/>
    <w:rsid w:val="00BF4DEE"/>
    <w:rsid w:val="00C005F1"/>
    <w:rsid w:val="00C03490"/>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1BFA"/>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133D"/>
    <w:rsid w:val="00D877F8"/>
    <w:rsid w:val="00D92524"/>
    <w:rsid w:val="00DA11AE"/>
    <w:rsid w:val="00DA5551"/>
    <w:rsid w:val="00DA6966"/>
    <w:rsid w:val="00DB3B14"/>
    <w:rsid w:val="00DC0B84"/>
    <w:rsid w:val="00DC0F31"/>
    <w:rsid w:val="00DD0CF0"/>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517A"/>
    <w:rsid w:val="00E15257"/>
    <w:rsid w:val="00E2242E"/>
    <w:rsid w:val="00E24257"/>
    <w:rsid w:val="00E24D85"/>
    <w:rsid w:val="00E25CD7"/>
    <w:rsid w:val="00E26C8C"/>
    <w:rsid w:val="00E313A7"/>
    <w:rsid w:val="00E331EE"/>
    <w:rsid w:val="00E34877"/>
    <w:rsid w:val="00E40AFB"/>
    <w:rsid w:val="00E4568D"/>
    <w:rsid w:val="00E46C07"/>
    <w:rsid w:val="00E5315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1921"/>
    <w:rsid w:val="00EC3334"/>
    <w:rsid w:val="00EC391F"/>
    <w:rsid w:val="00EE0C64"/>
    <w:rsid w:val="00EE0E51"/>
    <w:rsid w:val="00EE0E9A"/>
    <w:rsid w:val="00EE609D"/>
    <w:rsid w:val="00EE7F40"/>
    <w:rsid w:val="00EF218D"/>
    <w:rsid w:val="00EF5362"/>
    <w:rsid w:val="00EF595E"/>
    <w:rsid w:val="00EF6AB1"/>
    <w:rsid w:val="00F00947"/>
    <w:rsid w:val="00F0378D"/>
    <w:rsid w:val="00F03E5C"/>
    <w:rsid w:val="00F05522"/>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2E4E"/>
    <w:rsid w:val="00F657F3"/>
    <w:rsid w:val="00F6616D"/>
    <w:rsid w:val="00F66784"/>
    <w:rsid w:val="00F66AB6"/>
    <w:rsid w:val="00F6721D"/>
    <w:rsid w:val="00F67316"/>
    <w:rsid w:val="00F73917"/>
    <w:rsid w:val="00F7450C"/>
    <w:rsid w:val="00F8098E"/>
    <w:rsid w:val="00F81E42"/>
    <w:rsid w:val="00F84FB1"/>
    <w:rsid w:val="00F92FAA"/>
    <w:rsid w:val="00F94DF3"/>
    <w:rsid w:val="00FA1898"/>
    <w:rsid w:val="00FA1E97"/>
    <w:rsid w:val="00FA3A40"/>
    <w:rsid w:val="00FA47DD"/>
    <w:rsid w:val="00FA498B"/>
    <w:rsid w:val="00FA4B8C"/>
    <w:rsid w:val="00FA675A"/>
    <w:rsid w:val="00FB0AFE"/>
    <w:rsid w:val="00FB1C04"/>
    <w:rsid w:val="00FB2C9C"/>
    <w:rsid w:val="00FB64CF"/>
    <w:rsid w:val="00FB6A5B"/>
    <w:rsid w:val="00FC28A9"/>
    <w:rsid w:val="00FC28B4"/>
    <w:rsid w:val="00FC3252"/>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paragraph" w:customStyle="1" w:styleId="Default">
    <w:name w:val="Default"/>
    <w:rsid w:val="007B6F7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3426</Words>
  <Characters>21129</Characters>
  <Application>Microsoft Office Word</Application>
  <DocSecurity>4</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Crha Martin JUDr. PhDr. (UPB-KRP)</cp:lastModifiedBy>
  <cp:revision>2</cp:revision>
  <cp:lastPrinted>2018-06-20T11:15:00Z</cp:lastPrinted>
  <dcterms:created xsi:type="dcterms:W3CDTF">2022-09-21T11:44:00Z</dcterms:created>
  <dcterms:modified xsi:type="dcterms:W3CDTF">2022-09-21T11:44:00Z</dcterms:modified>
</cp:coreProperties>
</file>