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120" w:after="16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SPOLUPRÁCI</w:t>
      </w:r>
      <w:bookmarkEnd w:id="0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br/>
      </w:r>
      <w:r>
        <w:rPr>
          <w:rStyle w:val="CharStyle3"/>
        </w:rPr>
        <w:t>1.</w:t>
        <w:br/>
        <w:t>Smluvní strany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Krajská správa a údržba silnic Vysočiny, příspěvková organizace</w:t>
      </w:r>
    </w:p>
    <w:tbl>
      <w:tblPr>
        <w:tblOverlap w:val="never"/>
        <w:jc w:val="left"/>
        <w:tblLayout w:type="fixed"/>
      </w:tblPr>
      <w:tblGrid>
        <w:gridCol w:w="1920"/>
        <w:gridCol w:w="5323"/>
      </w:tblGrid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Zastoupená: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ředitelem organizace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Datová schránka: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3qdnp8g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strana č. 1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 a</w:t>
      </w:r>
    </w:p>
    <w:p>
      <w:pPr>
        <w:widowControl w:val="0"/>
        <w:spacing w:after="339" w:line="1" w:lineRule="exact"/>
      </w:pPr>
    </w:p>
    <w:p>
      <w:pPr>
        <w:widowControl w:val="0"/>
        <w:spacing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 SPH stavby s.r.o.</w:t>
      </w:r>
    </w:p>
    <w:tbl>
      <w:tblPr>
        <w:tblOverlap w:val="never"/>
        <w:jc w:val="left"/>
        <w:tblLayout w:type="fixed"/>
      </w:tblPr>
      <w:tblGrid>
        <w:gridCol w:w="1920"/>
        <w:gridCol w:w="5328"/>
      </w:tblGrid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Průmyslová 1414, 593 01 Bystřice nad Pernštejnem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Zastoupená: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Radkem Pospíšilem, jednatelem společnosti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26230470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CZ262 30 470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strana č. 2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widowControl w:val="0"/>
        <w:spacing w:after="8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(společně také 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„Smluvní strany“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každý jednotlivě jako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„Smluvní strana“)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v souladu s ust. § 2716 a násl. zákona č. 89/2012 Sb., občanský zákoník, (dále jen „občanský zákoník“), tuto smlouvu: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  <w:bookmarkEnd w:id="2"/>
      <w:bookmarkEnd w:id="3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6" w:val="left"/>
        </w:tabs>
        <w:bidi w:val="0"/>
        <w:spacing w:before="0" w:after="52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úprava vzájemných práv a povinností při spolupráci Smluvních stran. Smluvní strany se zavazují postupovat při spolupráci v souladu s touto Smlouvou a s řádnou péčí a dodržovat všechna práva a povinnosti stanovená touto Smlouvou.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6" w:val="left"/>
        </w:tabs>
        <w:bidi w:val="0"/>
        <w:spacing w:before="0" w:after="42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spolufinancování realizace stavby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II/388 Bystřice n/P přejezd - křiž. I/19, etapa 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spolufinancování opravy komunikace při realizaci vodovodu.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580" w:right="0" w:hanging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2.3.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Realizace stavby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II/388 Bystřice n/P přejezd - křiž. I/19, etapa 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zahrnuje celoplošnou opravu silničního krytu II/388 v plošném rozsahu 4 234,8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staničení 36,147 -36,586.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Podmínky plnění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předmětu Smlouvy</w:t>
      </w:r>
      <w:bookmarkEnd w:id="4"/>
      <w:bookmarkEnd w:id="5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6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Smluvní strany č. 1 a č. 2 se budou podílet na financování celoplošné opravy silničního krytu v plošném rozsahu zaměření skutečně provedených zásahů do vozovky při stavbě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II/388 Bystřice n/P přejezd - křiž. I/19, etapa 3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Výše spolufinancování bude činit cca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634 365,64 Kč bez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strana č. 2 uhradí práce související s vybudováním konstrukcí vozovky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souvislosti v výstavbou vodovodu: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mc:AlternateContent>
          <mc:Choice Requires="wps">
            <w:drawing>
              <wp:anchor distT="0" distB="265430" distL="114300" distR="120650" simplePos="0" relativeHeight="125829378" behindDoc="0" locked="0" layoutInCell="1" allowOverlap="1">
                <wp:simplePos x="0" y="0"/>
                <wp:positionH relativeFrom="page">
                  <wp:posOffset>4878705</wp:posOffset>
                </wp:positionH>
                <wp:positionV relativeFrom="paragraph">
                  <wp:posOffset>12700</wp:posOffset>
                </wp:positionV>
                <wp:extent cx="926465" cy="21336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646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410 357,68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4.14999999999998pt;margin-top:1.pt;width:72.950000000000003pt;height:16.800000000000001pt;z-index:-125829375;mso-wrap-distance-left:9.pt;mso-wrap-distance-right:9.5pt;mso-wrap-distance-bottom:20.8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410 357,68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265430" distB="0" distL="123190" distR="114935" simplePos="0" relativeHeight="125829380" behindDoc="0" locked="0" layoutInCell="1" allowOverlap="1">
                <wp:simplePos x="0" y="0"/>
                <wp:positionH relativeFrom="page">
                  <wp:posOffset>4887595</wp:posOffset>
                </wp:positionH>
                <wp:positionV relativeFrom="paragraph">
                  <wp:posOffset>278130</wp:posOffset>
                </wp:positionV>
                <wp:extent cx="923290" cy="21336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329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124 562,40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84.85000000000002pt;margin-top:21.899999999999999pt;width:72.700000000000003pt;height:16.800000000000001pt;z-index:-125829373;mso-wrap-distance-left:9.6999999999999993pt;mso-wrap-distance-top:20.899999999999999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124 562,40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Asfaltobeton ACO 11+ 5 cm 341,68 Kč/m2 x 1201 m2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Asfaltobeton ACL 16+ 6 cm 340 Kč/m2 x 340 m2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1229995</wp:posOffset>
                </wp:positionH>
                <wp:positionV relativeFrom="paragraph">
                  <wp:posOffset>0</wp:posOffset>
                </wp:positionV>
                <wp:extent cx="978535" cy="21336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853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Frézování 5 cm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6.849999999999994pt;margin-top:0;width:77.049999999999997pt;height:16.800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Frézování 5 cm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2945765</wp:posOffset>
                </wp:positionH>
                <wp:positionV relativeFrom="paragraph">
                  <wp:posOffset>0</wp:posOffset>
                </wp:positionV>
                <wp:extent cx="1322705" cy="21336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270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76 Kč/m2 x 1201 m2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31.94999999999999pt;margin-top:0;width:104.15000000000001pt;height:16.80000000000000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76 Kč/m2 x 1201 m2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4866005</wp:posOffset>
                </wp:positionH>
                <wp:positionV relativeFrom="paragraph">
                  <wp:posOffset>0</wp:posOffset>
                </wp:positionV>
                <wp:extent cx="853440" cy="21336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344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91 776,00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83.14999999999998pt;margin-top:0;width:67.200000000000003pt;height:16.80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91 776,00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8100" distB="262255" distL="0" distR="0" simplePos="0" relativeHeight="125829388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38100</wp:posOffset>
                </wp:positionV>
                <wp:extent cx="2792095" cy="21336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9209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Spojovací postřik 0,5 Kg/m2 14,9 x 1201m2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96.599999999999994pt;margin-top:3.pt;width:219.84999999999999pt;height:16.800000000000001pt;z-index:-125829365;mso-wrap-distance-left:0;mso-wrap-distance-top:3.pt;mso-wrap-distance-right:0;mso-wrap-distance-bottom:20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Spojovací postřik 0,5 Kg/m2 14,9 x 1201m2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100" distB="262255" distL="0" distR="0" simplePos="0" relativeHeight="125829390" behindDoc="0" locked="0" layoutInCell="1" allowOverlap="1">
                <wp:simplePos x="0" y="0"/>
                <wp:positionH relativeFrom="page">
                  <wp:posOffset>4896485</wp:posOffset>
                </wp:positionH>
                <wp:positionV relativeFrom="paragraph">
                  <wp:posOffset>38100</wp:posOffset>
                </wp:positionV>
                <wp:extent cx="844550" cy="21336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455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17 162,00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85.55000000000001pt;margin-top:3.pt;width:66.5pt;height:16.800000000000001pt;z-index:-125829363;mso-wrap-distance-left:0;mso-wrap-distance-top:3.pt;mso-wrap-distance-right:0;mso-wrap-distance-bottom:20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17 162,00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00355" distB="0" distL="0" distR="0" simplePos="0" relativeHeight="125829392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300355</wp:posOffset>
                </wp:positionV>
                <wp:extent cx="2797810" cy="21336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9781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Infiltrační postřik 1,0 Kg/m2 22,09 x 340m2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96.599999999999994pt;margin-top:23.649999999999999pt;width:220.30000000000001pt;height:16.800000000000001pt;z-index:-125829361;mso-wrap-distance-left:0;mso-wrap-distance-top:23.6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Infiltrační postřik 1,0 Kg/m2 22,09 x 340m2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00355" distB="0" distL="0" distR="0" simplePos="0" relativeHeight="125829394" behindDoc="0" locked="0" layoutInCell="1" allowOverlap="1">
                <wp:simplePos x="0" y="0"/>
                <wp:positionH relativeFrom="page">
                  <wp:posOffset>4930140</wp:posOffset>
                </wp:positionH>
                <wp:positionV relativeFrom="paragraph">
                  <wp:posOffset>300355</wp:posOffset>
                </wp:positionV>
                <wp:extent cx="770890" cy="21336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089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7 510,60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88.19999999999999pt;margin-top:23.649999999999999pt;width:60.700000000000003pt;height:16.800000000000001pt;z-index:-125829359;mso-wrap-distance-left:0;mso-wrap-distance-top:23.6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7 510,60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headerReference w:type="default" r:id="rId5"/>
          <w:head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2014" w:left="1371" w:right="1366" w:bottom="2062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38100" distB="0" distL="0" distR="0" simplePos="0" relativeHeight="125829396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38100</wp:posOffset>
                </wp:positionV>
                <wp:extent cx="1134110" cy="21336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411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Geotextilie 50/50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96.599999999999994pt;margin-top:3.pt;width:89.299999999999997pt;height:16.800000000000001pt;z-index:-125829357;mso-wrap-distance-left:0;mso-wrap-distance-top: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Geotextilie 50/50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100" distB="0" distL="0" distR="0" simplePos="0" relativeHeight="125829398" behindDoc="0" locked="0" layoutInCell="1" allowOverlap="1">
                <wp:simplePos x="0" y="0"/>
                <wp:positionH relativeFrom="page">
                  <wp:posOffset>2957830</wp:posOffset>
                </wp:positionH>
                <wp:positionV relativeFrom="paragraph">
                  <wp:posOffset>38100</wp:posOffset>
                </wp:positionV>
                <wp:extent cx="1012190" cy="21336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19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163,70 x510m2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32.90000000000001pt;margin-top:3.pt;width:79.700000000000003pt;height:16.800000000000001pt;z-index:-125829355;mso-wrap-distance-left:0;mso-wrap-distance-top: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163,70 x510m2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100" distB="0" distL="0" distR="0" simplePos="0" relativeHeight="125829400" behindDoc="0" locked="0" layoutInCell="1" allowOverlap="1">
                <wp:simplePos x="0" y="0"/>
                <wp:positionH relativeFrom="page">
                  <wp:posOffset>4875530</wp:posOffset>
                </wp:positionH>
                <wp:positionV relativeFrom="paragraph">
                  <wp:posOffset>38100</wp:posOffset>
                </wp:positionV>
                <wp:extent cx="887095" cy="21336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709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83 487,00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83.89999999999998pt;margin-top:3.pt;width:69.849999999999994pt;height:16.800000000000001pt;z-index:-125829353;mso-wrap-distance-left:0;mso-wrap-distance-top: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83 487,00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47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1229995</wp:posOffset>
                </wp:positionH>
                <wp:positionV relativeFrom="paragraph">
                  <wp:posOffset>12700</wp:posOffset>
                </wp:positionV>
                <wp:extent cx="518160" cy="213360"/>
                <wp:wrapSquare wrapText="right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816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Celkem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96.849999999999994pt;margin-top:1.pt;width:40.799999999999997pt;height:16.800000000000001pt;z-index:-12582935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734 855,68 Kč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6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strana č. 1 uhradí zřízení čtyřřádku a plochy z dlažebních kostek, který je nutný pro odvodnění silnice: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 m2 x 1047,12 Kč/m2 26 178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44 m2 x 1688,91 kč/m2 74 312, 04 Kč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45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1229995</wp:posOffset>
                </wp:positionH>
                <wp:positionV relativeFrom="paragraph">
                  <wp:posOffset>12700</wp:posOffset>
                </wp:positionV>
                <wp:extent cx="518160" cy="213360"/>
                <wp:wrapSquare wrapText="right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816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Celkem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96.849999999999994pt;margin-top:1.pt;width:40.799999999999997pt;height:16.800000000000001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100 490,04 Kč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v bodě 3.3. a 3.4. vychází ze smlouvy, kterou má uzavřenou smluvní strana 1 s dodavatelem stavby „II/388 Bystřice n/P přejezd - křiž. I/19, etapa 3.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Finanční plnění smluvních stran č. 1 a č. 2 proběhne po ukončení stavby.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6" w:val="left"/>
        </w:tabs>
        <w:bidi w:val="0"/>
        <w:spacing w:before="0" w:after="320" w:line="240" w:lineRule="auto"/>
        <w:ind w:left="580" w:right="0" w:hanging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cena bude upřesněna Dodatkem k této Smlouvě a zaměření ploch skutečně provedených zásahů.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trvání smlouvy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74" w:val="left"/>
        </w:tabs>
        <w:bidi w:val="0"/>
        <w:spacing w:before="0" w:after="40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se uzavírá na dobu určitou, a to ode dne nabytí účinnosti této smlouvy až do doby splnění účelu této smlouvy a vypořádání všech závazků z této smlouvy plynoucích.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10"/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7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ostatní skutečnosti neupravené touto smlouvou se řídí občanským zákoníkem.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7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souhlasí se zveřejněním této smlouvy v informačním systému veřejné správy - Registru smluv. Smluvní strany se dohodly, že zákonnou povinnost dle § 5 odst. 2 zákona o registru smluv splní Smluvní strana č. 1.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7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Smlouvu lze měnit a doplňovat pouze písemnými vzestupně číslovanými dodatky se souhlasem všech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74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vyhotovena v 1 výtisku v elektronické formě ve formátu .pdf s Kvalifikovaným elektronickým podpisem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74" w:val="left"/>
        </w:tabs>
        <w:bidi w:val="0"/>
        <w:spacing w:before="0" w:after="98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podpisu zástupci smluvních stran a účinnosti dnem uveřejnění v informačním systému veřejné správy -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28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12700</wp:posOffset>
                </wp:positionV>
                <wp:extent cx="1216025" cy="585470"/>
                <wp:wrapSquare wrapText="right"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6025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Smluvní strana č. 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68.799999999999997pt;margin-top:1.pt;width:95.75pt;height:46.100000000000001pt;z-index:-12582934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Smluvní strana č. 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strana č.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740" w:line="240" w:lineRule="auto"/>
        <w:ind w:left="2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Bystřici n/P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40"/>
        <w:jc w:val="left"/>
      </w:pPr>
      <w:r>
        <mc:AlternateContent>
          <mc:Choice Requires="wps">
            <w:drawing>
              <wp:anchor distT="0" distB="0" distL="114300" distR="114300" simplePos="0" relativeHeight="125829408" behindDoc="0" locked="0" layoutInCell="1" allowOverlap="1">
                <wp:simplePos x="0" y="0"/>
                <wp:positionH relativeFrom="page">
                  <wp:posOffset>4497705</wp:posOffset>
                </wp:positionH>
                <wp:positionV relativeFrom="paragraph">
                  <wp:posOffset>12700</wp:posOffset>
                </wp:positionV>
                <wp:extent cx="1295400" cy="399415"/>
                <wp:wrapSquare wrapText="left"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5400" cy="399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Radek Pospíšil</w:t>
                              <w:br/>
                              <w:t>jednatel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54.14999999999998pt;margin-top:1.pt;width:102.pt;height:31.449999999999999pt;z-index:-12582934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Radek Pospíšil</w:t>
                        <w:br/>
                        <w:t>jednatel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p.o.</w:t>
      </w:r>
    </w:p>
    <w:sectPr>
      <w:footnotePr>
        <w:pos w:val="pageBottom"/>
        <w:numFmt w:val="decimal"/>
        <w:numRestart w:val="continuous"/>
      </w:footnotePr>
      <w:pgSz w:w="11900" w:h="16840"/>
      <w:pgMar w:top="1686" w:left="1371" w:right="1366" w:bottom="219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897890</wp:posOffset>
              </wp:positionH>
              <wp:positionV relativeFrom="page">
                <wp:posOffset>727710</wp:posOffset>
              </wp:positionV>
              <wp:extent cx="4008120" cy="12509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0812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Číslo smlouvy Krajská správa a údržba silnic Vysočiny, příspěvková organizace: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70.700000000000003pt;margin-top:57.299999999999997pt;width:315.60000000000002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Číslo smlouvy Krajská správa a údržba silnic Vysočiny, příspěvková organizace: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4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5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5">
    <w:name w:val="Nadpis #1_"/>
    <w:basedOn w:val="DefaultParagraphFont"/>
    <w:link w:val="Style4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4">
    <w:name w:val="Jiné_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52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  <w:spacing w:line="473" w:lineRule="auto"/>
      <w:ind w:right="780"/>
    </w:pPr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Matějíčková Veronika</dc:creator>
  <cp:keywords/>
</cp:coreProperties>
</file>