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6D" w:rsidRDefault="00011B6D" w:rsidP="005F0A21">
      <w:pPr>
        <w:pStyle w:val="Default"/>
        <w:jc w:val="center"/>
        <w:rPr>
          <w:b/>
          <w:bCs/>
          <w:sz w:val="22"/>
          <w:szCs w:val="22"/>
        </w:rPr>
      </w:pPr>
    </w:p>
    <w:p w:rsidR="00011B6D" w:rsidRDefault="00292737" w:rsidP="005F0A21">
      <w:pPr>
        <w:pStyle w:val="Default"/>
        <w:jc w:val="center"/>
        <w:rPr>
          <w:b/>
          <w:bCs/>
        </w:rPr>
      </w:pPr>
      <w:r w:rsidRPr="00011B6D">
        <w:rPr>
          <w:b/>
          <w:bCs/>
        </w:rPr>
        <w:t>Dodatek č. 1</w:t>
      </w:r>
    </w:p>
    <w:p w:rsidR="00F21841" w:rsidRPr="00011B6D" w:rsidRDefault="00F21841" w:rsidP="005F0A21">
      <w:pPr>
        <w:pStyle w:val="Default"/>
        <w:jc w:val="center"/>
        <w:rPr>
          <w:b/>
          <w:bCs/>
        </w:rPr>
      </w:pPr>
    </w:p>
    <w:p w:rsidR="004A3C69" w:rsidRPr="006A6191" w:rsidRDefault="00011B6D" w:rsidP="005F0A21">
      <w:pPr>
        <w:pStyle w:val="Default"/>
        <w:jc w:val="center"/>
        <w:rPr>
          <w:b/>
          <w:bCs/>
          <w:sz w:val="20"/>
          <w:szCs w:val="20"/>
        </w:rPr>
      </w:pPr>
      <w:r w:rsidRPr="006A6191">
        <w:rPr>
          <w:b/>
          <w:bCs/>
          <w:sz w:val="20"/>
          <w:szCs w:val="20"/>
        </w:rPr>
        <w:t>č.</w:t>
      </w:r>
      <w:r w:rsidR="00893566">
        <w:rPr>
          <w:b/>
          <w:bCs/>
          <w:sz w:val="20"/>
          <w:szCs w:val="20"/>
        </w:rPr>
        <w:t xml:space="preserve"> </w:t>
      </w:r>
      <w:r w:rsidRPr="006A6191">
        <w:rPr>
          <w:b/>
          <w:bCs/>
          <w:sz w:val="20"/>
          <w:szCs w:val="20"/>
        </w:rPr>
        <w:t>j.: KÚ-</w:t>
      </w:r>
      <w:r w:rsidR="00C84B7E">
        <w:rPr>
          <w:b/>
          <w:bCs/>
          <w:sz w:val="20"/>
          <w:szCs w:val="20"/>
        </w:rPr>
        <w:t>8078</w:t>
      </w:r>
      <w:r w:rsidRPr="006A6191">
        <w:rPr>
          <w:b/>
          <w:bCs/>
          <w:sz w:val="20"/>
          <w:szCs w:val="20"/>
        </w:rPr>
        <w:t>/202</w:t>
      </w:r>
      <w:r w:rsidR="006A6191" w:rsidRPr="006A6191">
        <w:rPr>
          <w:b/>
          <w:bCs/>
          <w:sz w:val="20"/>
          <w:szCs w:val="20"/>
        </w:rPr>
        <w:t>2</w:t>
      </w:r>
      <w:r w:rsidRPr="006A6191">
        <w:rPr>
          <w:b/>
          <w:bCs/>
          <w:sz w:val="20"/>
          <w:szCs w:val="20"/>
        </w:rPr>
        <w:t xml:space="preserve">-770-01001-2 </w:t>
      </w:r>
    </w:p>
    <w:p w:rsidR="005F0A21" w:rsidRPr="006A6191" w:rsidRDefault="00292737" w:rsidP="005F0A21">
      <w:pPr>
        <w:pStyle w:val="Default"/>
        <w:jc w:val="center"/>
        <w:rPr>
          <w:b/>
          <w:bCs/>
          <w:sz w:val="20"/>
          <w:szCs w:val="20"/>
        </w:rPr>
      </w:pPr>
      <w:r w:rsidRPr="006A6191">
        <w:rPr>
          <w:b/>
          <w:bCs/>
          <w:sz w:val="20"/>
          <w:szCs w:val="20"/>
        </w:rPr>
        <w:t xml:space="preserve"> ke Smlouvě o inkasu</w:t>
      </w:r>
      <w:r w:rsidR="00011B6D" w:rsidRPr="006A6191">
        <w:rPr>
          <w:b/>
          <w:bCs/>
          <w:sz w:val="20"/>
          <w:szCs w:val="20"/>
        </w:rPr>
        <w:t xml:space="preserve"> č. j.: KÚ-</w:t>
      </w:r>
      <w:r w:rsidR="00C84B7E">
        <w:rPr>
          <w:b/>
          <w:bCs/>
          <w:sz w:val="20"/>
          <w:szCs w:val="20"/>
        </w:rPr>
        <w:t>3745/2021</w:t>
      </w:r>
      <w:r w:rsidR="00011B6D" w:rsidRPr="006A6191">
        <w:rPr>
          <w:b/>
          <w:bCs/>
          <w:sz w:val="20"/>
          <w:szCs w:val="20"/>
        </w:rPr>
        <w:t>-770-01001-</w:t>
      </w:r>
      <w:r w:rsidR="00C84B7E">
        <w:rPr>
          <w:b/>
          <w:bCs/>
          <w:sz w:val="20"/>
          <w:szCs w:val="20"/>
        </w:rPr>
        <w:t>5</w:t>
      </w:r>
      <w:r w:rsidR="00011B6D" w:rsidRPr="006A6191">
        <w:rPr>
          <w:b/>
          <w:bCs/>
          <w:sz w:val="20"/>
          <w:szCs w:val="20"/>
        </w:rPr>
        <w:t xml:space="preserve"> ze dne </w:t>
      </w:r>
      <w:proofErr w:type="gramStart"/>
      <w:r w:rsidR="00C84B7E">
        <w:rPr>
          <w:b/>
          <w:bCs/>
          <w:sz w:val="20"/>
          <w:szCs w:val="20"/>
        </w:rPr>
        <w:t>10.05.2021</w:t>
      </w:r>
      <w:proofErr w:type="gramEnd"/>
    </w:p>
    <w:p w:rsidR="00F21841" w:rsidRPr="00011B6D" w:rsidRDefault="00F21841" w:rsidP="005F0A21">
      <w:pPr>
        <w:pStyle w:val="Defaul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</w:t>
      </w:r>
    </w:p>
    <w:p w:rsidR="005F0A21" w:rsidRDefault="005F0A21" w:rsidP="005F0A21">
      <w:pPr>
        <w:pStyle w:val="Default"/>
        <w:rPr>
          <w:b/>
          <w:bCs/>
          <w:sz w:val="22"/>
          <w:szCs w:val="22"/>
        </w:rPr>
      </w:pPr>
    </w:p>
    <w:p w:rsidR="00011B6D" w:rsidRDefault="00011B6D" w:rsidP="005F0A21">
      <w:pPr>
        <w:pStyle w:val="Default"/>
        <w:rPr>
          <w:b/>
          <w:bCs/>
          <w:sz w:val="22"/>
          <w:szCs w:val="22"/>
        </w:rPr>
      </w:pPr>
    </w:p>
    <w:p w:rsidR="00C84B7E" w:rsidRPr="00643831" w:rsidRDefault="00C84B7E" w:rsidP="00C84B7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ADITIS s.r.o.</w:t>
      </w:r>
    </w:p>
    <w:p w:rsidR="00C84B7E" w:rsidRPr="00643831" w:rsidRDefault="00C84B7E" w:rsidP="00C84B7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Rokytova 2667/20, Židenice, 615 00 Brno</w:t>
      </w:r>
    </w:p>
    <w:p w:rsidR="00C84B7E" w:rsidRPr="00643831" w:rsidRDefault="00C84B7E" w:rsidP="00C84B7E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IČO: </w:t>
      </w:r>
      <w:r>
        <w:rPr>
          <w:sz w:val="22"/>
          <w:szCs w:val="22"/>
        </w:rPr>
        <w:t>262 90 821</w:t>
      </w:r>
    </w:p>
    <w:p w:rsidR="00C84B7E" w:rsidRPr="00643831" w:rsidRDefault="00C84B7E" w:rsidP="00C84B7E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DIČ:</w:t>
      </w:r>
      <w:r>
        <w:rPr>
          <w:sz w:val="22"/>
          <w:szCs w:val="22"/>
        </w:rPr>
        <w:t xml:space="preserve"> CZ26290821</w:t>
      </w:r>
    </w:p>
    <w:p w:rsidR="00C84B7E" w:rsidRPr="00643831" w:rsidRDefault="00C84B7E" w:rsidP="00C84B7E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zapsaná v obchodním rejstříku vedeném u KS v </w:t>
      </w:r>
      <w:r>
        <w:rPr>
          <w:sz w:val="22"/>
          <w:szCs w:val="22"/>
        </w:rPr>
        <w:t>Brně</w:t>
      </w:r>
      <w:r w:rsidRPr="00643831">
        <w:rPr>
          <w:sz w:val="22"/>
          <w:szCs w:val="22"/>
        </w:rPr>
        <w:t xml:space="preserve">, oddíl C, vložka </w:t>
      </w:r>
      <w:r>
        <w:rPr>
          <w:sz w:val="22"/>
          <w:szCs w:val="22"/>
        </w:rPr>
        <w:t>42136</w:t>
      </w:r>
    </w:p>
    <w:p w:rsidR="00C84B7E" w:rsidRPr="00643831" w:rsidRDefault="00C84B7E" w:rsidP="00C84B7E">
      <w:pPr>
        <w:pStyle w:val="Default"/>
        <w:rPr>
          <w:i/>
          <w:sz w:val="22"/>
          <w:szCs w:val="22"/>
        </w:rPr>
      </w:pPr>
      <w:r w:rsidRPr="00643831">
        <w:rPr>
          <w:sz w:val="22"/>
          <w:szCs w:val="22"/>
        </w:rPr>
        <w:t xml:space="preserve">zastoupena: </w:t>
      </w:r>
      <w:r>
        <w:rPr>
          <w:sz w:val="22"/>
          <w:szCs w:val="22"/>
        </w:rPr>
        <w:t>Ing. Antonínem Dvořákem, jednatelem</w:t>
      </w:r>
    </w:p>
    <w:p w:rsidR="00C84B7E" w:rsidRPr="00C603D3" w:rsidRDefault="00C84B7E" w:rsidP="00C84B7E">
      <w:pPr>
        <w:pStyle w:val="Bezmezer"/>
        <w:numPr>
          <w:ilvl w:val="0"/>
          <w:numId w:val="0"/>
        </w:numPr>
      </w:pPr>
    </w:p>
    <w:p w:rsidR="00C84B7E" w:rsidRPr="00C603D3" w:rsidRDefault="00C84B7E" w:rsidP="00C84B7E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„Poplatník“</w:t>
      </w:r>
      <w:r w:rsidRPr="00C603D3">
        <w:t>)</w:t>
      </w:r>
      <w:r>
        <w:t xml:space="preserve">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5F0A21" w:rsidRDefault="005F0A21" w:rsidP="005F0A21">
      <w:pPr>
        <w:pStyle w:val="Default"/>
        <w:rPr>
          <w:b/>
          <w:bCs/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Katastrální úřad pro Zlínský kraj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třída Tomáše Bati 1565, 760 96 Zlín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711 85 216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kterou jedná: Ing. Štěpán Forman, ředitel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„Katastrální úřad“</w:t>
      </w:r>
      <w:r>
        <w:rPr>
          <w:sz w:val="22"/>
          <w:szCs w:val="22"/>
        </w:rPr>
        <w:t xml:space="preserve">)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jc w:val="center"/>
        <w:rPr>
          <w:sz w:val="22"/>
          <w:szCs w:val="22"/>
        </w:rPr>
      </w:pPr>
    </w:p>
    <w:p w:rsidR="003E74B4" w:rsidRDefault="003E74B4" w:rsidP="003E74B4"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Obě smluvní strany se vzájemně dohodly na </w:t>
      </w:r>
      <w:r w:rsidRPr="00011B6D">
        <w:rPr>
          <w:b/>
          <w:sz w:val="22"/>
          <w:szCs w:val="22"/>
        </w:rPr>
        <w:t>změně</w:t>
      </w:r>
      <w:r>
        <w:rPr>
          <w:sz w:val="22"/>
          <w:szCs w:val="22"/>
        </w:rPr>
        <w:t xml:space="preserve"> Smlouvy o inkasu</w:t>
      </w:r>
      <w:r w:rsidR="00011B6D">
        <w:rPr>
          <w:sz w:val="22"/>
          <w:szCs w:val="22"/>
        </w:rPr>
        <w:t xml:space="preserve"> č. j.: </w:t>
      </w:r>
      <w:r w:rsidR="00011B6D" w:rsidRPr="003E74B4">
        <w:rPr>
          <w:bCs/>
          <w:sz w:val="22"/>
          <w:szCs w:val="22"/>
        </w:rPr>
        <w:t>KÚ-</w:t>
      </w:r>
      <w:r w:rsidR="00C84B7E">
        <w:rPr>
          <w:bCs/>
          <w:sz w:val="22"/>
          <w:szCs w:val="22"/>
        </w:rPr>
        <w:t>3745/2021</w:t>
      </w:r>
      <w:r w:rsidR="00A33BC0">
        <w:rPr>
          <w:bCs/>
          <w:sz w:val="22"/>
          <w:szCs w:val="22"/>
        </w:rPr>
        <w:t>-770-01001-</w:t>
      </w:r>
      <w:r w:rsidR="00C84B7E">
        <w:rPr>
          <w:bCs/>
          <w:sz w:val="22"/>
          <w:szCs w:val="22"/>
        </w:rPr>
        <w:t>5</w:t>
      </w:r>
      <w:r w:rsidR="00011B6D">
        <w:rPr>
          <w:sz w:val="22"/>
          <w:szCs w:val="22"/>
        </w:rPr>
        <w:t xml:space="preserve"> uzavřené dne </w:t>
      </w:r>
      <w:proofErr w:type="gramStart"/>
      <w:r w:rsidR="00C84B7E">
        <w:rPr>
          <w:sz w:val="22"/>
          <w:szCs w:val="22"/>
        </w:rPr>
        <w:t>10.05.2021</w:t>
      </w:r>
      <w:proofErr w:type="gramEnd"/>
      <w:r>
        <w:rPr>
          <w:sz w:val="22"/>
          <w:szCs w:val="22"/>
        </w:rPr>
        <w:t xml:space="preserve"> </w:t>
      </w:r>
      <w:r w:rsidRPr="003E74B4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dále jen „</w:t>
      </w:r>
      <w:r w:rsidRPr="003E74B4">
        <w:rPr>
          <w:b/>
          <w:bCs/>
          <w:sz w:val="22"/>
          <w:szCs w:val="22"/>
        </w:rPr>
        <w:t>Smlouva o inkasu</w:t>
      </w:r>
      <w:r>
        <w:rPr>
          <w:bCs/>
          <w:sz w:val="22"/>
          <w:szCs w:val="22"/>
        </w:rPr>
        <w:t>“), takto:</w:t>
      </w:r>
    </w:p>
    <w:p w:rsidR="003E74B4" w:rsidRDefault="003E74B4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011B6D" w:rsidRDefault="00011B6D" w:rsidP="00011B6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011B6D" w:rsidRDefault="00011B6D" w:rsidP="003E74B4">
      <w:pPr>
        <w:pStyle w:val="Default"/>
        <w:jc w:val="both"/>
        <w:rPr>
          <w:bCs/>
          <w:sz w:val="22"/>
          <w:szCs w:val="22"/>
        </w:rPr>
      </w:pPr>
    </w:p>
    <w:p w:rsidR="000A47F3" w:rsidRDefault="000A47F3" w:rsidP="003E74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Odstavec </w:t>
      </w:r>
      <w:r w:rsidR="00C84B7E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článku II. Smlouvy o inkasu se ruší a je nahrazen novým odstavcem </w:t>
      </w:r>
      <w:r w:rsidR="00C84B7E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 následujícího znění:</w:t>
      </w:r>
    </w:p>
    <w:p w:rsidR="000A47F3" w:rsidRDefault="000A47F3" w:rsidP="003E74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C84B7E" w:rsidRPr="00C84B7E" w:rsidRDefault="00C84B7E" w:rsidP="00C84B7E">
      <w:pPr>
        <w:pStyle w:val="Bezmezer"/>
        <w:numPr>
          <w:ilvl w:val="0"/>
          <w:numId w:val="8"/>
        </w:numPr>
        <w:rPr>
          <w:i/>
        </w:rPr>
      </w:pPr>
      <w:r w:rsidRPr="00C84B7E">
        <w:rPr>
          <w:bCs/>
          <w:i/>
        </w:rPr>
        <w:t>S</w:t>
      </w:r>
      <w:r w:rsidRPr="00C84B7E">
        <w:rPr>
          <w:i/>
        </w:rPr>
        <w:t xml:space="preserve">právní poplatek bude hrazen Poplatníkem z čísla účtu: </w:t>
      </w:r>
      <w:r w:rsidRPr="00456BCB">
        <w:rPr>
          <w:b/>
          <w:i/>
          <w:sz w:val="24"/>
          <w:szCs w:val="24"/>
        </w:rPr>
        <w:t>248031863/0600</w:t>
      </w:r>
      <w:r w:rsidRPr="00C84B7E">
        <w:rPr>
          <w:i/>
        </w:rPr>
        <w:t xml:space="preserve">, a to prostřednictvím inkasa ve prospěch  účtu Katastrálního úřadu číslo: </w:t>
      </w:r>
      <w:r w:rsidRPr="00C84B7E">
        <w:rPr>
          <w:b/>
          <w:i/>
        </w:rPr>
        <w:t>3711</w:t>
      </w:r>
      <w:r w:rsidRPr="00C84B7E">
        <w:rPr>
          <w:b/>
          <w:i/>
        </w:rPr>
        <w:noBreakHyphen/>
        <w:t>32023661/0710</w:t>
      </w:r>
      <w:r w:rsidRPr="00C84B7E">
        <w:rPr>
          <w:i/>
        </w:rPr>
        <w:t xml:space="preserve">. </w:t>
      </w:r>
    </w:p>
    <w:p w:rsidR="003E74B4" w:rsidRDefault="003E74B4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3E74B4" w:rsidRDefault="003E74B4" w:rsidP="003E74B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3E74B4" w:rsidRDefault="003E74B4" w:rsidP="003E74B4">
      <w:pPr>
        <w:pStyle w:val="Default"/>
        <w:jc w:val="center"/>
        <w:rPr>
          <w:sz w:val="22"/>
          <w:szCs w:val="22"/>
        </w:rPr>
      </w:pPr>
    </w:p>
    <w:p w:rsidR="003E74B4" w:rsidRPr="00893566" w:rsidRDefault="003E74B4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Ostatní znění Smlouv</w:t>
      </w:r>
      <w:r w:rsidR="00186A69">
        <w:rPr>
          <w:sz w:val="22"/>
          <w:szCs w:val="22"/>
        </w:rPr>
        <w:t>y o inkasu se nemění a zůstává</w:t>
      </w:r>
      <w:r>
        <w:rPr>
          <w:sz w:val="22"/>
          <w:szCs w:val="22"/>
        </w:rPr>
        <w:t xml:space="preserve"> i nadále v platnosti v původním znění.</w:t>
      </w:r>
    </w:p>
    <w:p w:rsidR="00893566" w:rsidRPr="00D419A3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D419A3" w:rsidRPr="00893566" w:rsidRDefault="00D419A3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Tento dodatek nabývá platnosti a účinnosti dnem jeho podpisu oběma smluvními stranami a uzavírá se na dobu neurčitou.</w:t>
      </w:r>
    </w:p>
    <w:p w:rsidR="00893566" w:rsidRPr="00B56DCB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3E74B4" w:rsidRPr="00893566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="006E416E" w:rsidRPr="00B56DCB">
        <w:rPr>
          <w:bCs/>
          <w:sz w:val="22"/>
          <w:szCs w:val="22"/>
        </w:rPr>
        <w:t xml:space="preserve">ento dodatek je vyhotoven ve dvou stejnopisech, z nichž každá smluvní strana obdrží po jejím </w:t>
      </w:r>
      <w:r w:rsidR="006E416E" w:rsidRPr="00B56DCB">
        <w:rPr>
          <w:sz w:val="22"/>
          <w:szCs w:val="22"/>
        </w:rPr>
        <w:t>podpisu</w:t>
      </w:r>
      <w:r w:rsidR="006E416E" w:rsidRPr="00B56DCB">
        <w:rPr>
          <w:bCs/>
          <w:sz w:val="22"/>
          <w:szCs w:val="22"/>
        </w:rPr>
        <w:t xml:space="preserve"> po jednom </w:t>
      </w:r>
      <w:r w:rsidR="000A47F3" w:rsidRPr="00B56DCB">
        <w:rPr>
          <w:sz w:val="22"/>
          <w:szCs w:val="22"/>
        </w:rPr>
        <w:t>vyhotovení</w:t>
      </w:r>
      <w:r w:rsidR="006E416E" w:rsidRPr="00B56DCB">
        <w:rPr>
          <w:sz w:val="22"/>
          <w:szCs w:val="22"/>
        </w:rPr>
        <w:t>.</w:t>
      </w:r>
    </w:p>
    <w:p w:rsidR="00893566" w:rsidRPr="00B56DCB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0A47F3" w:rsidRPr="00B56DCB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="000A47F3" w:rsidRPr="00B56DCB">
        <w:rPr>
          <w:sz w:val="22"/>
          <w:szCs w:val="22"/>
        </w:rPr>
        <w:t xml:space="preserve">ento dodatek </w:t>
      </w:r>
      <w:bookmarkStart w:id="0" w:name="_GoBack"/>
      <w:bookmarkEnd w:id="0"/>
      <w:r w:rsidR="000A47F3" w:rsidRPr="00B56DCB">
        <w:rPr>
          <w:sz w:val="22"/>
          <w:szCs w:val="22"/>
        </w:rPr>
        <w:t xml:space="preserve">se stává nedílnou součástí Smlouvy o inkasu. </w:t>
      </w:r>
    </w:p>
    <w:p w:rsidR="000A47F3" w:rsidRPr="00B56DCB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0A47F3" w:rsidRPr="00B56DCB">
        <w:rPr>
          <w:sz w:val="22"/>
          <w:szCs w:val="22"/>
        </w:rPr>
        <w:t>mluvní strany prohlašují, že souhlasí se zveřejněním textu tohoto dodatku prostřednictvím registru smluv v souladu se zákonem č. 340/2015 Sb., o zvláštních podmínkách účinnosti některých smluv, uveřejňování těchto smluv a o registru smluv (zákon o registru smlu</w:t>
      </w:r>
      <w:r w:rsidR="00D419A3">
        <w:rPr>
          <w:sz w:val="22"/>
          <w:szCs w:val="22"/>
        </w:rPr>
        <w:t xml:space="preserve">v), ve znění pozdějších podpisů, s tím, že toto uveřejnění zajistí Katastrální úřad. </w:t>
      </w:r>
    </w:p>
    <w:p w:rsidR="00F21841" w:rsidRDefault="00F21841" w:rsidP="00F21841">
      <w:pPr>
        <w:pStyle w:val="Odstavecseseznamem"/>
      </w:pPr>
    </w:p>
    <w:p w:rsidR="00F21841" w:rsidRDefault="00F21841" w:rsidP="00F21841">
      <w:pPr>
        <w:pStyle w:val="Default"/>
        <w:jc w:val="both"/>
        <w:rPr>
          <w:sz w:val="22"/>
          <w:szCs w:val="22"/>
        </w:rPr>
      </w:pPr>
    </w:p>
    <w:p w:rsidR="00893566" w:rsidRDefault="00893566" w:rsidP="00F21841">
      <w:pPr>
        <w:pStyle w:val="Default"/>
        <w:jc w:val="both"/>
        <w:rPr>
          <w:sz w:val="22"/>
          <w:szCs w:val="22"/>
        </w:rPr>
      </w:pPr>
    </w:p>
    <w:p w:rsidR="00893566" w:rsidRDefault="00893566" w:rsidP="00F21841">
      <w:pPr>
        <w:pStyle w:val="Default"/>
        <w:jc w:val="both"/>
        <w:rPr>
          <w:sz w:val="22"/>
          <w:szCs w:val="22"/>
        </w:rPr>
      </w:pPr>
    </w:p>
    <w:p w:rsidR="00893566" w:rsidRDefault="00893566" w:rsidP="00F21841">
      <w:pPr>
        <w:pStyle w:val="Default"/>
        <w:jc w:val="both"/>
        <w:rPr>
          <w:sz w:val="22"/>
          <w:szCs w:val="22"/>
        </w:rPr>
      </w:pPr>
    </w:p>
    <w:p w:rsidR="00893566" w:rsidRDefault="00893566" w:rsidP="00F21841">
      <w:pPr>
        <w:pStyle w:val="Default"/>
        <w:jc w:val="both"/>
        <w:rPr>
          <w:sz w:val="22"/>
          <w:szCs w:val="22"/>
        </w:rPr>
      </w:pPr>
    </w:p>
    <w:p w:rsidR="00893566" w:rsidRPr="006E416E" w:rsidRDefault="00893566" w:rsidP="00F21841">
      <w:pPr>
        <w:pStyle w:val="Default"/>
        <w:jc w:val="both"/>
        <w:rPr>
          <w:sz w:val="22"/>
          <w:szCs w:val="22"/>
        </w:rPr>
      </w:pPr>
    </w:p>
    <w:p w:rsidR="003E74B4" w:rsidRDefault="003E74B4" w:rsidP="006E416E">
      <w:pPr>
        <w:pStyle w:val="Default"/>
        <w:ind w:left="426"/>
        <w:jc w:val="both"/>
        <w:rPr>
          <w:sz w:val="22"/>
          <w:szCs w:val="22"/>
        </w:rPr>
      </w:pPr>
    </w:p>
    <w:p w:rsidR="00186A69" w:rsidRDefault="00186A69" w:rsidP="006E416E">
      <w:pPr>
        <w:pStyle w:val="Default"/>
        <w:ind w:left="426"/>
        <w:jc w:val="both"/>
        <w:rPr>
          <w:sz w:val="22"/>
          <w:szCs w:val="22"/>
        </w:rPr>
      </w:pPr>
    </w:p>
    <w:p w:rsidR="00186A69" w:rsidRPr="006E416E" w:rsidRDefault="00186A69" w:rsidP="006E416E">
      <w:pPr>
        <w:pStyle w:val="Default"/>
        <w:ind w:left="426"/>
        <w:jc w:val="both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4455"/>
      </w:tblGrid>
      <w:tr w:rsidR="006E416E" w:rsidTr="00C16E05">
        <w:trPr>
          <w:trHeight w:val="1621"/>
        </w:trPr>
        <w:tc>
          <w:tcPr>
            <w:tcW w:w="4455" w:type="dxa"/>
          </w:tcPr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B56DCB">
              <w:rPr>
                <w:sz w:val="22"/>
                <w:szCs w:val="22"/>
              </w:rPr>
              <w:t xml:space="preserve"> </w:t>
            </w:r>
            <w:r w:rsidR="00290C2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 xml:space="preserve">dne: </w:t>
            </w:r>
          </w:p>
          <w:p w:rsidR="006E416E" w:rsidRDefault="006E416E" w:rsidP="00C16E0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0C2B" w:rsidRPr="00290C2B" w:rsidRDefault="00290C2B" w:rsidP="00290C2B">
            <w:pPr>
              <w:rPr>
                <w:rFonts w:ascii="Arial" w:hAnsi="Arial" w:cs="Arial"/>
                <w:b/>
              </w:rPr>
            </w:pPr>
            <w:r w:rsidRPr="00290C2B">
              <w:rPr>
                <w:rFonts w:ascii="Arial" w:hAnsi="Arial" w:cs="Arial"/>
                <w:b/>
              </w:rPr>
              <w:t>ADITIS s.r.o.</w:t>
            </w:r>
          </w:p>
          <w:p w:rsidR="00290C2B" w:rsidRDefault="00290C2B" w:rsidP="00C16E0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B56DCB" w:rsidRDefault="00B56DCB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:rsidR="006E416E" w:rsidRPr="00290C2B" w:rsidRDefault="00290C2B" w:rsidP="00290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Antonín Dvořák, jednatel</w:t>
            </w:r>
          </w:p>
        </w:tc>
        <w:tc>
          <w:tcPr>
            <w:tcW w:w="4455" w:type="dxa"/>
          </w:tcPr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 Zlíně dne: </w:t>
            </w:r>
          </w:p>
          <w:p w:rsidR="006E416E" w:rsidRDefault="006E416E" w:rsidP="00C16E0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E416E" w:rsidRDefault="00186A69" w:rsidP="00C16E0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Česká republika -</w:t>
            </w:r>
            <w:r w:rsidR="006E416E">
              <w:rPr>
                <w:b/>
                <w:bCs/>
                <w:sz w:val="22"/>
                <w:szCs w:val="22"/>
              </w:rPr>
              <w:t xml:space="preserve"> </w:t>
            </w: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Katastrální úřad pro Zlínský kraj </w:t>
            </w: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Štěpán Forman </w:t>
            </w: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ředitel Katastrálního úřadu pro Zlínský kraj </w:t>
            </w:r>
          </w:p>
        </w:tc>
      </w:tr>
      <w:tr w:rsidR="00290C2B" w:rsidTr="00C16E05">
        <w:trPr>
          <w:trHeight w:val="1621"/>
        </w:trPr>
        <w:tc>
          <w:tcPr>
            <w:tcW w:w="4455" w:type="dxa"/>
          </w:tcPr>
          <w:p w:rsidR="00290C2B" w:rsidRDefault="00290C2B" w:rsidP="00C16E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55" w:type="dxa"/>
          </w:tcPr>
          <w:p w:rsidR="00290C2B" w:rsidRDefault="00290C2B" w:rsidP="00C16E0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E74B4" w:rsidRDefault="003E74B4" w:rsidP="003E74B4">
      <w:pPr>
        <w:pStyle w:val="Default"/>
        <w:jc w:val="both"/>
        <w:rPr>
          <w:bCs/>
          <w:sz w:val="22"/>
          <w:szCs w:val="22"/>
        </w:rPr>
      </w:pPr>
    </w:p>
    <w:sectPr w:rsidR="003E74B4" w:rsidSect="00F2184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294"/>
    <w:multiLevelType w:val="hybridMultilevel"/>
    <w:tmpl w:val="94760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7A8D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64A4A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D62FA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D4DA4"/>
    <w:multiLevelType w:val="hybridMultilevel"/>
    <w:tmpl w:val="77D0041E"/>
    <w:lvl w:ilvl="0" w:tplc="E2AEBE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A6A77"/>
    <w:multiLevelType w:val="hybridMultilevel"/>
    <w:tmpl w:val="DE3A0A06"/>
    <w:lvl w:ilvl="0" w:tplc="836EA6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21"/>
    <w:rsid w:val="00011B6D"/>
    <w:rsid w:val="00014932"/>
    <w:rsid w:val="000A47F3"/>
    <w:rsid w:val="00186A69"/>
    <w:rsid w:val="00290C2B"/>
    <w:rsid w:val="00292737"/>
    <w:rsid w:val="002972AE"/>
    <w:rsid w:val="003E74B4"/>
    <w:rsid w:val="00456BCB"/>
    <w:rsid w:val="004A3C69"/>
    <w:rsid w:val="005B260E"/>
    <w:rsid w:val="005F0A21"/>
    <w:rsid w:val="006A6191"/>
    <w:rsid w:val="006B1C48"/>
    <w:rsid w:val="006B669E"/>
    <w:rsid w:val="006E416E"/>
    <w:rsid w:val="00715431"/>
    <w:rsid w:val="00893566"/>
    <w:rsid w:val="0099146E"/>
    <w:rsid w:val="009C0135"/>
    <w:rsid w:val="00A33BC0"/>
    <w:rsid w:val="00A35428"/>
    <w:rsid w:val="00B56DCB"/>
    <w:rsid w:val="00C84B7E"/>
    <w:rsid w:val="00D10974"/>
    <w:rsid w:val="00D419A3"/>
    <w:rsid w:val="00D52B7E"/>
    <w:rsid w:val="00F21841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EB01"/>
  <w15:chartTrackingRefBased/>
  <w15:docId w15:val="{D41D3FBB-1145-44C3-9D01-06C7820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B7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A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E416E"/>
    <w:pPr>
      <w:ind w:left="720"/>
      <w:contextualSpacing/>
    </w:pPr>
  </w:style>
  <w:style w:type="paragraph" w:styleId="Bezmezer">
    <w:name w:val="No Spacing"/>
    <w:uiPriority w:val="1"/>
    <w:qFormat/>
    <w:rsid w:val="00A33BC0"/>
    <w:pPr>
      <w:numPr>
        <w:numId w:val="5"/>
      </w:numPr>
      <w:spacing w:after="0" w:line="240" w:lineRule="auto"/>
      <w:ind w:left="284" w:hanging="284"/>
      <w:jc w:val="both"/>
    </w:pPr>
    <w:rPr>
      <w:rFonts w:ascii="Arial" w:eastAsiaTheme="minorEastAsia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3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Marek Ing.</dc:creator>
  <cp:keywords/>
  <dc:description/>
  <cp:lastModifiedBy>Kloková Eva</cp:lastModifiedBy>
  <cp:revision>19</cp:revision>
  <cp:lastPrinted>2017-08-17T08:47:00Z</cp:lastPrinted>
  <dcterms:created xsi:type="dcterms:W3CDTF">2020-10-21T10:38:00Z</dcterms:created>
  <dcterms:modified xsi:type="dcterms:W3CDTF">2022-06-14T05:58:00Z</dcterms:modified>
</cp:coreProperties>
</file>