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8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2730500</wp:posOffset>
                </wp:positionV>
                <wp:extent cx="1356360" cy="172529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6360" cy="1725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(dále jen „objednatel“)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(dále jen “zhotovitel“)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25pt;margin-top:215.pt;width:106.8pt;height:135.84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„objednatel“)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(dále jen “zhotovitel“)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SMLOUVA O DÍLO</w:t>
        <w:br/>
      </w:r>
      <w:r>
        <w:rPr>
          <w:rStyle w:val="CharStyle3"/>
        </w:rPr>
        <w:t>uzavřená dle ustanovení § 2586 a násl. zákona č. 89/2012 Sb.,</w:t>
        <w:br/>
        <w:t>občanský zákoník, v platném znění,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62" w:right="0" w:firstLine="0"/>
        <w:jc w:val="left"/>
      </w:pPr>
      <w:r>
        <w:rPr>
          <w:rStyle w:val="CharStyle24"/>
        </w:rPr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3139"/>
        <w:gridCol w:w="5760"/>
      </w:tblGrid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b/>
                <w:bCs/>
              </w:rPr>
              <w:t>Zdravotnická záchranná služba Jihomoravského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b/>
                <w:bCs/>
              </w:rPr>
              <w:t>kraje, příspěvková organizace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</w:rPr>
              <w:t>Kamenice 798/1 d, 625 00 Bmo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</w:rPr>
              <w:t>MUDr. Hana Albrechtová, ředitelka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  <w:spacing w:val="9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pacing w:val="2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....</w:t>
            </w:r>
            <w:r>
              <w:rPr>
                <w:rStyle w:val="CharStyle26"/>
                <w:spacing w:val="3"/>
                <w:shd w:val="clear" w:color="auto" w:fill="000000"/>
              </w:rPr>
              <w:t>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8"/>
                <w:shd w:val="clear" w:color="auto" w:fill="000000"/>
              </w:rPr>
              <w:t>..</w:t>
            </w:r>
            <w:r>
              <w:rPr>
                <w:rStyle w:val="CharStyle26"/>
                <w:spacing w:val="9"/>
                <w:shd w:val="clear" w:color="auto" w:fill="000000"/>
              </w:rPr>
              <w:t>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8"/>
                <w:shd w:val="clear" w:color="auto" w:fill="000000"/>
              </w:rPr>
              <w:t>.</w:t>
            </w:r>
            <w:r>
              <w:rPr>
                <w:rStyle w:val="CharStyle26"/>
                <w:spacing w:val="9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6"/>
                <w:shd w:val="clear" w:color="auto" w:fill="000000"/>
              </w:rPr>
              <w:t>....</w:t>
            </w:r>
            <w:r>
              <w:rPr>
                <w:rStyle w:val="CharStyle26"/>
                <w:spacing w:val="7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10"/>
                <w:shd w:val="clear" w:color="auto" w:fill="000000"/>
              </w:rPr>
              <w:t>..</w:t>
            </w:r>
            <w:r>
              <w:rPr>
                <w:rStyle w:val="CharStyle26"/>
                <w:spacing w:val="11"/>
                <w:shd w:val="clear" w:color="auto" w:fill="000000"/>
              </w:rPr>
              <w:t>...</w:t>
            </w:r>
          </w:p>
        </w:tc>
      </w:tr>
      <w:tr>
        <w:trPr>
          <w:trHeight w:val="4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6"/>
              </w:rPr>
              <w:t>IČO. 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300" w:right="0" w:firstLine="20"/>
              <w:jc w:val="left"/>
            </w:pPr>
            <w:r>
              <w:rPr>
                <w:rStyle w:val="CharStyle26"/>
              </w:rPr>
              <w:t>00346292 CZ00346292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20"/>
              <w:jc w:val="left"/>
            </w:pPr>
            <w:r>
              <w:rPr>
                <w:rStyle w:val="CharStyle26"/>
              </w:rPr>
              <w:t>Krajský soud v Brně sp. zn. Pr 1245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26"/>
              </w:rPr>
              <w:t>MONETA Money Bank, a.s., č. ú. 117203514/0600</w:t>
            </w:r>
          </w:p>
        </w:tc>
      </w:tr>
    </w:tbl>
    <w:p>
      <w:pPr>
        <w:widowControl w:val="0"/>
        <w:spacing w:after="1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120" w:right="0" w:firstLine="20"/>
        <w:jc w:val="left"/>
      </w:pPr>
      <w:r>
        <w:rPr>
          <w:rStyle w:val="CharStyle3"/>
        </w:rPr>
        <w:t>AS Parking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120" w:right="0" w:firstLine="20"/>
        <w:jc w:val="left"/>
      </w:pPr>
      <w:r>
        <w:rPr>
          <w:rStyle w:val="CharStyle3"/>
        </w:rPr>
        <w:t>Masarykova 118, Modříce, PSČ 664 42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120" w:right="0" w:firstLine="20"/>
        <w:jc w:val="left"/>
      </w:pPr>
      <w:r>
        <w:rPr>
          <w:rStyle w:val="CharStyle3"/>
        </w:rPr>
        <w:t>Ing. Martin Skoumal, jednael 25532961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/>
        <w:ind w:left="1120" w:right="0" w:firstLine="20"/>
        <w:jc w:val="left"/>
      </w:pPr>
      <w:r>
        <w:rPr>
          <w:rStyle w:val="CharStyle3"/>
        </w:rPr>
        <w:t>CZ25532961</w:t>
      </w:r>
    </w:p>
    <w:p>
      <w:pPr>
        <w:pStyle w:val="Style38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0" w:name="bookmark0"/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rStyle w:val="CharStyle3"/>
        </w:rPr>
        <w:t>Zhotovitel je osobou oprávněnou k provedení díla dle čl. 2.</w:t>
      </w:r>
    </w:p>
    <w:p>
      <w:pPr>
        <w:pStyle w:val="Style38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" w:name="bookmark2"/>
      <w:bookmarkEnd w:id="2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5" w:val="left"/>
        </w:tabs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Zhotovitel se zavazuje v rámci svého oprávnění podle čl. 1. této smlouvy zhotovit pro objednatele dodávku a montáž vjezdových závor ve výjezdové základně objednatele, na parcelách č. 3339/29 a 3339/30 katastrální území Boskovice, obec Boskovice, okres Blansko, které je místem plnění tohoto závazku. Specifikace plnění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0" w:val="left"/>
        </w:tabs>
        <w:bidi w:val="0"/>
        <w:spacing w:before="0" w:line="252" w:lineRule="auto"/>
        <w:ind w:left="0" w:right="0" w:firstLine="0"/>
        <w:jc w:val="left"/>
      </w:pPr>
      <w:r>
        <w:rPr>
          <w:rStyle w:val="CharStyle3"/>
        </w:rPr>
        <w:t>Zhotovitel se zavazuje provést dílo dle odst. 1. do 30.11. 2022.</w:t>
      </w:r>
    </w:p>
    <w:p>
      <w:pPr>
        <w:pStyle w:val="Style38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4" w:lineRule="auto"/>
        <w:ind w:left="0" w:right="0" w:firstLine="0"/>
        <w:jc w:val="both"/>
      </w:pPr>
      <w:r>
        <w:rPr>
          <w:rStyle w:val="CharStyle3"/>
        </w:rPr>
        <w:t>Závazek zhotovitele k provedení díla podle této smlouvy se považuje za splněný po faktickém provedení díla, dnem předání a převzetí díla formou písemného předávacího protokolu, podepsaného oběma smluvními stranami. Objednatel je oprávněn odmítnout převzetí díla, bude-li se na díle vyskytovat vada.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6" w:name="bookmark6"/>
      <w:r>
        <w:rPr>
          <w:rStyle w:val="CharStyle39"/>
          <w:b/>
          <w:bCs/>
        </w:rPr>
        <w:t>4.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line="252" w:lineRule="auto"/>
        <w:ind w:left="0" w:right="0" w:firstLine="0"/>
        <w:jc w:val="left"/>
      </w:pPr>
      <w:r>
        <w:rPr>
          <w:rStyle w:val="CharStyle3"/>
        </w:rPr>
        <w:t>Zhotovitel se zavazuje postupovat při provádění díla podle této smlouvy dle pokynů objednatele, svědomitě a s náležitou odbornou péčí.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8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>Zhotovitel se zavazuje, že dílo podle čl. 2. této smlouvy bude odpovídat příslušným technickým a jiným obdobným normám, a bude mít vlastnosti dohodnuté nebo které jsou u dél tohoto druhu obvyklé, a to nejméně po dobu záruční lhůty v trvání 24-ti měsíců ode dne splnění svého závazku k provedení tohoto díla.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8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>V rámci této své záruky za jakost se zhotovitel zavazuje bezplatné odstraňovat reklamované vady, a to vždy nejpozději do 10 dnů od doručení příslušné písemné reklamace objednatele.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3" w:val="left"/>
        </w:tabs>
        <w:bidi w:val="0"/>
        <w:spacing w:before="0" w:line="252" w:lineRule="auto"/>
        <w:ind w:left="0" w:right="0" w:firstLine="0"/>
        <w:jc w:val="both"/>
      </w:pPr>
      <w:r>
        <w:rPr>
          <w:rStyle w:val="CharStyle3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8" w:val="left"/>
        </w:tabs>
        <w:bidi w:val="0"/>
        <w:spacing w:before="0" w:after="480"/>
        <w:ind w:left="0" w:right="0" w:firstLine="0"/>
        <w:jc w:val="both"/>
      </w:pPr>
      <w:r>
        <w:rPr>
          <w:rStyle w:val="CharStyle3"/>
        </w:rPr>
        <w:t>Pro případ prodlení zhotovitele s odstraněním reklamované vady ve lhůté podle čl. 4. odst. 3. této smlouvy se zhotovitel zavazuje platit objednateli smluvní pokutu ve výši 0,05 % z ceny dle čl. 6 za každý započatý den prodlení. Pro případ tohoto prodlení o víc než 7 dnů je objednatel oprávněn nechat odstranění vady provést třetí osobou na náklady zhotovitele.</w:t>
      </w:r>
    </w:p>
    <w:p>
      <w:pPr>
        <w:pStyle w:val="Style38"/>
        <w:keepNext/>
        <w:keepLines/>
        <w:widowControl w:val="0"/>
        <w:numPr>
          <w:ilvl w:val="0"/>
          <w:numId w:val="7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" w:name="bookmark8"/>
      <w:bookmarkEnd w:id="8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8" w:val="left"/>
        </w:tabs>
        <w:bidi w:val="0"/>
        <w:spacing w:before="0"/>
        <w:ind w:left="0" w:right="0" w:firstLine="0"/>
        <w:jc w:val="both"/>
      </w:pPr>
      <w:r>
        <w:rPr>
          <w:rStyle w:val="CharStyle3"/>
        </w:rPr>
        <w:t>Pro případ prodlení zhotovitele s provedením díla podle této smlouvy ve lhůtě dle čl. 2. odst. 2. této smlouvy se zhotovitel zavazuje zaplatit objednateli smluvní pokutu ve výši 0,1 % z ceny díla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5" w:val="left"/>
        </w:tabs>
        <w:bidi w:val="0"/>
        <w:spacing w:before="0" w:after="480" w:line="252" w:lineRule="auto"/>
        <w:ind w:left="0" w:right="0" w:firstLine="0"/>
        <w:jc w:val="both"/>
      </w:pPr>
      <w:r>
        <w:rPr>
          <w:rStyle w:val="CharStyle3"/>
        </w:rPr>
        <w:t>Pro případ prodlení zhotovitele s provedením tohoto díla ve lhůtě podle čl. 2 odst. 2 této smlouvy o víc, než 7 dnů, je objednatel oprávněn od této smlouvy odstoupit.</w:t>
      </w:r>
    </w:p>
    <w:p>
      <w:pPr>
        <w:pStyle w:val="Style38"/>
        <w:keepNext/>
        <w:keepLines/>
        <w:widowControl w:val="0"/>
        <w:numPr>
          <w:ilvl w:val="0"/>
          <w:numId w:val="7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98" w:val="left"/>
        </w:tabs>
        <w:bidi w:val="0"/>
        <w:spacing w:before="0" w:after="600" w:line="254" w:lineRule="auto"/>
        <w:ind w:left="0" w:right="0" w:firstLine="0"/>
        <w:jc w:val="both"/>
      </w:pPr>
      <w:r>
        <w:rPr>
          <w:rStyle w:val="CharStyle3"/>
        </w:rPr>
        <w:t>Objednatel se zavazuje zaplatit zhotoviteli za dílo podle čl. 2 této smlouvy cenu díla ve výši 180070,- Kč bez DPH, tj. 217884,70 Kč včetně DPH s tím, že součástí této ceny jsou veškeré náklady zhotovitele spojené s plněním závazku zhotovitele podle čl. 2 této smlouvy Změna ceny je možná pouze v případě zákonné změny sazby DPH.</w:t>
      </w:r>
    </w:p>
    <w:p>
      <w:pPr>
        <w:pStyle w:val="Style38"/>
        <w:keepNext/>
        <w:keepLines/>
        <w:widowControl w:val="0"/>
        <w:numPr>
          <w:ilvl w:val="0"/>
          <w:numId w:val="7"/>
        </w:numPr>
        <w:shd w:val="clear" w:color="auto" w:fill="auto"/>
        <w:bidi w:val="0"/>
        <w:spacing w:before="0" w:after="0" w:line="293" w:lineRule="auto"/>
        <w:ind w:left="0" w:right="0" w:firstLine="0"/>
        <w:jc w:val="center"/>
      </w:pPr>
      <w:bookmarkStart w:id="12" w:name="bookmark12"/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03" w:val="left"/>
        </w:tabs>
        <w:bidi w:val="0"/>
        <w:spacing w:before="0" w:after="280" w:line="293" w:lineRule="auto"/>
        <w:ind w:left="0" w:right="0" w:firstLine="0"/>
        <w:jc w:val="both"/>
      </w:pPr>
      <w:r>
        <w:rPr>
          <w:rStyle w:val="CharStyle3"/>
        </w:rPr>
        <w:t xml:space="preserve">Cena díla podle čl. 6 této smlouvy je splatná po splnění závazku k provedení díla způsobem podle čl. 2. této smlouvy ve lhůtě do 30-ti dnů od předložení jeho písemného vyhotovení (faktury/daňového dokladu). Faktura bude doručena elektronicky na email: 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1"/>
          <w:u w:val="single"/>
          <w:shd w:val="clear" w:color="auto" w:fill="000000"/>
        </w:rPr>
        <w:t>..................</w:t>
      </w:r>
      <w:r>
        <w:rPr>
          <w:rStyle w:val="CharStyle3"/>
          <w:spacing w:val="2"/>
          <w:u w:val="single"/>
          <w:shd w:val="clear" w:color="auto" w:fill="000000"/>
        </w:rPr>
        <w:t>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10"/>
          <w:u w:val="single"/>
          <w:shd w:val="clear" w:color="auto" w:fill="000000"/>
        </w:rPr>
        <w:t>.</w:t>
      </w:r>
      <w:r>
        <w:rPr>
          <w:rStyle w:val="CharStyle3"/>
          <w:spacing w:val="11"/>
          <w:u w:val="single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.​</w:t>
      </w:r>
      <w:r>
        <w:rPr>
          <w:rStyle w:val="CharStyle3"/>
          <w:spacing w:val="27"/>
          <w:shd w:val="clear" w:color="auto" w:fill="000000"/>
        </w:rPr>
        <w:t>.</w:t>
      </w:r>
      <w:r>
        <w:rPr>
          <w:rStyle w:val="CharStyle3"/>
          <w:spacing w:val="28"/>
          <w:shd w:val="clear" w:color="auto" w:fill="000000"/>
        </w:rPr>
        <w:t>.</w:t>
      </w:r>
      <w:r>
        <w:rPr>
          <w:rStyle w:val="CharStyle3"/>
          <w:u w:val="single"/>
          <w:shd w:val="clear" w:color="auto" w:fill="000000"/>
        </w:rPr>
        <w:t>​...................</w:t>
      </w:r>
      <w:r>
        <w:rPr>
          <w:rStyle w:val="CharStyle3"/>
          <w:spacing w:val="1"/>
          <w:u w:val="single"/>
          <w:shd w:val="clear" w:color="auto" w:fill="000000"/>
        </w:rPr>
        <w:t>............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10"/>
          <w:u w:val="single"/>
          <w:shd w:val="clear" w:color="auto" w:fill="000000"/>
        </w:rPr>
        <w:t>.</w:t>
      </w:r>
      <w:r>
        <w:rPr>
          <w:rStyle w:val="CharStyle3"/>
          <w:spacing w:val="11"/>
          <w:u w:val="single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..</w:t>
      </w:r>
      <w:r>
        <w:rPr>
          <w:rStyle w:val="CharStyle3"/>
        </w:rPr>
        <w:t>Na faktuře musí být mimo jiné uvedeno toto číslo veřejné zakázky, ke které se faktura vztahuje: P22V00003296.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03" w:val="left"/>
        </w:tabs>
        <w:bidi w:val="0"/>
        <w:spacing w:before="0" w:after="960" w:line="252" w:lineRule="auto"/>
        <w:ind w:left="0" w:right="0" w:firstLine="0"/>
        <w:jc w:val="both"/>
      </w:pPr>
      <w:r>
        <w:rPr>
          <w:rStyle w:val="CharStyle3"/>
        </w:rPr>
        <w:t>Pro případ prodlení objednatele se zaplacením ceny díla se objednatel zavazuje zaplatit zhotoviteli úrok z prodlení ve výši dle příslušných právních předpisů v jejich aktuálním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3"/>
          <w:b/>
          <w:bCs/>
        </w:rPr>
        <w:t>8.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9" w:lineRule="auto"/>
        <w:ind w:left="0" w:right="0" w:firstLine="0"/>
        <w:jc w:val="both"/>
      </w:pPr>
      <w:r>
        <w:rPr>
          <w:rStyle w:val="CharStyle3"/>
        </w:rPr>
        <w:t>Objednatel se zavazuje poskytnout zhotoviteli nezbytnou součinnost ke splnění jeho závazků podle této smlouvy. Za tímto účelem je objednatel povinen zhotoviteli zejména poskytovat potřebné informace a podklady.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4" w:name="bookmark14"/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rStyle w:val="CharStyle3"/>
        </w:rPr>
        <w:t>Zhotovitel uděluje objednateli svůj výslovný souhlas se zveřejněním podmínek této smlouvy v rozsahu a za podmínek vyplývajících z příslušných právních předpisů (zejména dle zákona č. 106/1999 Sb., o svobodném přístupu k informacím, v platném znění).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6" w:name="bookmark16"/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objednatel.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8" w:name="bookmark18"/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rStyle w:val="CharStyle3"/>
        </w:rPr>
        <w:t>Tuto smlouvu lze změnit nebo zrušit pouze jinou písemnou dohodou obou smluvních stran.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20" w:name="bookmark20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both"/>
      </w:pPr>
      <w:r>
        <w:rPr>
          <w:rStyle w:val="CharStyle3"/>
        </w:rPr>
        <w:t>Není-li touto smlouvou ujednáno jinak, řídí se vzájemný právní vztah mezi smluvními stranami ustanoveními o smlouvě o dílo zákona č. 89/2012 Sb. občanský zákoník.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22" w:name="bookmark22"/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both"/>
      </w:pPr>
      <w:r>
        <w:rPr>
          <w:rStyle w:val="CharStyle3"/>
        </w:rPr>
        <w:t>Tato smlouva se uzavírá na základě návrhu na její uzavření ze strany objednatele. Předpokladem uzavření této smlouvy je její písemná forma a dohoda o celém jejím obsahu jak je obsažen v jejích článcích 1 až 15. Objednatel přitom předem vylučuje přijetí tohoto návrhu s dodatkem nebo odchylkou ve smyslu ustanovení § 1740 odst. 3 občanského zákoníku</w:t>
      </w:r>
    </w:p>
    <w:p>
      <w:pPr>
        <w:pStyle w:val="Style38"/>
        <w:keepNext/>
        <w:keepLines/>
        <w:widowControl w:val="0"/>
        <w:numPr>
          <w:ilvl w:val="0"/>
          <w:numId w:val="15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24" w:name="bookmark24"/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2" w:lineRule="auto"/>
        <w:ind w:left="0" w:right="0" w:firstLine="0"/>
        <w:jc w:val="both"/>
      </w:pPr>
      <w:r>
        <w:rPr>
          <w:rStyle w:val="CharStyle3"/>
        </w:rPr>
        <w:t>Tato smlouva je platná podpisem oběma stranami a nabývá účinnosti dnem jejího uveřejnění dle čl. 10.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39"/>
          <w:b/>
          <w:bCs/>
        </w:rPr>
        <w:t>15.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779780" distL="114300" distR="1035050" simplePos="0" relativeHeight="12582938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431800</wp:posOffset>
                </wp:positionV>
                <wp:extent cx="746760" cy="1892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pacing w:val="11"/>
                                <w:shd w:val="clear" w:color="auto" w:fill="000000"/>
                              </w:rPr>
                              <w:t>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150000000000006pt;margin-top:34.pt;width:58.800000000000004pt;height:14.9pt;z-index:-125829373;mso-wrap-distance-left:9.pt;mso-wrap-distance-right:81.5pt;mso-wrap-distance-bottom:61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11"/>
                          <w:shd w:val="clear" w:color="auto" w:fill="000000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18745" distB="0" distL="574675" distR="114300" simplePos="0" relativeHeight="125829382" behindDoc="0" locked="0" layoutInCell="1" allowOverlap="1">
            <wp:simplePos x="0" y="0"/>
            <wp:positionH relativeFrom="page">
              <wp:posOffset>1402080</wp:posOffset>
            </wp:positionH>
            <wp:positionV relativeFrom="paragraph">
              <wp:posOffset>550545</wp:posOffset>
            </wp:positionV>
            <wp:extent cx="1207135" cy="85344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07135" cy="8534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88900" distR="88900" simplePos="0" relativeHeight="125829383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1231900</wp:posOffset>
                </wp:positionV>
                <wp:extent cx="786130" cy="47879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MUDr. Hana ředitelka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650000000000006pt;margin-top:97.pt;width:61.899999999999999pt;height:37.700000000000003pt;z-index:-125829370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MUDr. Hana ředitelka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Objednatel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1257300</wp:posOffset>
                </wp:positionV>
                <wp:extent cx="1398905" cy="46609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4660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Martin Skoumal 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4.55000000000001pt;margin-top:99.pt;width:110.15000000000001pt;height:36.700000000000003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Martin Skoumal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0" distB="0" distL="1702435" distR="114300" simplePos="0" relativeHeight="125829387" behindDoc="0" locked="0" layoutInCell="1" allowOverlap="1">
            <wp:simplePos x="0" y="0"/>
            <wp:positionH relativeFrom="page">
              <wp:posOffset>5474335</wp:posOffset>
            </wp:positionH>
            <wp:positionV relativeFrom="paragraph">
              <wp:posOffset>317500</wp:posOffset>
            </wp:positionV>
            <wp:extent cx="1115695" cy="1329055"/>
            <wp:wrapSquare wrapText="lef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15695" cy="13290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473075</wp:posOffset>
                </wp:positionV>
                <wp:extent cx="1725295" cy="15875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52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 Modřících dne 12.9.2022</w:t>
                            </w:r>
                            <w:r>
                              <w:rPr>
                                <w:rStyle w:val="CharStyle9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6.pt;margin-top:37.25pt;width:135.84999999999999pt;height:12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 Modřících dne 12.9.2022</w:t>
                      </w:r>
                      <w:r>
                        <w:rPr>
                          <w:rStyle w:val="CharStyle9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1131570</wp:posOffset>
                </wp:positionV>
                <wp:extent cx="1398905" cy="13398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"/>
                                <w:i/>
                                <w:iCs/>
                                <w:color w:val="97CFEE"/>
                              </w:rPr>
                              <w:t>1</w:t>
                            </w:r>
                            <w:r>
                              <w:rPr>
                                <w:rStyle w:val="CharStyle9"/>
                                <w:i/>
                                <w:iCs/>
                                <w:spacing w:val="2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9"/>
                                <w:i/>
                                <w:iCs/>
                                <w:spacing w:val="2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9"/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9"/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spacing w:val="19"/>
                                <w:sz w:val="22"/>
                                <w:szCs w:val="2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9"/>
                                <w:rFonts w:ascii="Times New Roman" w:eastAsia="Times New Roman" w:hAnsi="Times New Roman" w:cs="Times New Roman"/>
                                <w:i/>
                                <w:iCs/>
                                <w:smallCaps/>
                                <w:spacing w:val="20"/>
                                <w:sz w:val="22"/>
                                <w:szCs w:val="22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34.55000000000001pt;margin-top:89.100000000000009pt;width:110.15000000000001pt;height:10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97CFEE"/>
                        </w:rPr>
                        <w:t>1</w:t>
                      </w:r>
                      <w:r>
                        <w:rPr>
                          <w:rStyle w:val="CharStyle9"/>
                          <w:i/>
                          <w:iCs/>
                          <w:spacing w:val="2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9"/>
                          <w:i/>
                          <w:iCs/>
                          <w:spacing w:val="2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9"/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9"/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spacing w:val="19"/>
                          <w:sz w:val="22"/>
                          <w:szCs w:val="2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9"/>
                          <w:rFonts w:ascii="Times New Roman" w:eastAsia="Times New Roman" w:hAnsi="Times New Roman" w:cs="Times New Roman"/>
                          <w:i/>
                          <w:iCs/>
                          <w:smallCaps/>
                          <w:spacing w:val="20"/>
                          <w:sz w:val="22"/>
                          <w:szCs w:val="22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4328160</wp:posOffset>
                </wp:positionH>
                <wp:positionV relativeFrom="paragraph">
                  <wp:posOffset>783590</wp:posOffset>
                </wp:positionV>
                <wp:extent cx="1146175" cy="34417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617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9"/>
                                <w:i/>
                                <w:iCs/>
                                <w:color w:val="97CFEE"/>
                                <w:sz w:val="26"/>
                                <w:szCs w:val="26"/>
                              </w:rPr>
                              <w:t>^sar^ffs.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0.80000000000001pt;margin-top:61.700000000000003pt;width:90.25pt;height:27.10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9"/>
                          <w:i/>
                          <w:iCs/>
                          <w:color w:val="97CFEE"/>
                          <w:sz w:val="26"/>
                          <w:szCs w:val="26"/>
                        </w:rPr>
                        <w:t>^sar^ffs.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17"/>
          <w:szCs w:val="17"/>
        </w:rPr>
      </w:pPr>
      <w:r>
        <w:rPr>
          <w:rStyle w:val="CharStyle48"/>
        </w:rPr>
        <w:t>z-^unumicKá záchranná služba</w:t>
        <w:br/>
      </w:r>
      <w:r>
        <w:rPr>
          <w:rStyle w:val="CharStyle48"/>
          <w:rFonts w:ascii="Arial" w:eastAsia="Arial" w:hAnsi="Arial" w:cs="Arial"/>
          <w:sz w:val="17"/>
          <w:szCs w:val="17"/>
        </w:rPr>
        <w:t>Jihomoravského kraje, p.o.</w:t>
      </w:r>
    </w:p>
    <w:p>
      <w:pPr>
        <w:pStyle w:val="Style5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both"/>
      </w:pPr>
      <w:r>
        <w:rPr>
          <w:rStyle w:val="CharStyle51"/>
        </w:rPr>
        <w:t>Kamenice Z98/1d, 625 00 Brno</w:t>
      </w:r>
    </w:p>
    <w:p>
      <w:pPr>
        <w:pStyle w:val="Style5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51"/>
        </w:rPr>
        <w:t>21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</w:rPr>
        <w:t>Příloha č. 1 Specifikace, Ceník</w:t>
      </w:r>
    </w:p>
    <w:tbl>
      <w:tblPr>
        <w:tblOverlap w:val="never"/>
        <w:jc w:val="center"/>
        <w:tblLayout w:type="fixed"/>
      </w:tblPr>
      <w:tblGrid>
        <w:gridCol w:w="499"/>
        <w:gridCol w:w="3000"/>
        <w:gridCol w:w="408"/>
        <w:gridCol w:w="485"/>
        <w:gridCol w:w="1805"/>
        <w:gridCol w:w="2376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P-é-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MJ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Poč.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 v Kč bez DPH/MJ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 v Kč bez DPH za počet MJ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Ráhno závory 3m s reflexním polepem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4680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9360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Automatická závora do 4m, pro nepřetržitý provoz, automatické otevření při výpadku napájení, barevné provedení RAL1028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45820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91640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Sloupek pro čtečku a hlásku, RAL1028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6650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13300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Indukční detektor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4640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13920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Semafor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6540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13080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Sloupek semaforu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4260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8520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Zakázková tvorba řídícího programu - pro brány a závory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8900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8900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Montáž závor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12500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Oživení, zaškolení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4800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Doprava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both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4050</w:t>
            </w:r>
          </w:p>
        </w:tc>
      </w:tr>
      <w:tr>
        <w:trPr>
          <w:trHeight w:val="341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180070</w:t>
            </w:r>
          </w:p>
        </w:tc>
      </w:tr>
      <w:tr>
        <w:trPr>
          <w:trHeight w:val="36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Cena celkem v Kč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26"/>
                <w:b/>
                <w:bCs/>
                <w:sz w:val="14"/>
                <w:szCs w:val="14"/>
              </w:rPr>
              <w:t>217884,7</w:t>
            </w:r>
          </w:p>
        </w:tc>
      </w:tr>
    </w:tbl>
    <w:sectPr>
      <w:headerReference w:type="default" r:id="rId9"/>
      <w:footerReference w:type="default" r:id="rId10"/>
      <w:headerReference w:type="first" r:id="rId11"/>
      <w:footerReference w:type="first" r:id="rId12"/>
      <w:footnotePr>
        <w:pos w:val="pageBottom"/>
        <w:numFmt w:val="decimal"/>
        <w:numRestart w:val="continuous"/>
      </w:footnotePr>
      <w:pgSz w:w="11900" w:h="16840"/>
      <w:pgMar w:top="1669" w:right="1511" w:bottom="1389" w:left="1476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964565</wp:posOffset>
              </wp:positionH>
              <wp:positionV relativeFrom="page">
                <wp:posOffset>9966325</wp:posOffset>
              </wp:positionV>
              <wp:extent cx="2648585" cy="10668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4858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44_2022 Vjezdové závory VZ ZZS JmK Boskovice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5.950000000000003pt;margin-top:784.75pt;width:208.55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sz w:val="17"/>
                        <w:szCs w:val="17"/>
                      </w:rPr>
                      <w:t>VZ 44_2022 Vjezdové závory VZ ZZS JmK Boskovice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10003155</wp:posOffset>
              </wp:positionV>
              <wp:extent cx="2660650" cy="1130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606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VZ 44_2022 Vjezdové závory VZ ZZS JmK Boskovice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75.pt;margin-top:787.64999999999998pt;width:209.5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sz w:val="17"/>
                        <w:szCs w:val="17"/>
                      </w:rPr>
                      <w:t>VZ 44_2022 Vjezdové závory VZ ZZS JmK Boskovice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5670550</wp:posOffset>
              </wp:positionH>
              <wp:positionV relativeFrom="page">
                <wp:posOffset>200660</wp:posOffset>
              </wp:positionV>
              <wp:extent cx="1463040" cy="58801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3040" cy="588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2"/>
                              <w:szCs w:val="92"/>
                            </w:rPr>
                          </w:pPr>
                          <w:r>
                            <w:rPr>
                              <w:rStyle w:val="CharStyle19"/>
                              <w:rFonts w:ascii="Courier New" w:eastAsia="Courier New" w:hAnsi="Courier New" w:cs="Courier New"/>
                              <w:sz w:val="92"/>
                              <w:szCs w:val="92"/>
                            </w:rPr>
                            <w:t>■■■I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19"/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2022006503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46.5pt;margin-top:15.800000000000001pt;width:115.2pt;height:46.3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2"/>
                        <w:szCs w:val="92"/>
                      </w:rPr>
                    </w:pPr>
                    <w:r>
                      <w:rPr>
                        <w:rStyle w:val="CharStyle19"/>
                        <w:rFonts w:ascii="Courier New" w:eastAsia="Courier New" w:hAnsi="Courier New" w:cs="Courier New"/>
                        <w:sz w:val="92"/>
                        <w:szCs w:val="92"/>
                      </w:rPr>
                      <w:t>■■■I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19"/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2022006503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5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9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4">
    <w:name w:val="Titulek tabulky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Nadpis #1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">
    <w:name w:val="Základní text (2)_"/>
    <w:basedOn w:val="DefaultParagraphFont"/>
    <w:link w:val="Style4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6ECBE8"/>
      <w:sz w:val="22"/>
      <w:szCs w:val="22"/>
      <w:u w:val="none"/>
    </w:rPr>
  </w:style>
  <w:style w:type="character" w:customStyle="1" w:styleId="CharStyle51">
    <w:name w:val="Základní text (3)_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color w:val="6ECBE8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3">
    <w:name w:val="Titulek tabulky"/>
    <w:basedOn w:val="Normal"/>
    <w:link w:val="CharStyle2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4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Nadpis #1"/>
    <w:basedOn w:val="Normal"/>
    <w:link w:val="CharStyle39"/>
    <w:pPr>
      <w:widowControl w:val="0"/>
      <w:shd w:val="clear" w:color="auto" w:fill="auto"/>
      <w:spacing w:line="25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7">
    <w:name w:val="Základní text (2)"/>
    <w:basedOn w:val="Normal"/>
    <w:link w:val="CharStyle48"/>
    <w:pPr>
      <w:widowControl w:val="0"/>
      <w:shd w:val="clear" w:color="auto" w:fill="auto"/>
      <w:spacing w:line="228" w:lineRule="auto"/>
      <w:jc w:val="center"/>
    </w:pPr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6ECBE8"/>
      <w:sz w:val="22"/>
      <w:szCs w:val="22"/>
      <w:u w:val="none"/>
    </w:rPr>
  </w:style>
  <w:style w:type="paragraph" w:customStyle="1" w:styleId="Style50">
    <w:name w:val="Základní text (3)"/>
    <w:basedOn w:val="Normal"/>
    <w:link w:val="CharStyle51"/>
    <w:pPr>
      <w:widowControl w:val="0"/>
      <w:shd w:val="clear" w:color="auto" w:fill="auto"/>
      <w:spacing w:after="110"/>
      <w:ind w:left="7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ECBE8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