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69620C2A"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5D4062">
        <w:rPr>
          <w:sz w:val="24"/>
          <w:szCs w:val="24"/>
        </w:rPr>
        <w:t>4500041626</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w:t>
      </w:r>
      <w:bookmarkStart w:id="0" w:name="_GoBack"/>
      <w:bookmarkEnd w:id="0"/>
      <w:r>
        <w:rPr>
          <w:rFonts w:ascii="Arial" w:hAnsi="Arial" w:cs="Arial"/>
          <w:b/>
          <w:sz w:val="22"/>
          <w:szCs w:val="22"/>
        </w:rPr>
        <w:t>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562044"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562044" w:rsidRDefault="00562044" w:rsidP="00562044">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77CA9C3F" w:rsidR="00562044" w:rsidRPr="003E1907" w:rsidRDefault="00562044" w:rsidP="00562044">
            <w:pPr>
              <w:rPr>
                <w:rFonts w:ascii="Arial" w:hAnsi="Arial" w:cs="Arial"/>
                <w:b/>
                <w:sz w:val="22"/>
                <w:szCs w:val="22"/>
                <w:lang w:eastAsia="en-US"/>
              </w:rPr>
            </w:pPr>
            <w:r>
              <w:rPr>
                <w:rFonts w:ascii="Arial" w:hAnsi="Arial" w:cs="Arial"/>
                <w:sz w:val="22"/>
                <w:szCs w:val="22"/>
                <w:lang w:eastAsia="en-US"/>
              </w:rPr>
              <w:t>Regionální vlajková akce v Karlovarském kraji</w:t>
            </w:r>
          </w:p>
        </w:tc>
      </w:tr>
      <w:tr w:rsidR="00562044"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562044" w:rsidRDefault="00562044" w:rsidP="00562044">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4BFC072C" w:rsidR="00562044" w:rsidRPr="003E1907"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Karlovy Vary, </w:t>
            </w:r>
            <w:proofErr w:type="gramStart"/>
            <w:r w:rsidRPr="00A67485">
              <w:rPr>
                <w:rFonts w:ascii="Arial" w:hAnsi="Arial" w:cs="Arial"/>
                <w:b w:val="0"/>
                <w:i w:val="0"/>
                <w:sz w:val="22"/>
                <w:szCs w:val="22"/>
                <w:lang w:val="cs-CZ" w:eastAsia="en-US"/>
              </w:rPr>
              <w:t>T.G.</w:t>
            </w:r>
            <w:proofErr w:type="gramEnd"/>
            <w:r w:rsidRPr="00A67485">
              <w:rPr>
                <w:rFonts w:ascii="Arial" w:hAnsi="Arial" w:cs="Arial"/>
                <w:b w:val="0"/>
                <w:i w:val="0"/>
                <w:sz w:val="22"/>
                <w:szCs w:val="22"/>
                <w:lang w:val="cs-CZ" w:eastAsia="en-US"/>
              </w:rPr>
              <w:t xml:space="preserve"> Masaryka</w:t>
            </w:r>
          </w:p>
        </w:tc>
      </w:tr>
      <w:tr w:rsidR="00562044"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562044" w:rsidRDefault="00562044" w:rsidP="00562044">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46BBA013" w:rsidR="00562044" w:rsidRPr="003E1907" w:rsidRDefault="00562044" w:rsidP="00562044">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22.09.2022</w:t>
            </w:r>
            <w:proofErr w:type="gramEnd"/>
            <w:r>
              <w:rPr>
                <w:rFonts w:ascii="Arial" w:hAnsi="Arial" w:cs="Arial"/>
                <w:b w:val="0"/>
                <w:i w:val="0"/>
                <w:sz w:val="22"/>
                <w:szCs w:val="22"/>
                <w:lang w:val="cs-CZ" w:eastAsia="en-US"/>
              </w:rPr>
              <w:t xml:space="preserve">, Karlovy Vary </w:t>
            </w:r>
          </w:p>
        </w:tc>
      </w:tr>
      <w:tr w:rsidR="00562044"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562044" w:rsidRDefault="00562044" w:rsidP="00562044">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3351EDD8" w:rsidR="00562044" w:rsidRPr="001B2A7C"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562044"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562044" w:rsidRDefault="00562044" w:rsidP="00562044">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4714640F"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Karlovarském kraji na základě rámcové smlouvy č. 22/212-0 v rozsahu:</w:t>
            </w:r>
          </w:p>
          <w:p w14:paraId="744F645E"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p>
          <w:p w14:paraId="24CA70F2"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055BC511"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2CA3C5CA"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stan 3 x 3 m</w:t>
            </w:r>
          </w:p>
          <w:p w14:paraId="21E79B18"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-9 ks sada stolu a lavic</w:t>
            </w:r>
          </w:p>
          <w:p w14:paraId="4D35B0D9"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1FCE5977"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4A4ADB88"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34D4DE2D"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-30 ks plachta ke stanu 3 x 3 m</w:t>
            </w:r>
          </w:p>
          <w:p w14:paraId="655C4228"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1F62E242"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2F8EBCC5"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11EC8D4A"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3AF4FA71"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20.000 Kč</w:t>
            </w:r>
          </w:p>
          <w:p w14:paraId="6338A17B"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0E97E31F"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73F0E444"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7B71F3E5"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5DA6874F"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58A1C9EC"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51CC55F9"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270B193C"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6FD3DC39"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2DB47736"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7F4E19DF"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7243763F"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211C4101" w14:textId="77777777" w:rsidR="00562044"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3x hosteska</w:t>
            </w:r>
          </w:p>
          <w:p w14:paraId="7B950D20" w14:textId="53F68F6A" w:rsidR="00562044" w:rsidRPr="00DB4B80"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562044"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562044" w:rsidRDefault="00562044" w:rsidP="00562044">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5FB542D1" w:rsidR="00562044" w:rsidRPr="006449E9" w:rsidRDefault="00562044" w:rsidP="00562044">
            <w:pPr>
              <w:rPr>
                <w:rFonts w:ascii="Arial" w:hAnsi="Arial" w:cs="Arial"/>
                <w:sz w:val="22"/>
                <w:szCs w:val="22"/>
                <w:lang w:eastAsia="en-US"/>
              </w:rPr>
            </w:pPr>
            <w:r>
              <w:rPr>
                <w:rFonts w:ascii="Arial" w:hAnsi="Arial" w:cs="Arial"/>
                <w:sz w:val="22"/>
                <w:szCs w:val="22"/>
                <w:lang w:eastAsia="en-US"/>
              </w:rPr>
              <w:t>448.370</w:t>
            </w:r>
            <w:r w:rsidRPr="006449E9">
              <w:rPr>
                <w:rFonts w:ascii="Arial" w:hAnsi="Arial" w:cs="Arial"/>
                <w:sz w:val="22"/>
                <w:szCs w:val="22"/>
                <w:lang w:eastAsia="en-US"/>
              </w:rPr>
              <w:t xml:space="preserve"> Kč</w:t>
            </w:r>
          </w:p>
        </w:tc>
      </w:tr>
      <w:tr w:rsidR="00562044"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562044" w:rsidRDefault="00562044" w:rsidP="00562044">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562044" w:rsidRDefault="00562044" w:rsidP="00562044">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42CFC642" w:rsidR="00562044" w:rsidRPr="006449E9" w:rsidRDefault="00562044" w:rsidP="00562044">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542.527,70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1557E94A"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316AC5">
        <w:rPr>
          <w:rFonts w:ascii="Arial" w:hAnsi="Arial" w:cs="Arial"/>
          <w:sz w:val="22"/>
          <w:szCs w:val="22"/>
        </w:rPr>
        <w:t>16</w:t>
      </w:r>
      <w:r w:rsidR="000047F3">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3247" w14:textId="77777777" w:rsidR="00BD4128" w:rsidRDefault="00BD4128" w:rsidP="007739AA">
      <w:r>
        <w:separator/>
      </w:r>
    </w:p>
  </w:endnote>
  <w:endnote w:type="continuationSeparator" w:id="0">
    <w:p w14:paraId="2CC092C9" w14:textId="77777777" w:rsidR="00BD4128" w:rsidRDefault="00BD4128"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5274" w14:textId="77777777" w:rsidR="00BD4128" w:rsidRDefault="00BD4128" w:rsidP="007739AA">
      <w:r>
        <w:separator/>
      </w:r>
    </w:p>
  </w:footnote>
  <w:footnote w:type="continuationSeparator" w:id="0">
    <w:p w14:paraId="070C93C7" w14:textId="77777777" w:rsidR="00BD4128" w:rsidRDefault="00BD4128"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BD4128"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E339D"/>
    <w:rsid w:val="0018454D"/>
    <w:rsid w:val="001B2A7C"/>
    <w:rsid w:val="00201CEA"/>
    <w:rsid w:val="00215649"/>
    <w:rsid w:val="002B6629"/>
    <w:rsid w:val="00312F19"/>
    <w:rsid w:val="00316AC5"/>
    <w:rsid w:val="003D6B21"/>
    <w:rsid w:val="003E149A"/>
    <w:rsid w:val="003E1907"/>
    <w:rsid w:val="004503D1"/>
    <w:rsid w:val="0054531F"/>
    <w:rsid w:val="00562044"/>
    <w:rsid w:val="005A3016"/>
    <w:rsid w:val="005C2CD6"/>
    <w:rsid w:val="005D4062"/>
    <w:rsid w:val="006449E9"/>
    <w:rsid w:val="00695A99"/>
    <w:rsid w:val="006D7D8F"/>
    <w:rsid w:val="007739AA"/>
    <w:rsid w:val="009604D8"/>
    <w:rsid w:val="009621C6"/>
    <w:rsid w:val="009E2A2C"/>
    <w:rsid w:val="00A55ABC"/>
    <w:rsid w:val="00B12BB1"/>
    <w:rsid w:val="00B36266"/>
    <w:rsid w:val="00B469BB"/>
    <w:rsid w:val="00B73E03"/>
    <w:rsid w:val="00B94F54"/>
    <w:rsid w:val="00BD4128"/>
    <w:rsid w:val="00C00CCC"/>
    <w:rsid w:val="00C02940"/>
    <w:rsid w:val="00C60216"/>
    <w:rsid w:val="00D41013"/>
    <w:rsid w:val="00D46098"/>
    <w:rsid w:val="00D92B21"/>
    <w:rsid w:val="00DB2A9F"/>
    <w:rsid w:val="00DB4B80"/>
    <w:rsid w:val="00E21230"/>
    <w:rsid w:val="00E24C8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Beránková Ivana</cp:lastModifiedBy>
  <cp:revision>2</cp:revision>
  <cp:lastPrinted>2022-08-15T09:58:00Z</cp:lastPrinted>
  <dcterms:created xsi:type="dcterms:W3CDTF">2022-09-19T08:16:00Z</dcterms:created>
  <dcterms:modified xsi:type="dcterms:W3CDTF">2022-09-19T08:16:00Z</dcterms:modified>
</cp:coreProperties>
</file>