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8" w:name="bookmark8"/>
      <w:r>
        <w:rPr>
          <w:rStyle w:val="CharStyle11"/>
        </w:rPr>
        <w:t>Il■lllll■l</w:t>
      </w:r>
      <w:bookmarkEnd w:id="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260" w:firstLine="0"/>
        <w:jc w:val="right"/>
        <w:rPr>
          <w:sz w:val="16"/>
          <w:szCs w:val="16"/>
        </w:rPr>
      </w:pPr>
      <w:r>
        <w:rPr>
          <w:rStyle w:val="CharStyle16"/>
          <w:sz w:val="16"/>
          <w:szCs w:val="16"/>
        </w:rPr>
        <w:t>2022006451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0" w:name="bookmark10"/>
      <w:r>
        <w:rPr>
          <w:rStyle w:val="CharStyle19"/>
          <w:b/>
          <w:bCs/>
          <w:u w:val="single"/>
        </w:rPr>
        <w:t>RÁMCOVÁ KUPNÍ SMLOUVA</w:t>
      </w:r>
      <w:bookmarkEnd w:id="1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20" w:line="295" w:lineRule="auto"/>
        <w:ind w:left="2000" w:right="0" w:hanging="1280"/>
        <w:jc w:val="both"/>
      </w:pPr>
      <w:bookmarkStart w:id="12" w:name="bookmark12"/>
      <w:r>
        <w:rPr>
          <w:rStyle w:val="CharStyle5"/>
        </w:rPr>
        <w:t>uzavřená v souladu s ustanovením § 2079 a násl. zákona č. 89/2012 Sb., občanský zákoník, mezi níže uvedenými smluvními stranami</w:t>
      </w:r>
      <w:bookmarkEnd w:id="12"/>
    </w:p>
    <w:tbl>
      <w:tblPr>
        <w:tblOverlap w:val="never"/>
        <w:jc w:val="center"/>
        <w:tblLayout w:type="fixed"/>
      </w:tblPr>
      <w:tblGrid>
        <w:gridCol w:w="2626"/>
        <w:gridCol w:w="6120"/>
      </w:tblGrid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25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Kamenice 798/1 d, 625 00 Brno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MUDr. Hana Albrechtová, ředitelka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spacing w:val="4"/>
                <w:shd w:val="clear" w:color="auto" w:fill="000000"/>
              </w:rPr>
              <w:t>........</w:t>
            </w:r>
            <w:r>
              <w:rPr>
                <w:rStyle w:val="CharStyle25"/>
                <w:spacing w:val="5"/>
                <w:shd w:val="clear" w:color="auto" w:fill="000000"/>
              </w:rPr>
              <w:t>..</w:t>
            </w:r>
            <w:r>
              <w:rPr>
                <w:rStyle w:val="CharStyle25"/>
                <w:shd w:val="clear" w:color="auto" w:fill="000000"/>
              </w:rPr>
              <w:t>​..</w:t>
            </w:r>
            <w:r>
              <w:rPr>
                <w:rStyle w:val="CharStyle25"/>
                <w:spacing w:val="1"/>
                <w:shd w:val="clear" w:color="auto" w:fill="000000"/>
              </w:rPr>
              <w:t>.........</w:t>
            </w:r>
            <w:r>
              <w:rPr>
                <w:rStyle w:val="CharStyle25"/>
                <w:u w:val="single"/>
                <w:shd w:val="clear" w:color="auto" w:fill="000000"/>
                <w:lang w:val="en-US" w:eastAsia="en-US" w:bidi="en-US"/>
              </w:rPr>
              <w:t>​...........</w:t>
            </w:r>
            <w:r>
              <w:rPr>
                <w:rStyle w:val="CharStyle25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</w:t>
            </w:r>
            <w:r>
              <w:rPr>
                <w:rStyle w:val="CharStyle25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25"/>
                <w:shd w:val="clear" w:color="auto" w:fill="000000"/>
              </w:rPr>
              <w:t>​</w:t>
            </w:r>
            <w:r>
              <w:rPr>
                <w:rStyle w:val="CharStyle25"/>
                <w:spacing w:val="7"/>
                <w:shd w:val="clear" w:color="auto" w:fill="000000"/>
              </w:rPr>
              <w:t>......</w:t>
            </w:r>
            <w:r>
              <w:rPr>
                <w:rStyle w:val="CharStyle25"/>
                <w:shd w:val="clear" w:color="auto" w:fill="000000"/>
              </w:rPr>
              <w:t>​....</w:t>
            </w:r>
            <w:r>
              <w:rPr>
                <w:rStyle w:val="CharStyle25"/>
                <w:spacing w:val="1"/>
                <w:shd w:val="clear" w:color="auto" w:fill="000000"/>
              </w:rPr>
              <w:t>.....</w:t>
            </w:r>
            <w:r>
              <w:rPr>
                <w:rStyle w:val="CharStyle25"/>
                <w:shd w:val="clear" w:color="auto" w:fill="000000"/>
              </w:rPr>
              <w:t>​.......​</w:t>
            </w:r>
            <w:r>
              <w:rPr>
                <w:rStyle w:val="CharStyle25"/>
                <w:spacing w:val="6"/>
                <w:shd w:val="clear" w:color="auto" w:fill="000000"/>
              </w:rPr>
              <w:t>...</w:t>
            </w:r>
            <w:r>
              <w:rPr>
                <w:rStyle w:val="CharStyle25"/>
                <w:spacing w:val="7"/>
                <w:shd w:val="clear" w:color="auto" w:fill="000000"/>
              </w:rPr>
              <w:t>...</w:t>
            </w:r>
            <w:r>
              <w:rPr>
                <w:rStyle w:val="CharStyle25"/>
                <w:shd w:val="clear" w:color="auto" w:fill="000000"/>
              </w:rPr>
              <w:t>​......</w:t>
            </w:r>
          </w:p>
        </w:tc>
      </w:tr>
      <w:tr>
        <w:trPr>
          <w:trHeight w:val="76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IČO: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DIČ: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Zápis v OR: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00346292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CZ00346292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Krajský soud v Brně sp. zn. Pr 1245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MONETA Money Bank, a.s., č. ú. 117203514/0600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22"/>
        </w:rPr>
        <w:t xml:space="preserve">(dále jen </w:t>
      </w:r>
      <w:r>
        <w:rPr>
          <w:rStyle w:val="CharStyle22"/>
          <w:b/>
          <w:bCs/>
          <w:i/>
          <w:iCs/>
        </w:rPr>
        <w:t>„kupující“)</w:t>
      </w:r>
    </w:p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26"/>
        <w:gridCol w:w="6115"/>
      </w:tblGrid>
      <w:tr>
        <w:trPr>
          <w:trHeight w:val="5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25"/>
                <w:b/>
                <w:bCs/>
                <w:sz w:val="10"/>
                <w:szCs w:val="10"/>
              </w:rPr>
              <w:t>d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b/>
                <w:bCs/>
              </w:rPr>
              <w:t>MSM, spol. s r.o.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Lhota u Příbramě 13, 261 01 Příbram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Mgr. Jaroslav Bauš, jednatel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spacing w:val="42"/>
                <w:shd w:val="clear" w:color="auto" w:fill="000000"/>
              </w:rPr>
              <w:t>.</w:t>
            </w:r>
            <w:r>
              <w:rPr>
                <w:rStyle w:val="CharStyle25"/>
                <w:spacing w:val="10"/>
                <w:shd w:val="clear" w:color="auto" w:fill="000000"/>
              </w:rPr>
              <w:t>.</w:t>
            </w:r>
            <w:r>
              <w:rPr>
                <w:rStyle w:val="CharStyle25"/>
                <w:spacing w:val="11"/>
                <w:shd w:val="clear" w:color="auto" w:fill="000000"/>
              </w:rPr>
              <w:t>...</w:t>
            </w:r>
            <w:r>
              <w:rPr>
                <w:rStyle w:val="CharStyle25"/>
                <w:shd w:val="clear" w:color="auto" w:fill="000000"/>
              </w:rPr>
              <w:t>​....</w:t>
            </w:r>
            <w:r>
              <w:rPr>
                <w:rStyle w:val="CharStyle25"/>
                <w:spacing w:val="1"/>
                <w:shd w:val="clear" w:color="auto" w:fill="000000"/>
              </w:rPr>
              <w:t>.........</w:t>
            </w:r>
          </w:p>
        </w:tc>
      </w:tr>
      <w:tr>
        <w:trPr>
          <w:trHeight w:val="7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IČO: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DIČ: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47546999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CZ47546999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Městský soud v Praze, odd. C, ví. 19801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Komerční banka, a s., pobočka Příbram, č.ú: 878880237/0100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 xml:space="preserve">(dále jen </w:t>
      </w:r>
      <w:r>
        <w:rPr>
          <w:rStyle w:val="CharStyle22"/>
          <w:b/>
          <w:bCs/>
          <w:i/>
          <w:iCs/>
        </w:rPr>
        <w:t>„prodávající )</w:t>
      </w:r>
    </w:p>
    <w:p>
      <w:pPr>
        <w:widowControl w:val="0"/>
        <w:spacing w:after="699" w:line="1" w:lineRule="exact"/>
      </w:pP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60"/>
        <w:ind w:left="400" w:right="0" w:hanging="400"/>
        <w:jc w:val="both"/>
      </w:pPr>
      <w:r>
        <w:rPr>
          <w:rStyle w:val="CharStyle7"/>
        </w:rPr>
        <w:t xml:space="preserve">Prodávající je oprávněn na základě svého vlastnického práva nakládat se zbožím v podobě: </w:t>
      </w:r>
      <w:r>
        <w:rPr>
          <w:rStyle w:val="CharStyle7"/>
          <w:b/>
          <w:bCs/>
        </w:rPr>
        <w:t xml:space="preserve">předplněných stříkaček s fyziologickým roztokem, </w:t>
      </w:r>
      <w:r>
        <w:rPr>
          <w:rStyle w:val="CharStyle7"/>
        </w:rPr>
        <w:t>jejichž bližší specifikace je uvedena v příloze č. 1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/>
        <w:ind w:left="400" w:right="0" w:hanging="400"/>
        <w:jc w:val="both"/>
      </w:pPr>
      <w:r>
        <w:rPr>
          <w:rStyle w:val="CharStyle7"/>
        </w:rPr>
        <w:t>Prodávající se zavazuje dodávat zboží podle čl. 1 této smlouvy kupujícímu a převádět na Jihomoravský kraj, jako jeho zřizovatele, vlastnické právo k tomuto zboží, a to v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množství objednaného zboží, datum a jméno kupujícího. Výzvu (objednávku) kupujícího lze učinit i elektronickou formou (e-mailem).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00"/>
        <w:ind w:left="400" w:right="0" w:hanging="400"/>
        <w:jc w:val="both"/>
      </w:pPr>
      <w:r>
        <w:rPr>
          <w:rStyle w:val="CharStyle7"/>
        </w:rPr>
        <w:t>Součástí dodávky zboží podle čl. 1 a čl. 2 této smlouvy je vždy předání veškerých písemných dokladů, které jsou potřebné k používání tohoto zboží. Prodávající je povinen dodat kupujícímu nové zboží s minimální skladovací životností 24 měsíců od doby dodání. Dodané zboží musí splňovat požadavky na jakost, neporušenost balení a řádné označení dle platných právních předpisů.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60" w:line="271" w:lineRule="auto"/>
        <w:ind w:left="400" w:right="0" w:hanging="400"/>
        <w:jc w:val="both"/>
      </w:pPr>
      <w:r>
        <w:rPr>
          <w:rStyle w:val="CharStyle7"/>
        </w:rPr>
        <w:t xml:space="preserve">Prodávající se zavazuje plnit svůj závazek k dodání zboží podle čl. 1 této smlouvy vždy nejpozději do </w:t>
      </w:r>
      <w:r>
        <w:rPr>
          <w:rStyle w:val="CharStyle7"/>
          <w:b/>
          <w:bCs/>
        </w:rPr>
        <w:t xml:space="preserve">10 dní </w:t>
      </w:r>
      <w:r>
        <w:rPr>
          <w:rStyle w:val="CharStyle7"/>
        </w:rPr>
        <w:t>ode dne účinnosti příslušné dílčí kupní smlouvy, nebude-li dohodnuto jinak. Místem splnění tohoto závazku prodávajícího je sklad v sídle kupujícího.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7"/>
        </w:rPr>
        <w:t>Závazek prodávajícího k dodávce zboží podle čl. 1 této smlouvy se považuje v každém jednotlivém případě za splněný předáním a převzetím příslušného zboží, prostého všech vad, formou písemného předávacího protokolu, podepsaného oběma stranami.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7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7"/>
        </w:rPr>
        <w:t>Kupující se zavazuje zaplatit prodávajícímu za předmět koupě a prodeje podle čl. 1 této smlouvy kupní cenu ve výši dle tohoto článku této smlouvy. Kupní cena za jednotlivé dílčí kupní smlouvy dle č. 2 této smlouvy se stanoví jako součin odebraného množství a jednotkových cen příslušného zboží. Jednotkové ceny zboží jsou uvedeny v příloze č. 1 této smlouvy. Součástí těchto cen jsou veškeré náklady prodávajícího na splnění jeho závazku k dodání zboží podle této smlouvy. Výše uvedené ceny se prodávající zavazuje garantovat po dobu podle čl. 20 této smlouvy. Změna ceny je možná pouze v případě zákonné změny sazby DPH.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7"/>
        </w:rPr>
        <w:t xml:space="preserve">Kupní cena podle čl. 7 této smlouvy je splatná na účet prodávajícího po splnění závazku prodávajícího k dodání zboží podle čl. 1 této smlouvy způsobem podle čl. 4 této smlouvy ve lhůté do 30 dnů ode dne doručení jejího písemného vyúčtování (daňového dokladu/ faktury). Faktura bude doručena elektronicky na email: </w:t>
      </w:r>
      <w:r>
        <w:rPr>
          <w:rStyle w:val="CharStyle7"/>
          <w:spacing w:val="2"/>
          <w:u w:val="single"/>
          <w:shd w:val="clear" w:color="auto" w:fill="000000"/>
        </w:rPr>
        <w:t>...</w:t>
      </w:r>
      <w:r>
        <w:rPr>
          <w:rStyle w:val="CharStyle7"/>
          <w:spacing w:val="3"/>
          <w:u w:val="single"/>
          <w:shd w:val="clear" w:color="auto" w:fill="000000"/>
        </w:rPr>
        <w:t>............</w:t>
      </w:r>
      <w:r>
        <w:rPr>
          <w:rStyle w:val="CharStyle7"/>
          <w:u w:val="single"/>
          <w:shd w:val="clear" w:color="auto" w:fill="000000"/>
        </w:rPr>
        <w:t>​</w:t>
      </w:r>
      <w:r>
        <w:rPr>
          <w:rStyle w:val="CharStyle7"/>
          <w:spacing w:val="5"/>
          <w:u w:val="single"/>
          <w:shd w:val="clear" w:color="auto" w:fill="000000"/>
        </w:rPr>
        <w:t>....</w:t>
      </w:r>
      <w:r>
        <w:rPr>
          <w:rStyle w:val="CharStyle7"/>
          <w:spacing w:val="1"/>
          <w:u w:val="single"/>
          <w:shd w:val="clear" w:color="auto" w:fill="000000"/>
        </w:rPr>
        <w:t>..</w:t>
      </w:r>
      <w:r>
        <w:rPr>
          <w:rStyle w:val="CharStyle7"/>
          <w:spacing w:val="2"/>
          <w:u w:val="single"/>
          <w:shd w:val="clear" w:color="auto" w:fill="000000"/>
        </w:rPr>
        <w:t>.............</w:t>
      </w:r>
      <w:r>
        <w:rPr>
          <w:rStyle w:val="CharStyle7"/>
          <w:u w:val="single"/>
          <w:shd w:val="clear" w:color="auto" w:fill="000000"/>
        </w:rPr>
        <w:t>.​...​.</w:t>
      </w:r>
      <w:r>
        <w:rPr>
          <w:rStyle w:val="CharStyle7"/>
          <w:spacing w:val="1"/>
          <w:u w:val="single"/>
          <w:shd w:val="clear" w:color="auto" w:fill="000000"/>
        </w:rPr>
        <w:t>........</w:t>
      </w:r>
      <w:r>
        <w:rPr>
          <w:rStyle w:val="CharStyle7"/>
          <w:u w:val="single"/>
          <w:shd w:val="clear" w:color="auto" w:fill="000000"/>
        </w:rPr>
        <w:t>​</w:t>
      </w:r>
      <w:r>
        <w:rPr>
          <w:rStyle w:val="CharStyle7"/>
          <w:spacing w:val="5"/>
          <w:u w:val="single"/>
          <w:shd w:val="clear" w:color="auto" w:fill="000000"/>
        </w:rPr>
        <w:t>....</w:t>
      </w:r>
      <w:r>
        <w:rPr>
          <w:rStyle w:val="CharStyle7"/>
          <w:spacing w:val="1"/>
          <w:u w:val="single"/>
          <w:shd w:val="clear" w:color="auto" w:fill="000000"/>
        </w:rPr>
        <w:t>..</w:t>
      </w:r>
      <w:r>
        <w:rPr>
          <w:rStyle w:val="CharStyle7"/>
          <w:spacing w:val="2"/>
          <w:u w:val="single"/>
          <w:shd w:val="clear" w:color="auto" w:fill="000000"/>
        </w:rPr>
        <w:t>.............</w:t>
      </w:r>
      <w:r>
        <w:rPr>
          <w:rStyle w:val="CharStyle7"/>
          <w:u w:val="single"/>
          <w:shd w:val="clear" w:color="auto" w:fill="000000"/>
        </w:rPr>
        <w:t>.</w:t>
      </w:r>
      <w:r>
        <w:rPr>
          <w:rStyle w:val="CharStyle7"/>
          <w:color w:val="377CBB"/>
        </w:rPr>
        <w:t xml:space="preserve"> </w:t>
      </w:r>
      <w:r>
        <w:rPr>
          <w:rStyle w:val="CharStyle7"/>
        </w:rPr>
        <w:t xml:space="preserve">Na faktuře musí být mimo jiné vždy uvedeno toto číslo veřejné zakázky, ke které se faktura vztahuje: </w:t>
      </w:r>
      <w:r>
        <w:rPr>
          <w:rStyle w:val="CharStyle7"/>
          <w:b/>
          <w:bCs/>
        </w:rPr>
        <w:t xml:space="preserve">P22V00003249. </w:t>
      </w:r>
      <w:r>
        <w:rPr>
          <w:rStyle w:val="CharStyle7"/>
        </w:rPr>
        <w:t>Nebude-li faktura splňovat veškeré náležitosti daňového dokladu podle zákona a další náležitosti podle této smlouvy, je objednatel oprávněn vrátit takovou fakturu zhotoviteli k opravě, přičemž doba její splatnosti začne znovu celá běžet ode dne doručení opravené faktury objednateli.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7"/>
        </w:rPr>
        <w:t>S převodem zboží je podle čl. 1 této smlouvy spojena záruka za jeho jakost v trvání minimálně 24 měsíců ode dne předání příslušného zboží. V rámci záruky se prodávající zavazuje, že zboží podle čl. 1 této smlouvy bude mít po dobu uvedené záruční lhůty vlastnosti, které jsou stanoveny touto smlouvou, právními předpisy nebo technickými normami nebo jsou u zboží tohoto druhu obvyklé, a že bude po dobu záruční lhůty bezplatné odstraňovat vady, které se na zboží podle čl. 1 této smlouvy vyskytnou, a to ve lhůté do 3 pracovních dnů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7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7"/>
        </w:rPr>
        <w:t>Neodstraní-li prodávající vady zboží ve lhůté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7"/>
        </w:rPr>
        <w:t>Pro případ prodlení se splněním závazku prodávajícího k dodání zboží ve lhůté podle čl. 4 této smlouvy se prodávající zavazuje platit kupujícímu smluvní pokutu ve výši 0,1 % z kupní ceny bez DPH nedodané části zboží podle čl. 7 této smlouvy, za každý započatý den tohoto prodlení. Pro případ prodlení s odstraněním vady ve lhůtě podle čl. 9 této smlouvy se prodávající zavazuje platit kupujícímu smluvní pokutu ve výši 500,- Kč za každý den prodlení s odstraněním vady.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7"/>
        </w:rPr>
        <w:t>Pro případ prodlení se splněním jeho závazku k dodání zboží ve lhůtě podle čl. 4 této smlouvy o více, než 1 týden nebo pro případ výskytu neodstranitelné vady resp. výskytu 3 a více vad na</w:t>
        <w:br w:type="page"/>
      </w:r>
      <w:r>
        <w:rPr>
          <w:rStyle w:val="CharStyle7"/>
        </w:rPr>
        <w:t>jednom kusu zboží, a to i postupně, je kupující oprávněn odstoupit od jednotlivé dílčí kupní smlouvy i od této smlouvy s účinky ex tunc.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260"/>
        <w:ind w:left="380" w:right="0" w:hanging="380"/>
        <w:jc w:val="both"/>
      </w:pPr>
      <w:r>
        <w:rPr>
          <w:rStyle w:val="CharStyle7"/>
        </w:rPr>
        <w:t>Pro případ prodlení kupujícího se zaplacením kupní ceny nebo její části ve lhůtě podle čl. 8 této smlouvy o víc, než 2 týdny, je prodávající oprávněn od jednotlivé dílčí kupní smlouvy i od této smlouvy odstoupit s účinky ex tunc.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380" w:right="0" w:hanging="380"/>
        <w:jc w:val="both"/>
      </w:pPr>
      <w:r>
        <w:rPr>
          <w:rStyle w:val="CharStyle7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380" w:right="0" w:hanging="380"/>
        <w:jc w:val="both"/>
      </w:pPr>
      <w:r>
        <w:rPr>
          <w:rStyle w:val="CharStyle7"/>
        </w:rPr>
        <w:t>Tato smlouva se uzavírá na základě návrhu na její uzavření ze strany kupujícího. Předpokladem uzavření této smlouvy je její písemná forma a dohoda o celém jejím obsahu jak je obsažen v jejích článcích 1 až 21. Kupující přitom předem vylučuje přijetí tohoto návrhu s dodatkem nebo odchylkou ve smyslu § 1740 odst. 3 občanského zákoníku.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380" w:right="0" w:hanging="380"/>
        <w:jc w:val="both"/>
      </w:pPr>
      <w:r>
        <w:rPr>
          <w:rStyle w:val="CharStyle7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380" w:right="0" w:hanging="380"/>
        <w:jc w:val="both"/>
      </w:pPr>
      <w:r>
        <w:rPr>
          <w:rStyle w:val="CharStyle7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380" w:right="0" w:hanging="380"/>
        <w:jc w:val="both"/>
      </w:pPr>
      <w:r>
        <w:rPr>
          <w:rStyle w:val="CharStyle7"/>
        </w:rPr>
        <w:t>Tato smlouva nabývá účinnosti po jejím podpisu oběma smluvními stranami dnem jejího uveřejnění v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0" w:right="0" w:firstLine="0"/>
        <w:jc w:val="left"/>
      </w:pPr>
      <w:r>
        <w:rPr>
          <w:rStyle w:val="CharStyle7"/>
        </w:rPr>
        <w:t xml:space="preserve">Tato smlouva se uzavírá na dobu určitou, a to od </w:t>
      </w:r>
      <w:r>
        <w:rPr>
          <w:rStyle w:val="CharStyle7"/>
          <w:b/>
          <w:bCs/>
        </w:rPr>
        <w:t xml:space="preserve">7. 10. 2022 </w:t>
      </w:r>
      <w:r>
        <w:rPr>
          <w:rStyle w:val="CharStyle7"/>
        </w:rPr>
        <w:t xml:space="preserve">do </w:t>
      </w:r>
      <w:r>
        <w:rPr>
          <w:rStyle w:val="CharStyle7"/>
          <w:b/>
          <w:bCs/>
        </w:rPr>
        <w:t>31.12. 2023.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580"/>
        <w:ind w:left="380" w:right="0" w:hanging="380"/>
        <w:jc w:val="both"/>
      </w:pPr>
      <w:r>
        <w:rPr>
          <w:rStyle w:val="CharStyle7"/>
        </w:rPr>
        <w:t>Dáno ve dvou originálních písemných vyhotoveních, z nichž každá ze smluvních stran obdrží po jednom.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60" w:right="0" w:firstLine="0"/>
        <w:jc w:val="left"/>
      </w:pPr>
      <w:r>
        <w:rPr>
          <w:rStyle w:val="CharStyle7"/>
        </w:rPr>
        <w:t>Ve Příbrami dne 2.9.2022</w:t>
      </w:r>
    </w:p>
    <w:p>
      <w:pPr>
        <w:widowControl w:val="0"/>
        <w:spacing w:line="1" w:lineRule="exact"/>
      </w:pPr>
      <w:r>
        <w:drawing>
          <wp:anchor distT="267970" distB="57785" distL="0" distR="0" simplePos="0" relativeHeight="125829378" behindDoc="0" locked="0" layoutInCell="1" allowOverlap="1">
            <wp:simplePos x="0" y="0"/>
            <wp:positionH relativeFrom="page">
              <wp:posOffset>2505075</wp:posOffset>
            </wp:positionH>
            <wp:positionV relativeFrom="paragraph">
              <wp:posOffset>267970</wp:posOffset>
            </wp:positionV>
            <wp:extent cx="286385" cy="46355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86385" cy="4635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30480" distL="0" distR="0" simplePos="0" relativeHeight="125829379" behindDoc="0" locked="0" layoutInCell="1" allowOverlap="1">
                <wp:simplePos x="0" y="0"/>
                <wp:positionH relativeFrom="page">
                  <wp:posOffset>4062730</wp:posOffset>
                </wp:positionH>
                <wp:positionV relativeFrom="paragraph">
                  <wp:posOffset>0</wp:posOffset>
                </wp:positionV>
                <wp:extent cx="1073150" cy="7556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755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3"/>
                              </w:rPr>
                              <w:t>Jaroslav Bauš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9.90000000000003pt;margin-top:0;width:84.5pt;height:59.5pt;z-index:-125829374;mso-wrap-distance-left:0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3"/>
                        </w:rPr>
                        <w:t>Jaroslav Bauš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8895" distB="0" distL="0" distR="0" simplePos="0" relativeHeight="125829381" behindDoc="0" locked="0" layoutInCell="1" allowOverlap="1">
                <wp:simplePos x="0" y="0"/>
                <wp:positionH relativeFrom="page">
                  <wp:posOffset>5622925</wp:posOffset>
                </wp:positionH>
                <wp:positionV relativeFrom="paragraph">
                  <wp:posOffset>48895</wp:posOffset>
                </wp:positionV>
                <wp:extent cx="1222375" cy="7378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2375" cy="737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5"/>
                              </w:rPr>
                              <w:t>Digitálně podepsal Jaroslav Bauš</w:t>
                            </w:r>
                            <w:bookmarkEnd w:id="2"/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rStyle w:val="CharStyle5"/>
                              </w:rPr>
                              <w:t>Datum: 2022.09.02</w:t>
                            </w:r>
                            <w:bookmarkEnd w:id="4"/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rStyle w:val="CharStyle5"/>
                              </w:rPr>
                              <w:t>15:46:13+02'00'</w:t>
                            </w:r>
                            <w:bookmarkEnd w:id="6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2.75pt;margin-top:3.8500000000000001pt;width:96.25pt;height:58.100000000000001pt;z-index:-125829372;mso-wrap-distance-left:0;mso-wrap-distance-top:3.85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5"/>
                        </w:rPr>
                        <w:t>Digitálně podepsal Jaroslav Bauš</w:t>
                      </w:r>
                      <w:bookmarkEnd w:id="2"/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5"/>
                        </w:rPr>
                        <w:t>Datum: 2022.09.02</w:t>
                      </w:r>
                      <w:bookmarkEnd w:id="4"/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rStyle w:val="CharStyle5"/>
                        </w:rPr>
                        <w:t>15:46:13+02'00'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352" w:right="1120" w:bottom="1562" w:left="1536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14300" distB="640080" distL="0" distR="0" simplePos="0" relativeHeight="125829383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114300</wp:posOffset>
                </wp:positionV>
                <wp:extent cx="1374775" cy="1492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477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MUDr. Hana Albrechtová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6.799999999999997pt;margin-top:9.pt;width:108.25pt;height:11.75pt;z-index:-125829370;mso-wrap-distance-left:0;mso-wrap-distance-top:9.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MUDr. Hana Albrechtová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3050" distB="316865" distL="0" distR="0" simplePos="0" relativeHeight="125829385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273050</wp:posOffset>
                </wp:positionV>
                <wp:extent cx="494030" cy="31369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313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ředitelka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6.799999999999997pt;margin-top:21.5pt;width:38.899999999999999pt;height:24.699999999999999pt;z-index:-125829368;mso-wrap-distance-left:0;mso-wrap-distance-top:21.5pt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ředitelka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  <w:i/>
                          <w:i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9395" distB="0" distL="0" distR="0" simplePos="0" relativeHeight="125829387" behindDoc="0" locked="0" layoutInCell="1" allowOverlap="1">
                <wp:simplePos x="0" y="0"/>
                <wp:positionH relativeFrom="page">
                  <wp:posOffset>1657985</wp:posOffset>
                </wp:positionH>
                <wp:positionV relativeFrom="paragraph">
                  <wp:posOffset>239395</wp:posOffset>
                </wp:positionV>
                <wp:extent cx="1310640" cy="66421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664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35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7"/>
                                <w:color w:val="5CC2EB"/>
                                <w:sz w:val="18"/>
                                <w:szCs w:val="18"/>
                              </w:rPr>
                              <w:t>Zdravotnická žáctva^</w:t>
                              <w:br/>
                              <w:t>Kamenice 79o.^o.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30.55000000000001pt;margin-top:18.850000000000001pt;width:103.2pt;height:52.300000000000004pt;z-index:-125829366;mso-wrap-distance-left:0;mso-wrap-distance-top:18.8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35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7"/>
                          <w:color w:val="5CC2EB"/>
                          <w:sz w:val="18"/>
                          <w:szCs w:val="18"/>
                        </w:rPr>
                        <w:t>Zdravotnická žáctva^</w:t>
                        <w:br/>
                        <w:t>Kamenice 79o.^o.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300" distB="301625" distL="0" distR="0" simplePos="0" relativeHeight="125829389" behindDoc="0" locked="0" layoutInCell="1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114300</wp:posOffset>
                </wp:positionV>
                <wp:extent cx="1082040" cy="48768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487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 xml:space="preserve">Mgr. Jaroslav Bauš jednatel </w:t>
                            </w:r>
                            <w:r>
                              <w:rPr>
                                <w:rStyle w:val="CharStyle7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8.5pt;margin-top:9.pt;width:85.200000000000003pt;height:38.399999999999999pt;z-index:-125829364;mso-wrap-distance-left:0;mso-wrap-distance-top:9.pt;mso-wrap-distance-right:0;mso-wrap-distance-bottom:23.7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 xml:space="preserve">Mgr. Jaroslav Bauš jednatel </w:t>
                      </w:r>
                      <w:r>
                        <w:rPr>
                          <w:rStyle w:val="CharStyle7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50" w:lineRule="exact"/>
        <w:rPr>
          <w:sz w:val="4"/>
          <w:szCs w:val="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22" w:right="0" w:bottom="172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22" w:right="1043" w:bottom="1722" w:left="1613" w:header="0" w:footer="3" w:gutter="0"/>
          <w:cols w:space="720"/>
          <w:noEndnote/>
          <w:rtlGutter w:val="0"/>
          <w:docGrid w:linePitch="360"/>
        </w:sectPr>
      </w:pPr>
      <w:r>
        <w:rPr>
          <w:rStyle w:val="CharStyle7"/>
        </w:rPr>
        <w:t>Příloha č. 1 Specifikace, Ceník</w:t>
      </w:r>
    </w:p>
    <w:p>
      <w:pPr>
        <w:pStyle w:val="Style4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4" w:name="bookmark14"/>
      <w:r>
        <w:rPr>
          <w:rStyle w:val="CharStyle47"/>
          <w:b/>
          <w:bCs/>
        </w:rPr>
        <w:t>Příloha č. 1 Specifikace, ceník</w:t>
      </w:r>
      <w:bookmarkEnd w:id="14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16" w:name="bookmark16"/>
      <w:r>
        <w:rPr>
          <w:rStyle w:val="CharStyle19"/>
          <w:b/>
          <w:bCs/>
        </w:rPr>
        <w:t>Předplněná stříkačka s NaCI 0,9% o objemu 10 ml</w:t>
      </w:r>
      <w:bookmarkEnd w:id="1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280"/>
        <w:jc w:val="left"/>
      </w:pPr>
      <w:r>
        <w:rPr>
          <w:rStyle w:val="CharStyle16"/>
          <w:b/>
          <w:bCs/>
          <w:sz w:val="19"/>
          <w:szCs w:val="19"/>
        </w:rPr>
        <w:t xml:space="preserve">Obchodní název nabízeného zboží </w:t>
      </w:r>
      <w:r>
        <w:rPr>
          <w:rStyle w:val="CharStyle16"/>
        </w:rPr>
        <w:t>Stříkačka předplněná NaCI 0,9%, 10ml, kat. č. STE:14363SNS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853" w:val="left"/>
        </w:tabs>
        <w:bidi w:val="0"/>
        <w:spacing w:before="0" w:after="100" w:line="240" w:lineRule="auto"/>
        <w:ind w:left="0" w:right="0" w:firstLine="280"/>
        <w:jc w:val="left"/>
      </w:pPr>
      <w:r>
        <w:rPr>
          <w:rStyle w:val="CharStyle7"/>
          <w:b/>
          <w:bCs/>
        </w:rPr>
        <w:t>Cena za ks v Kč bez DPH:</w:t>
        <w:tab/>
      </w:r>
      <w:r>
        <w:rPr>
          <w:rStyle w:val="CharStyle7"/>
        </w:rPr>
        <w:t>8,10 Kč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853" w:val="left"/>
        </w:tabs>
        <w:bidi w:val="0"/>
        <w:spacing w:before="0" w:after="560" w:line="240" w:lineRule="auto"/>
        <w:ind w:left="0" w:right="0" w:firstLine="280"/>
        <w:jc w:val="left"/>
      </w:pPr>
      <w:r>
        <w:rPr>
          <w:rStyle w:val="CharStyle7"/>
          <w:b/>
          <w:bCs/>
        </w:rPr>
        <w:t>Cena za ks v Kč vč. DPH:</w:t>
        <w:tab/>
      </w:r>
      <w:r>
        <w:rPr>
          <w:rStyle w:val="CharStyle7"/>
        </w:rPr>
        <w:t>9,80 Kč</w:t>
      </w:r>
    </w:p>
    <w:tbl>
      <w:tblPr>
        <w:tblOverlap w:val="never"/>
        <w:jc w:val="center"/>
        <w:tblLayout w:type="fixed"/>
      </w:tblPr>
      <w:tblGrid>
        <w:gridCol w:w="4618"/>
        <w:gridCol w:w="2722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25"/>
                <w:b/>
                <w:bCs/>
              </w:rPr>
              <w:t>Požadavky zadavatele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b/>
                <w:bCs/>
              </w:rPr>
              <w:t>Splněno ANO/NE/příp. doplněn údaj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b/>
                <w:bCs/>
              </w:rPr>
              <w:t>Stříkačky musí být: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- trojdílné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- jednorázové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Ano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- sterilní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</w:rPr>
              <w:t>Ano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- zdravotně nezávadné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sz w:val="20"/>
                <w:szCs w:val="20"/>
              </w:rPr>
              <w:t>Ano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- balené jednotlivě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sz w:val="20"/>
                <w:szCs w:val="20"/>
              </w:rPr>
              <w:t>Ano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- připravena k okamžitému použití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sz w:val="20"/>
                <w:szCs w:val="20"/>
              </w:rPr>
              <w:t>Ano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b/>
                <w:bCs/>
              </w:rPr>
              <w:t>Stříkačky musí mít: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- LUER lock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sz w:val="20"/>
                <w:szCs w:val="20"/>
              </w:rPr>
              <w:t>Ano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- transparentní standardizovaný válec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sz w:val="20"/>
                <w:szCs w:val="20"/>
              </w:rPr>
              <w:t>Ano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- nesmývatelnou stupnici minimálně po 0,5 ml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sz w:val="20"/>
                <w:szCs w:val="20"/>
              </w:rPr>
              <w:t>Ano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- hladký, bezproblémový chod pístu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sz w:val="20"/>
                <w:szCs w:val="20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- vynikající těsnost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5"/>
                <w:sz w:val="20"/>
                <w:szCs w:val="20"/>
              </w:rPr>
              <w:t>Ano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726" w:right="1057" w:bottom="1366" w:left="159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9998710</wp:posOffset>
              </wp:positionV>
              <wp:extent cx="3538855" cy="10033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3885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VZ 43_2022: Předplněné stříkačky s fyziologickým roztokem 2022 - 2023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90.700000000000003pt;margin-top:787.30000000000007pt;width:278.65000000000003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VZ 43_2022: Předplněné stříkačky s fyziologickým roztokem 2022 - 2023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5">
    <w:name w:val="Nadpis #5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Základní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Nadpis #1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CharStyle13">
    <w:name w:val="Záhlaví nebo zápatí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Základní text (2)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">
    <w:name w:val="Nadpis #4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Titulek tabulky_"/>
    <w:basedOn w:val="DefaultParagraphFont"/>
    <w:link w:val="Style21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5">
    <w:name w:val="Jiné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7">
    <w:name w:val="Nadpis #3_"/>
    <w:basedOn w:val="DefaultParagraphFont"/>
    <w:link w:val="Style4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auto"/>
      <w:outlineLvl w:val="1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Style4">
    <w:name w:val="Nadpis #5"/>
    <w:basedOn w:val="Normal"/>
    <w:link w:val="CharStyle5"/>
    <w:pPr>
      <w:widowControl w:val="0"/>
      <w:shd w:val="clear" w:color="auto" w:fill="auto"/>
      <w:spacing w:line="290" w:lineRule="auto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auto"/>
      <w:spacing w:after="40"/>
      <w:ind w:right="26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paragraph" w:customStyle="1" w:styleId="Style12">
    <w:name w:val="Záhlaví nebo zápatí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auto"/>
      <w:spacing w:after="260"/>
      <w:ind w:right="130"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8">
    <w:name w:val="Nadpis #4"/>
    <w:basedOn w:val="Normal"/>
    <w:link w:val="CharStyle19"/>
    <w:pPr>
      <w:widowControl w:val="0"/>
      <w:shd w:val="clear" w:color="auto" w:fill="auto"/>
      <w:spacing w:after="250"/>
      <w:jc w:val="center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Titulek tabulky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4">
    <w:name w:val="Jiné"/>
    <w:basedOn w:val="Normal"/>
    <w:link w:val="CharStyle25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6">
    <w:name w:val="Nadpis #3"/>
    <w:basedOn w:val="Normal"/>
    <w:link w:val="CharStyle47"/>
    <w:pPr>
      <w:widowControl w:val="0"/>
      <w:shd w:val="clear" w:color="auto" w:fill="auto"/>
      <w:spacing w:after="50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