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VchozA"/>
        <w:widowControl w:val="false"/>
        <w:spacing w:before="0" w:after="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VchozA"/>
        <w:widowControl w:val="false"/>
        <w:spacing w:before="0" w:after="2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SMLOUVA </w:t>
      </w:r>
      <w:r>
        <w:rPr>
          <w:rFonts w:ascii="Times New Roman" w:hAnsi="Times New Roman"/>
          <w:b/>
          <w:bCs/>
          <w:caps/>
          <w:sz w:val="24"/>
          <w:szCs w:val="24"/>
        </w:rPr>
        <w:t>na zajištění nepřetržit</w:t>
      </w:r>
      <w:r>
        <w:rPr>
          <w:rFonts w:ascii="Times New Roman" w:hAnsi="Times New Roman"/>
          <w:b/>
          <w:bCs/>
          <w:caps/>
          <w:sz w:val="24"/>
          <w:szCs w:val="24"/>
          <w:lang w:val="fr-FR"/>
        </w:rPr>
        <w:t>é</w:t>
      </w:r>
      <w:r>
        <w:rPr>
          <w:rFonts w:ascii="Times New Roman" w:hAnsi="Times New Roman"/>
          <w:b/>
          <w:bCs/>
          <w:caps/>
          <w:sz w:val="24"/>
          <w:szCs w:val="24"/>
        </w:rPr>
        <w:t>ho energetick</w:t>
      </w:r>
      <w:r>
        <w:rPr>
          <w:rFonts w:ascii="Times New Roman" w:hAnsi="Times New Roman"/>
          <w:b/>
          <w:bCs/>
          <w:caps/>
          <w:sz w:val="24"/>
          <w:szCs w:val="24"/>
          <w:lang w:val="fr-FR"/>
        </w:rPr>
        <w:t>é</w:t>
      </w:r>
      <w:r>
        <w:rPr>
          <w:rFonts w:ascii="Times New Roman" w:hAnsi="Times New Roman"/>
          <w:b/>
          <w:bCs/>
          <w:caps/>
          <w:sz w:val="24"/>
          <w:szCs w:val="24"/>
        </w:rPr>
        <w:t>ho monitoringu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VchozA"/>
        <w:widowControl w:val="false"/>
        <w:spacing w:before="0" w:after="2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VchozA"/>
        <w:widowControl w:val="false"/>
        <w:spacing w:before="0" w:after="2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(dále tak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jako „Smlouva”)</w:t>
      </w:r>
    </w:p>
    <w:p>
      <w:pPr>
        <w:pStyle w:val="VchozA"/>
        <w:widowControl w:val="false"/>
        <w:spacing w:before="0" w:after="2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2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uzavřená níže uveden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dne, měsíce a roku, mezi:</w:t>
      </w:r>
    </w:p>
    <w:p>
      <w:pPr>
        <w:pStyle w:val="VchozA"/>
        <w:widowControl w:val="false"/>
        <w:spacing w:before="0" w:after="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20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ascii="Times New Roman" w:hAnsi="Times New Roman"/>
          <w:b/>
          <w:bCs/>
        </w:rPr>
        <w:t>Vyšší odborná škola, Obchodní akademie, Střední zdravotnická škola a Jazyková škola s právem SJZ, Klatovy, Plánická 196</w:t>
      </w:r>
    </w:p>
    <w:p>
      <w:pPr>
        <w:pStyle w:val="VchozA"/>
        <w:widowControl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2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se sídlem: </w:t>
        <w:tab/>
        <w:tab/>
      </w:r>
      <w:r>
        <w:rPr>
          <w:rFonts w:ascii="Times New Roman" w:hAnsi="Times New Roman"/>
          <w:sz w:val="20"/>
          <w:szCs w:val="20"/>
        </w:rPr>
        <w:t>Plánická 196, 339 01 Klatovy</w:t>
      </w:r>
    </w:p>
    <w:p>
      <w:pPr>
        <w:pStyle w:val="VchozA"/>
        <w:widowControl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2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zastoupená:</w:t>
        <w:tab/>
        <w:tab/>
        <w:t>Ing. Soňa Rabušicová</w:t>
      </w:r>
    </w:p>
    <w:p>
      <w:pPr>
        <w:pStyle w:val="VchozA"/>
        <w:widowControl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2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IČ</w:t>
      </w:r>
      <w:r>
        <w:rPr>
          <w:rFonts w:ascii="Times New Roman" w:hAnsi="Times New Roman"/>
          <w:lang w:val="da-DK"/>
        </w:rPr>
        <w:t>O:</w:t>
        <w:tab/>
        <w:tab/>
        <w:tab/>
      </w:r>
      <w:r>
        <w:rPr>
          <w:rFonts w:ascii="Times New Roman" w:hAnsi="Times New Roman"/>
        </w:rPr>
        <w:t>61781771</w:t>
      </w:r>
    </w:p>
    <w:p>
      <w:pPr>
        <w:pStyle w:val="VchozA"/>
        <w:widowControl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before="0" w:after="2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DIČ:</w:t>
        <w:tab/>
        <w:tab/>
        <w:tab/>
        <w:t>xxx</w:t>
      </w:r>
    </w:p>
    <w:p>
      <w:pPr>
        <w:pStyle w:val="VchozA"/>
        <w:widowControl w:val="false"/>
        <w:spacing w:before="0" w:after="20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VchozA"/>
        <w:widowControl w:val="false"/>
        <w:spacing w:before="0" w:after="2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(dále tak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jako „Objednatel</w:t>
      </w:r>
      <w:r>
        <w:rPr>
          <w:rFonts w:ascii="Times New Roman" w:hAnsi="Times New Roman"/>
          <w:lang w:val="ar-SA" w:bidi="ar-SA"/>
        </w:rPr>
        <w:t>“</w:t>
      </w:r>
      <w:r>
        <w:rPr>
          <w:rFonts w:ascii="Times New Roman" w:hAnsi="Times New Roman"/>
        </w:rPr>
        <w:t>)</w:t>
      </w:r>
    </w:p>
    <w:p>
      <w:pPr>
        <w:pStyle w:val="VchozA"/>
        <w:widowControl w:val="false"/>
        <w:spacing w:before="0" w:after="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2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a</w:t>
      </w:r>
    </w:p>
    <w:p>
      <w:pPr>
        <w:pStyle w:val="VchozA"/>
        <w:widowControl w:val="false"/>
        <w:spacing w:before="0" w:after="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2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b/>
          <w:bCs/>
          <w:lang w:val="pt-PT"/>
        </w:rPr>
        <w:t>Data-Ing, s.r.o.</w:t>
      </w:r>
    </w:p>
    <w:p>
      <w:pPr>
        <w:pStyle w:val="VchozA"/>
        <w:widowControl w:val="false"/>
        <w:spacing w:before="0" w:after="2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se sídlem:</w:t>
        <w:tab/>
        <w:tab/>
        <w:t>V Olšinách 2300/75, Strašnice, 100 00 Praha 10</w:t>
      </w:r>
    </w:p>
    <w:p>
      <w:pPr>
        <w:pStyle w:val="VchozA"/>
        <w:widowControl w:val="false"/>
        <w:spacing w:before="0" w:after="2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zastoupená:</w:t>
      </w:r>
      <w:r>
        <w:rPr>
          <w:rFonts w:eastAsia="Times New Roman" w:cs="Times New Roman" w:ascii="Times New Roman" w:hAnsi="Times New Roman"/>
          <w:b/>
          <w:bCs/>
        </w:rPr>
        <w:tab/>
        <w:tab/>
      </w:r>
      <w:r>
        <w:rPr>
          <w:rFonts w:ascii="Times New Roman" w:hAnsi="Times New Roman"/>
          <w:lang w:val="de-DE"/>
        </w:rPr>
        <w:t>Martinem Hru</w:t>
      </w:r>
      <w:r>
        <w:rPr>
          <w:rFonts w:ascii="Times New Roman" w:hAnsi="Times New Roman"/>
        </w:rPr>
        <w:t>škou, jednatelem / Lenkou Kazeckou, jednatelkou</w:t>
      </w:r>
    </w:p>
    <w:p>
      <w:pPr>
        <w:pStyle w:val="VchozA"/>
        <w:widowControl w:val="false"/>
        <w:spacing w:before="0" w:after="2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IČ</w:t>
      </w:r>
      <w:r>
        <w:rPr>
          <w:rFonts w:ascii="Times New Roman" w:hAnsi="Times New Roman"/>
          <w:lang w:val="da-DK"/>
        </w:rPr>
        <w:t>O:</w:t>
      </w:r>
      <w:r>
        <w:rPr>
          <w:rFonts w:eastAsia="Times New Roman" w:cs="Times New Roman" w:ascii="Times New Roman" w:hAnsi="Times New Roman"/>
          <w:b/>
          <w:bCs/>
        </w:rPr>
        <w:tab/>
        <w:tab/>
        <w:tab/>
      </w:r>
      <w:r>
        <w:rPr>
          <w:rFonts w:ascii="Times New Roman" w:hAnsi="Times New Roman"/>
        </w:rPr>
        <w:t>252 54 863</w:t>
      </w:r>
    </w:p>
    <w:p>
      <w:pPr>
        <w:pStyle w:val="VchozA"/>
        <w:widowControl w:val="false"/>
        <w:spacing w:before="0" w:after="2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DIČ:</w:t>
        <w:tab/>
        <w:tab/>
        <w:tab/>
        <w:t>CZ25254863</w:t>
      </w:r>
    </w:p>
    <w:p>
      <w:pPr>
        <w:pStyle w:val="VchozA"/>
        <w:widowControl w:val="false"/>
        <w:spacing w:before="0" w:after="2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zapsaná:</w:t>
        <w:tab/>
        <w:tab/>
        <w:t xml:space="preserve">obchodní </w:t>
      </w:r>
      <w:r>
        <w:rPr>
          <w:rFonts w:ascii="Times New Roman" w:hAnsi="Times New Roman"/>
          <w:lang w:val="da-DK"/>
        </w:rPr>
        <w:t>rejst</w:t>
      </w:r>
      <w:r>
        <w:rPr>
          <w:rFonts w:ascii="Times New Roman" w:hAnsi="Times New Roman"/>
        </w:rPr>
        <w:t>řík vedený Městským soudem v Praze, oddí</w:t>
      </w:r>
      <w:r>
        <w:rPr>
          <w:rFonts w:ascii="Times New Roman" w:hAnsi="Times New Roman"/>
          <w:lang w:val="nl-NL"/>
        </w:rPr>
        <w:t>l C, vlo</w:t>
      </w:r>
      <w:r>
        <w:rPr>
          <w:rFonts w:ascii="Times New Roman" w:hAnsi="Times New Roman"/>
        </w:rPr>
        <w:t>žka 282493</w:t>
      </w:r>
    </w:p>
    <w:p>
      <w:pPr>
        <w:pStyle w:val="VchozA"/>
        <w:widowControl w:val="false"/>
        <w:spacing w:before="0" w:after="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2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(dále tak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jako „Poskytovatel</w:t>
      </w:r>
      <w:r>
        <w:rPr>
          <w:rFonts w:ascii="Times New Roman" w:hAnsi="Times New Roman"/>
          <w:lang w:val="ar-SA" w:bidi="ar-SA"/>
        </w:rPr>
        <w:t>“</w:t>
      </w:r>
      <w:r>
        <w:rPr>
          <w:rFonts w:ascii="Times New Roman" w:hAnsi="Times New Roman"/>
        </w:rPr>
        <w:t>)</w:t>
      </w:r>
    </w:p>
    <w:p>
      <w:pPr>
        <w:pStyle w:val="VchozA"/>
        <w:widowControl w:val="false"/>
        <w:spacing w:before="0" w:after="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60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VchozA"/>
        <w:widowControl w:val="false"/>
        <w:numPr>
          <w:ilvl w:val="0"/>
          <w:numId w:val="1"/>
        </w:numPr>
        <w:spacing w:before="0" w:after="6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PŘ</w:t>
      </w:r>
      <w:r>
        <w:rPr>
          <w:rFonts w:ascii="Times New Roman" w:hAnsi="Times New Roman"/>
          <w:b/>
          <w:bCs/>
          <w:lang w:val="en-US"/>
        </w:rPr>
        <w:t>EDM</w:t>
      </w:r>
      <w:r>
        <w:rPr>
          <w:rFonts w:ascii="Times New Roman" w:hAnsi="Times New Roman"/>
          <w:b/>
          <w:bCs/>
        </w:rPr>
        <w:t>Ě</w:t>
      </w:r>
      <w:r>
        <w:rPr>
          <w:rFonts w:ascii="Times New Roman" w:hAnsi="Times New Roman"/>
          <w:b/>
          <w:bCs/>
          <w:lang w:val="en-US"/>
        </w:rPr>
        <w:t>T SMLOUVY</w:t>
      </w:r>
    </w:p>
    <w:p>
      <w:pPr>
        <w:pStyle w:val="VchozA"/>
        <w:widowControl w:val="false"/>
        <w:spacing w:before="0" w:after="60"/>
        <w:ind w:left="426" w:hanging="0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VchozA"/>
        <w:widowControl w:val="false"/>
        <w:numPr>
          <w:ilvl w:val="2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Poskytovatel se na základě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 zavazuje provádět pro Objednatele energetický monitoring (monitoring spotřeby energií) v objektech uží</w:t>
      </w:r>
      <w:r>
        <w:rPr>
          <w:rFonts w:ascii="Times New Roman" w:hAnsi="Times New Roman"/>
          <w:lang w:val="nl-NL"/>
        </w:rPr>
        <w:t>van</w:t>
      </w:r>
      <w:r>
        <w:rPr>
          <w:rFonts w:ascii="Times New Roman" w:hAnsi="Times New Roman"/>
        </w:rPr>
        <w:t>ých Objednatelem anebo v objektech uží</w:t>
      </w:r>
      <w:r>
        <w:rPr>
          <w:rFonts w:ascii="Times New Roman" w:hAnsi="Times New Roman"/>
          <w:lang w:val="nl-NL"/>
        </w:rPr>
        <w:t>van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  <w:lang w:val="en-US"/>
        </w:rPr>
        <w:t>ch t</w:t>
      </w:r>
      <w:r>
        <w:rPr>
          <w:rFonts w:ascii="Times New Roman" w:hAnsi="Times New Roman"/>
        </w:rPr>
        <w:t>řetí osobou se souhlasem Objednatele, přičemž bližší specifikace poskytovan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energetick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ho monitoringu je uvedena v odst. </w:t>
      </w:r>
      <w:hyperlink w:anchor="bookmark">
        <w:r>
          <w:rPr>
            <w:rStyle w:val="Hyperlink0"/>
            <w:rFonts w:ascii="Times New Roman" w:hAnsi="Times New Roman"/>
          </w:rPr>
          <w:t>1.2</w:t>
        </w:r>
      </w:hyperlink>
      <w:r>
        <w:rPr>
          <w:rStyle w:val="Hyperlink0"/>
          <w:rFonts w:ascii="Times New Roman" w:hAnsi="Times New Roman"/>
        </w:rPr>
        <w:t xml:space="preserve">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Smlouvy (dále tak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jako „Energetický monitoring</w:t>
      </w:r>
      <w:r>
        <w:rPr>
          <w:rStyle w:val="Hyperlink0"/>
          <w:rFonts w:ascii="Times New Roman" w:hAnsi="Times New Roman"/>
          <w:lang w:val="ar-SA" w:bidi="ar-SA"/>
        </w:rPr>
        <w:t>“</w:t>
      </w:r>
      <w:r>
        <w:rPr>
          <w:rStyle w:val="Hyperlink0"/>
          <w:rFonts w:ascii="Times New Roman" w:hAnsi="Times New Roman"/>
        </w:rPr>
        <w:t>). Objednatel se na základě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Smlouvy zavazuje hradit Poskytovateli za poskytování Energetick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 xml:space="preserve">ho monitoringu v souladu s touto Smlouvou níže sjednanou cenu. </w:t>
      </w:r>
    </w:p>
    <w:p>
      <w:pPr>
        <w:pStyle w:val="VchozA"/>
        <w:widowControl w:val="false"/>
        <w:numPr>
          <w:ilvl w:val="2"/>
          <w:numId w:val="2"/>
        </w:numPr>
        <w:jc w:val="both"/>
        <w:rPr>
          <w:rFonts w:ascii="Times New Roman" w:hAnsi="Times New Roman" w:eastAsia="Times New Roman" w:cs="Times New Roman"/>
        </w:rPr>
      </w:pPr>
      <w:bookmarkStart w:id="0" w:name="_Ref5281554861"/>
      <w:r>
        <w:rPr>
          <w:rStyle w:val="Hyperlink0"/>
          <w:rFonts w:ascii="Times New Roman" w:hAnsi="Times New Roman"/>
        </w:rPr>
        <w:t>Energetický monitoring zajišťovaný Poskytovatelem na základě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Smlouvy sestává z následující</w:t>
      </w:r>
      <w:r>
        <w:rPr>
          <w:rStyle w:val="Hyperlink0"/>
          <w:rFonts w:ascii="Times New Roman" w:hAnsi="Times New Roman"/>
          <w:lang w:val="de-DE"/>
        </w:rPr>
        <w:t xml:space="preserve">ch </w:t>
      </w:r>
      <w:r>
        <w:rPr>
          <w:rStyle w:val="Hyperlink0"/>
          <w:rFonts w:ascii="Times New Roman" w:hAnsi="Times New Roman"/>
        </w:rPr>
        <w:t xml:space="preserve">činností:  </w:t>
      </w:r>
      <w:bookmarkEnd w:id="0"/>
    </w:p>
    <w:p>
      <w:pPr>
        <w:pStyle w:val="VchozA"/>
        <w:widowControl w:val="false"/>
        <w:numPr>
          <w:ilvl w:val="3"/>
          <w:numId w:val="2"/>
        </w:numPr>
        <w:jc w:val="both"/>
        <w:rPr>
          <w:rFonts w:ascii="Times New Roman" w:hAnsi="Times New Roman" w:eastAsia="Times New Roman" w:cs="Times New Roman"/>
        </w:rPr>
      </w:pPr>
      <w:bookmarkStart w:id="1" w:name="_Ref528155646"/>
      <w:r>
        <w:rPr>
          <w:rStyle w:val="Hyperlink0"/>
          <w:rFonts w:ascii="Times New Roman" w:hAnsi="Times New Roman"/>
        </w:rPr>
        <w:t>dodávka technologie pro on-line měření spotřeby energií formou vzdálen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ho on-line odečtu stávající</w:t>
      </w:r>
      <w:r>
        <w:rPr>
          <w:rStyle w:val="Hyperlink0"/>
          <w:rFonts w:ascii="Times New Roman" w:hAnsi="Times New Roman"/>
          <w:lang w:val="de-DE"/>
        </w:rPr>
        <w:t>ch m</w:t>
      </w:r>
      <w:r>
        <w:rPr>
          <w:rStyle w:val="Hyperlink0"/>
          <w:rFonts w:ascii="Times New Roman" w:hAnsi="Times New Roman"/>
        </w:rPr>
        <w:t>ěř</w:t>
      </w:r>
      <w:r>
        <w:rPr>
          <w:rStyle w:val="Hyperlink0"/>
          <w:rFonts w:ascii="Times New Roman" w:hAnsi="Times New Roman"/>
          <w:lang w:val="it-IT"/>
        </w:rPr>
        <w:t>idel spot</w:t>
      </w:r>
      <w:r>
        <w:rPr>
          <w:rStyle w:val="Hyperlink0"/>
          <w:rFonts w:ascii="Times New Roman" w:hAnsi="Times New Roman"/>
        </w:rPr>
        <w:t>řeby energií;</w:t>
      </w:r>
      <w:bookmarkEnd w:id="1"/>
      <w:r>
        <w:rPr>
          <w:rStyle w:val="Hyperlink0"/>
          <w:rFonts w:ascii="Times New Roman" w:hAnsi="Times New Roman"/>
        </w:rPr>
        <w:t xml:space="preserve"> </w:t>
      </w:r>
    </w:p>
    <w:p>
      <w:pPr>
        <w:pStyle w:val="VchozA"/>
        <w:widowControl w:val="false"/>
        <w:numPr>
          <w:ilvl w:val="3"/>
          <w:numId w:val="2"/>
        </w:numPr>
        <w:jc w:val="both"/>
        <w:rPr>
          <w:rFonts w:ascii="Times New Roman" w:hAnsi="Times New Roman" w:eastAsia="Times New Roman" w:cs="Times New Roman"/>
        </w:rPr>
      </w:pPr>
      <w:bookmarkStart w:id="2" w:name="_Ref528155666"/>
      <w:r>
        <w:rPr>
          <w:rStyle w:val="Hyperlink0"/>
          <w:rFonts w:ascii="Times New Roman" w:hAnsi="Times New Roman"/>
          <w:lang w:val="en-US"/>
        </w:rPr>
        <w:t>mont</w:t>
      </w:r>
      <w:r>
        <w:rPr>
          <w:rStyle w:val="Hyperlink0"/>
          <w:rFonts w:ascii="Times New Roman" w:hAnsi="Times New Roman"/>
        </w:rPr>
        <w:t>áž, konfigurace a zprovoznění syst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mu vzdálen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  <w:lang w:val="en-US"/>
        </w:rPr>
        <w:t>ho on-line m</w:t>
      </w:r>
      <w:r>
        <w:rPr>
          <w:rStyle w:val="Hyperlink0"/>
          <w:rFonts w:ascii="Times New Roman" w:hAnsi="Times New Roman"/>
        </w:rPr>
        <w:t>ěření spotřeby energií;</w:t>
      </w:r>
      <w:bookmarkEnd w:id="2"/>
    </w:p>
    <w:p>
      <w:pPr>
        <w:pStyle w:val="VchozA"/>
        <w:widowControl w:val="false"/>
        <w:numPr>
          <w:ilvl w:val="3"/>
          <w:numId w:val="2"/>
        </w:numPr>
        <w:jc w:val="both"/>
        <w:rPr>
          <w:rFonts w:ascii="Times New Roman" w:hAnsi="Times New Roman" w:eastAsia="Times New Roman" w:cs="Times New Roman"/>
        </w:rPr>
      </w:pPr>
      <w:bookmarkStart w:id="3" w:name="_Ref528155698"/>
      <w:r>
        <w:rPr>
          <w:rStyle w:val="Hyperlink0"/>
          <w:rFonts w:ascii="Times New Roman" w:hAnsi="Times New Roman"/>
        </w:rPr>
        <w:t xml:space="preserve">provedení </w:t>
      </w:r>
      <w:r>
        <w:rPr>
          <w:rStyle w:val="Hyperlink0"/>
          <w:rFonts w:ascii="Times New Roman" w:hAnsi="Times New Roman"/>
          <w:lang w:val="it-IT"/>
        </w:rPr>
        <w:t>kalibra</w:t>
      </w:r>
      <w:r>
        <w:rPr>
          <w:rStyle w:val="Hyperlink0"/>
          <w:rFonts w:ascii="Times New Roman" w:hAnsi="Times New Roman"/>
        </w:rPr>
        <w:t>čního provozu;</w:t>
      </w:r>
      <w:bookmarkEnd w:id="3"/>
    </w:p>
    <w:p>
      <w:pPr>
        <w:pStyle w:val="VchozA"/>
        <w:widowControl w:val="false"/>
        <w:numPr>
          <w:ilvl w:val="3"/>
          <w:numId w:val="2"/>
        </w:numPr>
        <w:jc w:val="both"/>
        <w:rPr>
          <w:rFonts w:ascii="Times New Roman" w:hAnsi="Times New Roman" w:eastAsia="Times New Roman" w:cs="Times New Roman"/>
        </w:rPr>
      </w:pPr>
      <w:bookmarkStart w:id="4" w:name="_Ref528155740"/>
      <w:r>
        <w:rPr>
          <w:rStyle w:val="Hyperlink0"/>
          <w:rFonts w:ascii="Times New Roman" w:hAnsi="Times New Roman"/>
        </w:rPr>
        <w:t>z</w:t>
      </w:r>
      <w:bookmarkStart w:id="5" w:name="_Ref529964343"/>
      <w:bookmarkEnd w:id="4"/>
      <w:r>
        <w:rPr>
          <w:rStyle w:val="Hyperlink0"/>
          <w:rFonts w:ascii="Times New Roman" w:hAnsi="Times New Roman"/>
        </w:rPr>
        <w:t>ajištění nepřetržit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ho monitorovací</w:t>
      </w:r>
      <w:r>
        <w:rPr>
          <w:rStyle w:val="Hyperlink0"/>
          <w:rFonts w:ascii="Times New Roman" w:hAnsi="Times New Roman"/>
          <w:lang w:val="it-IT"/>
        </w:rPr>
        <w:t>ho dispe</w:t>
      </w:r>
      <w:r>
        <w:rPr>
          <w:rStyle w:val="Hyperlink0"/>
          <w:rFonts w:ascii="Times New Roman" w:hAnsi="Times New Roman"/>
        </w:rPr>
        <w:t>činku v režimu 24/7/365</w:t>
      </w:r>
      <w:bookmarkEnd w:id="5"/>
      <w:r>
        <w:rPr>
          <w:rStyle w:val="Hyperlink0"/>
          <w:rFonts w:ascii="Times New Roman" w:hAnsi="Times New Roman"/>
        </w:rPr>
        <w:t>;</w:t>
      </w:r>
    </w:p>
    <w:p>
      <w:pPr>
        <w:pStyle w:val="VchozA"/>
        <w:widowControl w:val="false"/>
        <w:numPr>
          <w:ilvl w:val="3"/>
          <w:numId w:val="2"/>
        </w:numPr>
        <w:jc w:val="both"/>
        <w:rPr>
          <w:rFonts w:ascii="Times New Roman" w:hAnsi="Times New Roman" w:eastAsia="Times New Roman" w:cs="Times New Roman"/>
        </w:rPr>
      </w:pPr>
      <w:bookmarkStart w:id="6" w:name="_Ref528155750"/>
      <w:r>
        <w:rPr>
          <w:rStyle w:val="Hyperlink0"/>
          <w:rFonts w:ascii="Times New Roman" w:hAnsi="Times New Roman"/>
        </w:rPr>
        <w:t>z</w:t>
      </w:r>
      <w:bookmarkStart w:id="7" w:name="_Ref529964352"/>
      <w:bookmarkEnd w:id="6"/>
      <w:r>
        <w:rPr>
          <w:rStyle w:val="Hyperlink0"/>
          <w:rFonts w:ascii="Times New Roman" w:hAnsi="Times New Roman"/>
        </w:rPr>
        <w:t>ajištění přístupu pro zástupce Objednatele do monitorovacího syst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mu v režimu 24/7/365</w:t>
      </w:r>
      <w:bookmarkEnd w:id="7"/>
      <w:r>
        <w:rPr>
          <w:rStyle w:val="Hyperlink0"/>
          <w:rFonts w:ascii="Times New Roman" w:hAnsi="Times New Roman"/>
        </w:rPr>
        <w:t>;</w:t>
      </w:r>
    </w:p>
    <w:p>
      <w:pPr>
        <w:pStyle w:val="VchozA"/>
        <w:widowControl w:val="false"/>
        <w:numPr>
          <w:ilvl w:val="3"/>
          <w:numId w:val="2"/>
        </w:numPr>
        <w:jc w:val="both"/>
        <w:rPr>
          <w:rFonts w:ascii="Times New Roman" w:hAnsi="Times New Roman" w:eastAsia="Times New Roman" w:cs="Times New Roman"/>
        </w:rPr>
      </w:pPr>
      <w:bookmarkStart w:id="8" w:name="_Ref529964363"/>
      <w:r>
        <w:rPr>
          <w:rStyle w:val="Hyperlink0"/>
          <w:rFonts w:ascii="Times New Roman" w:hAnsi="Times New Roman"/>
        </w:rPr>
        <w:t>zajištění záručního servisu měřící techniky.</w:t>
      </w:r>
      <w:bookmarkEnd w:id="8"/>
      <w:r>
        <w:rPr>
          <w:rStyle w:val="Hyperlink0"/>
          <w:rFonts w:ascii="Times New Roman" w:hAnsi="Times New Roman"/>
        </w:rPr>
        <w:t xml:space="preserve"> </w:t>
      </w:r>
    </w:p>
    <w:p>
      <w:pPr>
        <w:pStyle w:val="VchozA"/>
        <w:widowControl w:val="false"/>
        <w:numPr>
          <w:ilvl w:val="2"/>
          <w:numId w:val="2"/>
        </w:numPr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Poskytování Energetick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 xml:space="preserve">ho monitoringu není vázáno na osobní vlastnosti Poskytovatele. </w:t>
      </w:r>
    </w:p>
    <w:p>
      <w:pPr>
        <w:pStyle w:val="VchozA"/>
        <w:widowControl w:val="false"/>
        <w:numPr>
          <w:ilvl w:val="2"/>
          <w:numId w:val="2"/>
        </w:numPr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Činnosti Energetick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 xml:space="preserve">ho monitoringu podle odst. </w:t>
      </w:r>
      <w:hyperlink w:anchor="Ref528155646">
        <w:r>
          <w:rPr>
            <w:rStyle w:val="Hyperlink1"/>
          </w:rPr>
          <w:t>1.2.1</w:t>
        </w:r>
      </w:hyperlink>
      <w:r>
        <w:rPr>
          <w:rStyle w:val="Hyperlink1"/>
        </w:rPr>
        <w:t xml:space="preserve"> </w:t>
      </w:r>
      <w:r>
        <w:rPr>
          <w:rStyle w:val="Hyperlink0"/>
          <w:rFonts w:ascii="Times New Roman" w:hAnsi="Times New Roman"/>
        </w:rPr>
        <w:t xml:space="preserve">a </w:t>
      </w:r>
      <w:hyperlink w:anchor="Ref528155666">
        <w:r>
          <w:rPr>
            <w:rStyle w:val="Hyperlink1"/>
          </w:rPr>
          <w:t>1.2.2</w:t>
        </w:r>
      </w:hyperlink>
      <w:r>
        <w:rPr>
          <w:rStyle w:val="Hyperlink0"/>
          <w:rFonts w:ascii="Times New Roman" w:hAnsi="Times New Roman"/>
        </w:rPr>
        <w:t xml:space="preserve"> se považují </w:t>
      </w:r>
      <w:r>
        <w:rPr>
          <w:rStyle w:val="Hyperlink0"/>
          <w:rFonts w:ascii="Times New Roman" w:hAnsi="Times New Roman"/>
          <w:lang w:val="it-IT"/>
        </w:rPr>
        <w:t xml:space="preserve">za </w:t>
      </w:r>
      <w:r>
        <w:rPr>
          <w:rStyle w:val="Hyperlink0"/>
          <w:rFonts w:ascii="Times New Roman" w:hAnsi="Times New Roman"/>
        </w:rPr>
        <w:t>řádně proveden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a dokončen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okamžikem provedení prvotního náměru.</w:t>
      </w:r>
    </w:p>
    <w:p>
      <w:pPr>
        <w:pStyle w:val="VchozA"/>
        <w:widowControl w:val="false"/>
        <w:numPr>
          <w:ilvl w:val="2"/>
          <w:numId w:val="2"/>
        </w:numPr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Činnost Energetick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 xml:space="preserve">ho monitoringu podle odst. </w:t>
      </w:r>
      <w:hyperlink w:anchor="Ref528155698">
        <w:r>
          <w:rPr>
            <w:rStyle w:val="Hyperlink1"/>
          </w:rPr>
          <w:t>1.2.3</w:t>
        </w:r>
      </w:hyperlink>
      <w:r>
        <w:rPr>
          <w:rStyle w:val="Hyperlink1"/>
        </w:rPr>
        <w:t xml:space="preserve"> </w:t>
      </w:r>
      <w:r>
        <w:rPr>
          <w:rStyle w:val="Hyperlink0"/>
          <w:rFonts w:ascii="Times New Roman" w:hAnsi="Times New Roman"/>
        </w:rPr>
        <w:t>se považuje za řádně provedenou a dokončenou okamžikem předání zprávy o provedení činnosti.</w:t>
      </w:r>
    </w:p>
    <w:p>
      <w:pPr>
        <w:pStyle w:val="VchozA"/>
        <w:widowControl w:val="false"/>
        <w:numPr>
          <w:ilvl w:val="2"/>
          <w:numId w:val="2"/>
        </w:numPr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Činnosti Energetick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 xml:space="preserve">ho monitoringu podle odst. </w:t>
      </w:r>
      <w:hyperlink w:anchor="Ref529964343">
        <w:r>
          <w:rPr>
            <w:rStyle w:val="Hyperlink1"/>
          </w:rPr>
          <w:t>1.2.4</w:t>
        </w:r>
      </w:hyperlink>
      <w:r>
        <w:rPr>
          <w:rStyle w:val="Hyperlink0"/>
          <w:rFonts w:ascii="Times New Roman" w:hAnsi="Times New Roman"/>
        </w:rPr>
        <w:t xml:space="preserve">, </w:t>
      </w:r>
      <w:hyperlink w:anchor="Ref529964352">
        <w:r>
          <w:rPr>
            <w:rStyle w:val="Hyperlink2"/>
            <w:rFonts w:ascii="Times New Roman" w:hAnsi="Times New Roman"/>
          </w:rPr>
          <w:t>1.2.5</w:t>
        </w:r>
      </w:hyperlink>
      <w:r>
        <w:rPr>
          <w:rStyle w:val="Hyperlink2"/>
          <w:rFonts w:ascii="Times New Roman" w:hAnsi="Times New Roman"/>
        </w:rPr>
        <w:t xml:space="preserve"> </w:t>
      </w:r>
      <w:r>
        <w:rPr>
          <w:rStyle w:val="Hyperlink0"/>
          <w:rFonts w:ascii="Times New Roman" w:hAnsi="Times New Roman"/>
        </w:rPr>
        <w:t xml:space="preserve">a </w:t>
      </w:r>
      <w:hyperlink w:anchor="Ref529964363">
        <w:r>
          <w:rPr>
            <w:rStyle w:val="Hyperlink1"/>
          </w:rPr>
          <w:t>1.2.6</w:t>
        </w:r>
      </w:hyperlink>
      <w:r>
        <w:rPr>
          <w:rStyle w:val="Hyperlink0"/>
          <w:rFonts w:ascii="Times New Roman" w:hAnsi="Times New Roman"/>
        </w:rPr>
        <w:t xml:space="preserve"> se považují </w:t>
      </w:r>
      <w:r>
        <w:rPr>
          <w:rStyle w:val="Hyperlink0"/>
          <w:rFonts w:ascii="Times New Roman" w:hAnsi="Times New Roman"/>
          <w:lang w:val="it-IT"/>
        </w:rPr>
        <w:t xml:space="preserve">za </w:t>
      </w:r>
      <w:r>
        <w:rPr>
          <w:rStyle w:val="Hyperlink0"/>
          <w:rFonts w:ascii="Times New Roman" w:hAnsi="Times New Roman"/>
        </w:rPr>
        <w:t>řádně proveden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a dokončen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 xml:space="preserve">okamžikem provedení online monitoringu za každý kalendářní měsíc. </w:t>
      </w:r>
    </w:p>
    <w:p>
      <w:pPr>
        <w:pStyle w:val="VchozA"/>
        <w:widowControl w:val="false"/>
        <w:numPr>
          <w:ilvl w:val="2"/>
          <w:numId w:val="2"/>
        </w:numPr>
        <w:spacing w:before="0" w:after="200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Činnosti Energetick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 xml:space="preserve">ho monitoringu podle odst. </w:t>
      </w:r>
      <w:hyperlink w:anchor="Ref529964343">
        <w:r>
          <w:rPr>
            <w:rStyle w:val="Hyperlink1"/>
          </w:rPr>
          <w:t>1.2.4</w:t>
        </w:r>
      </w:hyperlink>
      <w:r>
        <w:rPr>
          <w:rStyle w:val="Hyperlink0"/>
          <w:rFonts w:ascii="Times New Roman" w:hAnsi="Times New Roman"/>
        </w:rPr>
        <w:t xml:space="preserve">, </w:t>
      </w:r>
      <w:hyperlink w:anchor="Ref529964352">
        <w:r>
          <w:rPr>
            <w:rStyle w:val="Hyperlink2"/>
            <w:rFonts w:ascii="Times New Roman" w:hAnsi="Times New Roman"/>
          </w:rPr>
          <w:t>1.2.5</w:t>
        </w:r>
      </w:hyperlink>
      <w:r>
        <w:rPr>
          <w:rStyle w:val="Hyperlink2"/>
          <w:rFonts w:ascii="Times New Roman" w:hAnsi="Times New Roman"/>
        </w:rPr>
        <w:t xml:space="preserve"> </w:t>
      </w:r>
      <w:r>
        <w:rPr>
          <w:rStyle w:val="Hyperlink0"/>
          <w:rFonts w:ascii="Times New Roman" w:hAnsi="Times New Roman"/>
        </w:rPr>
        <w:t xml:space="preserve">a </w:t>
      </w:r>
      <w:hyperlink w:anchor="Ref529964363">
        <w:r>
          <w:rPr>
            <w:rStyle w:val="Hyperlink1"/>
          </w:rPr>
          <w:t>1.2.6</w:t>
        </w:r>
      </w:hyperlink>
      <w:r>
        <w:rPr>
          <w:rStyle w:val="Hyperlink0"/>
          <w:rFonts w:ascii="Times New Roman" w:hAnsi="Times New Roman"/>
        </w:rPr>
        <w:t xml:space="preserve"> budou Poskytovatelem prováděny opakovaně po celou dobu účinnosti Smlouvy.</w:t>
      </w:r>
    </w:p>
    <w:p>
      <w:pPr>
        <w:pStyle w:val="VchozA"/>
        <w:widowControl w:val="false"/>
        <w:spacing w:before="0" w:after="200"/>
        <w:ind w:left="426" w:hanging="0"/>
        <w:jc w:val="both"/>
        <w:rPr>
          <w:rStyle w:val="Dn"/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VchozA"/>
        <w:widowControl w:val="false"/>
        <w:spacing w:before="0" w:after="200"/>
        <w:ind w:left="426" w:hanging="0"/>
        <w:jc w:val="both"/>
        <w:rPr>
          <w:rStyle w:val="Dn"/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VchozA"/>
        <w:widowControl w:val="false"/>
        <w:spacing w:before="0" w:after="200"/>
        <w:ind w:left="426" w:hanging="0"/>
        <w:jc w:val="both"/>
        <w:rPr>
          <w:rStyle w:val="Dn"/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VchozA"/>
        <w:widowControl w:val="false"/>
        <w:numPr>
          <w:ilvl w:val="0"/>
          <w:numId w:val="70"/>
        </w:numPr>
        <w:rPr>
          <w:rFonts w:ascii="Times New Roman" w:hAnsi="Times New Roman"/>
          <w:b/>
          <w:b/>
          <w:bCs/>
        </w:rPr>
      </w:pPr>
      <w:r>
        <w:rPr>
          <w:rStyle w:val="Dn"/>
          <w:rFonts w:ascii="Times New Roman" w:hAnsi="Times New Roman"/>
          <w:b/>
          <w:bCs/>
          <w:caps/>
        </w:rPr>
        <w:t>Doba; místo a způsob poskytování Energetick</w:t>
      </w:r>
      <w:r>
        <w:rPr>
          <w:rStyle w:val="Dn"/>
          <w:rFonts w:ascii="Times New Roman" w:hAnsi="Times New Roman"/>
          <w:b/>
          <w:bCs/>
          <w:caps/>
          <w:lang w:val="fr-FR"/>
        </w:rPr>
        <w:t>é</w:t>
      </w:r>
      <w:r>
        <w:rPr>
          <w:rStyle w:val="Dn"/>
          <w:rFonts w:ascii="Times New Roman" w:hAnsi="Times New Roman"/>
          <w:b/>
          <w:bCs/>
          <w:caps/>
        </w:rPr>
        <w:t>ho monitoringu</w:t>
      </w:r>
    </w:p>
    <w:p>
      <w:pPr>
        <w:pStyle w:val="VchozA"/>
        <w:widowControl w:val="false"/>
        <w:numPr>
          <w:ilvl w:val="1"/>
          <w:numId w:val="71"/>
        </w:numPr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Poskytování Energetick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ho monitoringu dle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Smlouvy se Poskytovatel zavazuje zahájit nejpozději do 30 dnů ode dne předání všech měř</w:t>
      </w:r>
      <w:r>
        <w:rPr>
          <w:rStyle w:val="Hyperlink0"/>
          <w:rFonts w:ascii="Times New Roman" w:hAnsi="Times New Roman"/>
          <w:lang w:val="it-IT"/>
        </w:rPr>
        <w:t>idel p</w:t>
      </w:r>
      <w:r>
        <w:rPr>
          <w:rStyle w:val="Hyperlink0"/>
          <w:rFonts w:ascii="Times New Roman" w:hAnsi="Times New Roman"/>
        </w:rPr>
        <w:t>ředmětný</w:t>
      </w:r>
      <w:r>
        <w:rPr>
          <w:rStyle w:val="Hyperlink0"/>
          <w:rFonts w:ascii="Times New Roman" w:hAnsi="Times New Roman"/>
          <w:lang w:val="sv-SE"/>
        </w:rPr>
        <w:t xml:space="preserve">ch utilit </w:t>
      </w:r>
      <w:r>
        <w:rPr>
          <w:rStyle w:val="Hyperlink2"/>
          <w:rFonts w:ascii="Times New Roman" w:hAnsi="Times New Roman"/>
        </w:rPr>
        <w:t>Objednatelem Poskytovateli</w:t>
      </w:r>
      <w:r>
        <w:rPr>
          <w:rStyle w:val="Hyperlink0"/>
          <w:rFonts w:ascii="Times New Roman" w:hAnsi="Times New Roman"/>
        </w:rPr>
        <w:t xml:space="preserve"> ve stavu, který umožňuje instalaci syst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mu pro dálkov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měření spotřeby.</w:t>
      </w:r>
    </w:p>
    <w:p>
      <w:pPr>
        <w:pStyle w:val="VchozA"/>
        <w:widowControl w:val="false"/>
        <w:numPr>
          <w:ilvl w:val="1"/>
          <w:numId w:val="72"/>
        </w:numPr>
        <w:jc w:val="both"/>
        <w:rPr>
          <w:rFonts w:ascii="Times New Roman" w:hAnsi="Times New Roman" w:eastAsia="Times New Roman" w:cs="Times New Roman"/>
        </w:rPr>
      </w:pPr>
      <w:bookmarkStart w:id="9" w:name="_Ref528155862"/>
      <w:r>
        <w:rPr>
          <w:rStyle w:val="Hyperlink0"/>
          <w:rFonts w:ascii="Times New Roman" w:hAnsi="Times New Roman"/>
        </w:rPr>
        <w:t>Místem poskytování Energetick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ho monitoringu jsou objekty uveden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v pří</w:t>
      </w:r>
      <w:r>
        <w:rPr>
          <w:rStyle w:val="Hyperlink0"/>
          <w:rFonts w:ascii="Times New Roman" w:hAnsi="Times New Roman"/>
          <w:lang w:val="nl-NL"/>
        </w:rPr>
        <w:t xml:space="preserve">loze </w:t>
      </w:r>
      <w:r>
        <w:rPr>
          <w:rStyle w:val="Hyperlink0"/>
          <w:rFonts w:ascii="Times New Roman" w:hAnsi="Times New Roman"/>
        </w:rPr>
        <w:t>č. 1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Smlouvy.</w:t>
      </w:r>
      <w:bookmarkEnd w:id="9"/>
    </w:p>
    <w:p>
      <w:pPr>
        <w:pStyle w:val="VchozA"/>
        <w:widowControl w:val="false"/>
        <w:numPr>
          <w:ilvl w:val="1"/>
          <w:numId w:val="73"/>
        </w:numPr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První měření provede Poskytovatel nejpozději do 30 dnů ode dne instalace monitorovacího syst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mu, a to za předpokladu, že budou splněny vešker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technick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podmínky provozu ze strany Objednatele nebo ze strany dodavatelů předmětný</w:t>
      </w:r>
      <w:r>
        <w:rPr>
          <w:rStyle w:val="Hyperlink0"/>
          <w:rFonts w:ascii="Times New Roman" w:hAnsi="Times New Roman"/>
          <w:lang w:val="sv-SE"/>
        </w:rPr>
        <w:t xml:space="preserve">ch utilit. </w:t>
      </w:r>
    </w:p>
    <w:p>
      <w:pPr>
        <w:pStyle w:val="VchozA"/>
        <w:widowControl w:val="false"/>
        <w:numPr>
          <w:ilvl w:val="1"/>
          <w:numId w:val="74"/>
        </w:numPr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V případě, že z důvodů stojících mimo Poskytovatele nebude možn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prov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st prvotní měření všech předmětný</w:t>
      </w:r>
      <w:r>
        <w:rPr>
          <w:rStyle w:val="Hyperlink0"/>
          <w:rFonts w:ascii="Times New Roman" w:hAnsi="Times New Roman"/>
          <w:lang w:val="sv-SE"/>
        </w:rPr>
        <w:t>ch utilit i p</w:t>
      </w:r>
      <w:r>
        <w:rPr>
          <w:rStyle w:val="Hyperlink0"/>
          <w:rFonts w:ascii="Times New Roman" w:hAnsi="Times New Roman"/>
        </w:rPr>
        <w:t>ř</w:t>
      </w:r>
      <w:r>
        <w:rPr>
          <w:rStyle w:val="Hyperlink0"/>
          <w:rFonts w:ascii="Times New Roman" w:hAnsi="Times New Roman"/>
          <w:lang w:val="en-US"/>
        </w:rPr>
        <w:t xml:space="preserve">es to, </w:t>
      </w:r>
      <w:r>
        <w:rPr>
          <w:rStyle w:val="Hyperlink0"/>
          <w:rFonts w:ascii="Times New Roman" w:hAnsi="Times New Roman"/>
        </w:rPr>
        <w:t>že je splněna dodávka technologie dle přílohy č. 1 Smlouvy, má se za to, že není Předmět smlouvy splněn řádným způsobem. O takov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m stavu bude proveden záznam formou převzetí s výhradou, kdy v předávacím protokolu bude uvedeno o jakou utilitu se jedná a z jak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  <w:lang w:val="pt-PT"/>
        </w:rPr>
        <w:t>ho d</w:t>
      </w:r>
      <w:r>
        <w:rPr>
          <w:rStyle w:val="Hyperlink0"/>
          <w:rFonts w:ascii="Times New Roman" w:hAnsi="Times New Roman"/>
        </w:rPr>
        <w:t>ůvodu není možn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prov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st prvotní námě</w:t>
      </w:r>
      <w:r>
        <w:rPr>
          <w:rStyle w:val="Hyperlink0"/>
          <w:rFonts w:ascii="Times New Roman" w:hAnsi="Times New Roman"/>
          <w:lang w:val="fr-FR"/>
        </w:rPr>
        <w:t xml:space="preserve">r dané </w:t>
      </w:r>
      <w:r>
        <w:rPr>
          <w:rStyle w:val="Hyperlink0"/>
          <w:rFonts w:ascii="Times New Roman" w:hAnsi="Times New Roman"/>
          <w:lang w:val="en-US"/>
        </w:rPr>
        <w:t>utility. P</w:t>
      </w:r>
      <w:r>
        <w:rPr>
          <w:rStyle w:val="Hyperlink0"/>
          <w:rFonts w:ascii="Times New Roman" w:hAnsi="Times New Roman"/>
        </w:rPr>
        <w:t>řevzetím s výhradou nejsou splněny podmínky pro finanční plnění ze strany Objednatele v cel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 xml:space="preserve">m rozsahu dodávky technologie. </w:t>
      </w:r>
    </w:p>
    <w:p>
      <w:pPr>
        <w:pStyle w:val="VchozA"/>
        <w:widowControl w:val="false"/>
        <w:numPr>
          <w:ilvl w:val="1"/>
          <w:numId w:val="75"/>
        </w:numPr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Poskytovatel se zavazuje vypracovat zprávu o vyhodnocení monitorovaný</w:t>
      </w:r>
      <w:r>
        <w:rPr>
          <w:rStyle w:val="Hyperlink0"/>
          <w:rFonts w:ascii="Times New Roman" w:hAnsi="Times New Roman"/>
          <w:lang w:val="de-DE"/>
        </w:rPr>
        <w:t xml:space="preserve">ch </w:t>
      </w:r>
      <w:r>
        <w:rPr>
          <w:rStyle w:val="Hyperlink0"/>
          <w:rFonts w:ascii="Times New Roman" w:hAnsi="Times New Roman"/>
        </w:rPr>
        <w:t xml:space="preserve">údajů nejpozději do 6 měsíců od prvotního náměru. </w:t>
      </w:r>
    </w:p>
    <w:p>
      <w:pPr>
        <w:pStyle w:val="VchozA"/>
        <w:widowControl w:val="false"/>
        <w:numPr>
          <w:ilvl w:val="1"/>
          <w:numId w:val="76"/>
        </w:numPr>
        <w:spacing w:before="0" w:after="200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 xml:space="preserve">Poskytovatel je povinen zajistit online monitorovací </w:t>
      </w:r>
      <w:r>
        <w:rPr>
          <w:rStyle w:val="Hyperlink0"/>
          <w:rFonts w:ascii="Times New Roman" w:hAnsi="Times New Roman"/>
          <w:lang w:val="it-IT"/>
        </w:rPr>
        <w:t>dispe</w:t>
      </w:r>
      <w:r>
        <w:rPr>
          <w:rStyle w:val="Hyperlink0"/>
          <w:rFonts w:ascii="Times New Roman" w:hAnsi="Times New Roman"/>
        </w:rPr>
        <w:t>čink, který bez zbytečn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ho prodlení informuje kontaktní osobu Objednatele uvedenou v čl. 4.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Smlouvy v případě, že hodnoty spotřeby monitorovaný</w:t>
      </w:r>
      <w:r>
        <w:rPr>
          <w:rStyle w:val="Hyperlink0"/>
          <w:rFonts w:ascii="Times New Roman" w:hAnsi="Times New Roman"/>
          <w:lang w:val="sv-SE"/>
        </w:rPr>
        <w:t>ch energi</w:t>
      </w:r>
      <w:r>
        <w:rPr>
          <w:rStyle w:val="Hyperlink0"/>
          <w:rFonts w:ascii="Times New Roman" w:hAnsi="Times New Roman"/>
        </w:rPr>
        <w:t>í a m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dií vykáží podstatnou změnu od standardních hodnot spotřeby.</w:t>
      </w:r>
    </w:p>
    <w:p>
      <w:pPr>
        <w:pStyle w:val="VchozA"/>
        <w:widowControl w:val="false"/>
        <w:tabs>
          <w:tab w:val="clear" w:pos="720"/>
          <w:tab w:val="left" w:pos="393" w:leader="none"/>
        </w:tabs>
        <w:spacing w:before="0" w:after="200"/>
        <w:ind w:left="426" w:hanging="0"/>
        <w:jc w:val="both"/>
        <w:rPr>
          <w:rStyle w:val="Dn"/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VchozA"/>
        <w:widowControl w:val="false"/>
        <w:tabs>
          <w:tab w:val="clear" w:pos="720"/>
          <w:tab w:val="left" w:pos="393" w:leader="none"/>
        </w:tabs>
        <w:spacing w:before="0" w:after="200"/>
        <w:ind w:left="426" w:hanging="0"/>
        <w:jc w:val="both"/>
        <w:rPr>
          <w:rStyle w:val="Dn"/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VchozA"/>
        <w:widowControl w:val="false"/>
        <w:spacing w:before="0" w:after="200"/>
        <w:ind w:left="360" w:hanging="0"/>
        <w:rPr>
          <w:rStyle w:val="Dn"/>
          <w:rFonts w:ascii="Times New Roman" w:hAnsi="Times New Roman" w:eastAsia="Times New Roman" w:cs="Times New Roman"/>
          <w:b/>
          <w:b/>
          <w:bCs/>
        </w:rPr>
      </w:pPr>
      <w:r>
        <w:rPr>
          <w:rStyle w:val="Dn"/>
          <w:rFonts w:ascii="Times New Roman" w:hAnsi="Times New Roman"/>
          <w:b/>
          <w:bCs/>
          <w:caps/>
          <w:lang w:val="de-DE"/>
        </w:rPr>
        <w:t>CENA; PLATEBN</w:t>
      </w:r>
      <w:r>
        <w:rPr>
          <w:rStyle w:val="Dn"/>
          <w:rFonts w:ascii="Times New Roman" w:hAnsi="Times New Roman"/>
          <w:b/>
          <w:bCs/>
          <w:caps/>
        </w:rPr>
        <w:t>Í PODMÍ</w:t>
      </w:r>
      <w:r>
        <w:rPr>
          <w:rStyle w:val="Dn"/>
          <w:rFonts w:ascii="Times New Roman" w:hAnsi="Times New Roman"/>
          <w:b/>
          <w:bCs/>
          <w:caps/>
          <w:lang w:val="de-DE"/>
        </w:rPr>
        <w:t>NKY</w:t>
      </w:r>
    </w:p>
    <w:p>
      <w:pPr>
        <w:pStyle w:val="VchozA"/>
        <w:widowControl w:val="false"/>
        <w:numPr>
          <w:ilvl w:val="1"/>
          <w:numId w:val="77"/>
        </w:numPr>
        <w:spacing w:before="0" w:after="200"/>
        <w:jc w:val="both"/>
        <w:rPr>
          <w:rFonts w:ascii="Times New Roman" w:hAnsi="Times New Roman" w:eastAsia="Times New Roman" w:cs="Times New Roman"/>
        </w:rPr>
      </w:pPr>
      <w:bookmarkStart w:id="10" w:name="_Ref529978219"/>
      <w:r>
        <w:rPr>
          <w:rStyle w:val="Hyperlink0"/>
          <w:rFonts w:ascii="Times New Roman" w:hAnsi="Times New Roman"/>
        </w:rPr>
        <w:t>Cena za poskytování Energetick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ho monitoringu byla dohodou smluvních stran stanovena takto:</w:t>
      </w:r>
      <w:bookmarkEnd w:id="10"/>
    </w:p>
    <w:p>
      <w:pPr>
        <w:pStyle w:val="VchozA"/>
        <w:widowControl w:val="false"/>
        <w:numPr>
          <w:ilvl w:val="2"/>
          <w:numId w:val="3"/>
        </w:numPr>
        <w:spacing w:before="0" w:after="200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Dodávka a montáž technologie pro on-line odečet a přenos hodnot do centrálního syst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mu Poskytovatele:</w:t>
      </w:r>
    </w:p>
    <w:tbl>
      <w:tblPr>
        <w:tblStyle w:val="TableNormal"/>
        <w:tblW w:w="6219" w:type="dxa"/>
        <w:jc w:val="left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4332"/>
        <w:gridCol w:w="1886"/>
      </w:tblGrid>
      <w:tr>
        <w:trPr>
          <w:trHeight w:val="251" w:hRule="atLeast"/>
        </w:trPr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cs-CZ" w:eastAsia="zh-CN" w:bidi="hi-IN"/>
              </w:rPr>
              <w:t xml:space="preserve">cena v Kč bez DPH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VchozA"/>
              <w:widowControl w:val="false"/>
              <w:suppressAutoHyphens w:val="true"/>
              <w:spacing w:before="0" w:after="0"/>
              <w:jc w:val="right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cs-CZ" w:eastAsia="zh-CN" w:bidi="hi-IN"/>
              </w:rPr>
              <w:t>244 780 Kč</w:t>
            </w:r>
          </w:p>
        </w:tc>
      </w:tr>
      <w:tr>
        <w:trPr>
          <w:trHeight w:val="251" w:hRule="atLeast"/>
        </w:trPr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cs-CZ" w:eastAsia="zh-CN" w:bidi="hi-IN"/>
              </w:rPr>
              <w:t>výše DPH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VchozA"/>
              <w:widowControl w:val="false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uppressAutoHyphens w:val="true"/>
              <w:spacing w:before="0" w:after="0"/>
              <w:jc w:val="right"/>
              <w:rPr/>
            </w:pPr>
            <w:r>
              <w:rPr>
                <w:rStyle w:val="Dn"/>
                <w:rFonts w:eastAsia="Arial Unicode MS" w:ascii="Times New Roman" w:hAnsi="Times New Roman"/>
                <w:kern w:val="2"/>
                <w:lang w:val="cs-CZ" w:eastAsia="zh-CN" w:bidi="hi-IN"/>
              </w:rPr>
              <w:t>21%</w:t>
            </w:r>
          </w:p>
        </w:tc>
      </w:tr>
      <w:tr>
        <w:trPr>
          <w:trHeight w:val="251" w:hRule="atLeast"/>
        </w:trPr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cs-CZ" w:eastAsia="zh-CN" w:bidi="hi-IN"/>
              </w:rPr>
              <w:t xml:space="preserve">cena v Kč včetně DPH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VchozA"/>
              <w:widowControl w:val="false"/>
              <w:suppressAutoHyphens w:val="true"/>
              <w:spacing w:before="0" w:after="0"/>
              <w:jc w:val="right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cs-CZ" w:eastAsia="zh-CN" w:bidi="hi-IN"/>
              </w:rPr>
              <w:t>296 184 Kč</w:t>
            </w:r>
          </w:p>
        </w:tc>
      </w:tr>
    </w:tbl>
    <w:p>
      <w:pPr>
        <w:pStyle w:val="VchozA"/>
        <w:widowControl w:val="false"/>
        <w:numPr>
          <w:ilvl w:val="2"/>
          <w:numId w:val="78"/>
        </w:numPr>
        <w:spacing w:before="0" w:after="200"/>
        <w:ind w:left="690" w:hanging="330"/>
        <w:rPr/>
      </w:pPr>
      <w:r>
        <w:rPr/>
      </w:r>
    </w:p>
    <w:p>
      <w:pPr>
        <w:pStyle w:val="VchozA"/>
        <w:widowControl w:val="false"/>
        <w:spacing w:before="0" w:after="200"/>
        <w:ind w:left="851" w:hanging="0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numPr>
          <w:ilvl w:val="2"/>
          <w:numId w:val="4"/>
        </w:numPr>
        <w:spacing w:before="0" w:after="200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Provádění on-line monitoringu vč. zajištění přístupu do monitorovací</w:t>
      </w:r>
      <w:r>
        <w:rPr>
          <w:rStyle w:val="Hyperlink0"/>
          <w:rFonts w:ascii="Times New Roman" w:hAnsi="Times New Roman"/>
          <w:lang w:val="pt-PT"/>
        </w:rPr>
        <w:t>ho SW:</w:t>
      </w:r>
    </w:p>
    <w:tbl>
      <w:tblPr>
        <w:tblStyle w:val="TableNormal"/>
        <w:tblW w:w="6219" w:type="dxa"/>
        <w:jc w:val="left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4332"/>
        <w:gridCol w:w="1886"/>
      </w:tblGrid>
      <w:tr>
        <w:trPr>
          <w:trHeight w:val="251" w:hRule="atLeast"/>
        </w:trPr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cs-CZ" w:eastAsia="zh-CN" w:bidi="hi-IN"/>
              </w:rPr>
              <w:t>cena v Kč bez DPH / měsíc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VchozA"/>
              <w:widowControl w:val="false"/>
              <w:suppressAutoHyphens w:val="true"/>
              <w:spacing w:before="0" w:after="0"/>
              <w:jc w:val="right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cs-CZ" w:eastAsia="zh-CN" w:bidi="hi-IN"/>
              </w:rPr>
              <w:t>1 950 Kč</w:t>
            </w:r>
          </w:p>
        </w:tc>
      </w:tr>
      <w:tr>
        <w:trPr>
          <w:trHeight w:val="251" w:hRule="atLeast"/>
        </w:trPr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cs-CZ" w:eastAsia="zh-CN" w:bidi="hi-IN"/>
              </w:rPr>
              <w:t>výše DPH / měsíc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VchozA"/>
              <w:widowControl w:val="false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uppressAutoHyphens w:val="true"/>
              <w:spacing w:before="0" w:after="0"/>
              <w:jc w:val="right"/>
              <w:rPr/>
            </w:pPr>
            <w:r>
              <w:rPr>
                <w:rStyle w:val="Dn"/>
                <w:rFonts w:eastAsia="Arial Unicode MS" w:ascii="Times New Roman" w:hAnsi="Times New Roman"/>
                <w:kern w:val="2"/>
                <w:lang w:val="cs-CZ" w:eastAsia="zh-CN" w:bidi="hi-IN"/>
              </w:rPr>
              <w:t>21%</w:t>
            </w:r>
          </w:p>
        </w:tc>
      </w:tr>
      <w:tr>
        <w:trPr>
          <w:trHeight w:val="251" w:hRule="atLeast"/>
        </w:trPr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cs-CZ" w:eastAsia="zh-CN" w:bidi="hi-IN"/>
              </w:rPr>
              <w:t>cena v Kč včetně DPH / měsíc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VchozA"/>
              <w:widowControl w:val="false"/>
              <w:suppressAutoHyphens w:val="true"/>
              <w:spacing w:before="0" w:after="0"/>
              <w:jc w:val="right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cs-CZ" w:eastAsia="zh-CN" w:bidi="hi-IN"/>
              </w:rPr>
              <w:t>2 360 Kč</w:t>
            </w:r>
          </w:p>
        </w:tc>
      </w:tr>
    </w:tbl>
    <w:p>
      <w:pPr>
        <w:pStyle w:val="VchozA"/>
        <w:widowControl w:val="false"/>
        <w:numPr>
          <w:ilvl w:val="2"/>
          <w:numId w:val="79"/>
        </w:numPr>
        <w:spacing w:before="0" w:after="200"/>
        <w:ind w:left="690" w:hanging="330"/>
        <w:rPr/>
      </w:pPr>
      <w:r>
        <w:rPr/>
      </w:r>
    </w:p>
    <w:p>
      <w:pPr>
        <w:pStyle w:val="VchozA"/>
        <w:widowControl w:val="false"/>
        <w:spacing w:before="0" w:after="200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numPr>
          <w:ilvl w:val="1"/>
          <w:numId w:val="80"/>
        </w:numPr>
        <w:spacing w:before="0" w:after="20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Objednatel se zavazuje uhradit Poskytovateli cenu za poskytování Energetick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 xml:space="preserve">ho monitoringu následujícím způsobem: </w:t>
      </w:r>
    </w:p>
    <w:p>
      <w:pPr>
        <w:pStyle w:val="Text"/>
        <w:rPr>
          <w:rStyle w:val="Hyperlink0"/>
        </w:rPr>
      </w:pPr>
      <w:r>
        <w:rPr/>
      </w:r>
    </w:p>
    <w:p>
      <w:pPr>
        <w:pStyle w:val="VchozA"/>
        <w:widowControl w:val="false"/>
        <w:numPr>
          <w:ilvl w:val="0"/>
          <w:numId w:val="5"/>
        </w:numPr>
        <w:spacing w:before="0" w:after="20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 xml:space="preserve">jednorázová úhrada dle odst. </w:t>
      </w:r>
      <w:hyperlink w:anchor="Ref529978219">
        <w:r>
          <w:rPr>
            <w:rStyle w:val="Hyperlink0"/>
            <w:rFonts w:ascii="Times New Roman" w:hAnsi="Times New Roman"/>
          </w:rPr>
          <w:t>2.7</w:t>
        </w:r>
      </w:hyperlink>
      <w:r>
        <w:rPr>
          <w:rStyle w:val="Hyperlink0"/>
          <w:rFonts w:ascii="Times New Roman" w:hAnsi="Times New Roman"/>
        </w:rPr>
        <w:t xml:space="preserve"> pí</w:t>
      </w:r>
      <w:r>
        <w:rPr>
          <w:rStyle w:val="Hyperlink0"/>
          <w:rFonts w:ascii="Times New Roman" w:hAnsi="Times New Roman"/>
          <w:lang w:val="pt-PT"/>
        </w:rPr>
        <w:t>sm. a)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Smlouvy bude Objednatelem uhrazena oproti daňov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mu dokladu vystaven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mu ze strany Poskytovatele, přičemž Poskytovatel je oprávněn vystavit daňový doklad po dodávce a montáži technologie pro on-line odečet a přenos hodnot do centrálního syst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mu Poskytovatele a proškolení zaměstnanců Objednatele. Poskytovatel prohlašuje, že do takto dohodnut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ceny zahrnul vešker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potřebn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položky, jako jsou zejm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na práce s </w:t>
      </w:r>
      <w:r>
        <w:rPr>
          <w:rStyle w:val="Hyperlink0"/>
          <w:rFonts w:ascii="Times New Roman" w:hAnsi="Times New Roman"/>
          <w:lang w:val="es-ES_tradnl"/>
        </w:rPr>
        <w:t>instalac</w:t>
      </w:r>
      <w:r>
        <w:rPr>
          <w:rStyle w:val="Hyperlink0"/>
          <w:rFonts w:ascii="Times New Roman" w:hAnsi="Times New Roman"/>
        </w:rPr>
        <w:t>í monitorovacího zařízení, prvotní měření veškerých utilit a související úkony.</w:t>
      </w:r>
    </w:p>
    <w:p>
      <w:pPr>
        <w:pStyle w:val="VchozA"/>
        <w:widowControl w:val="false"/>
        <w:spacing w:before="0" w:after="20"/>
        <w:ind w:left="786" w:hanging="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numPr>
          <w:ilvl w:val="0"/>
          <w:numId w:val="5"/>
        </w:numPr>
        <w:spacing w:before="0" w:after="200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 xml:space="preserve">pravidelná měsíční úhrada dle odst. </w:t>
      </w:r>
      <w:hyperlink w:anchor="Ref529978219">
        <w:r>
          <w:rPr>
            <w:rStyle w:val="Hyperlink0"/>
            <w:rFonts w:ascii="Times New Roman" w:hAnsi="Times New Roman"/>
          </w:rPr>
          <w:t>2.7</w:t>
        </w:r>
      </w:hyperlink>
      <w:r>
        <w:rPr>
          <w:rStyle w:val="Hyperlink0"/>
          <w:rFonts w:ascii="Times New Roman" w:hAnsi="Times New Roman"/>
        </w:rPr>
        <w:t xml:space="preserve"> pí</w:t>
      </w:r>
      <w:r>
        <w:rPr>
          <w:rStyle w:val="Hyperlink0"/>
          <w:rFonts w:ascii="Times New Roman" w:hAnsi="Times New Roman"/>
          <w:lang w:val="pt-PT"/>
        </w:rPr>
        <w:t>sm. b)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Smlouvy bude Objednatelem hrazena oproti daňov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mu dokladu vystaven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mu ze strany Poskytovatele, přičemž Poskytovatel je oprávněn vystavit daňový doklad vždy po uplynutí pří</w:t>
      </w:r>
      <w:r>
        <w:rPr>
          <w:rStyle w:val="Hyperlink0"/>
          <w:rFonts w:ascii="Times New Roman" w:hAnsi="Times New Roman"/>
          <w:lang w:val="da-DK"/>
        </w:rPr>
        <w:t>slu</w:t>
      </w:r>
      <w:r>
        <w:rPr>
          <w:rStyle w:val="Hyperlink0"/>
          <w:rFonts w:ascii="Times New Roman" w:hAnsi="Times New Roman"/>
        </w:rPr>
        <w:t>šn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 xml:space="preserve">ho kalendářního měsíce, ve vztahu k němuž se úhrada vztahuje. </w:t>
      </w:r>
    </w:p>
    <w:p>
      <w:pPr>
        <w:pStyle w:val="VchozA"/>
        <w:widowControl w:val="false"/>
        <w:numPr>
          <w:ilvl w:val="1"/>
          <w:numId w:val="81"/>
        </w:numPr>
        <w:spacing w:before="0" w:after="20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Splatnost Poskytovatelem vystavený</w:t>
      </w:r>
      <w:r>
        <w:rPr>
          <w:rStyle w:val="Hyperlink0"/>
          <w:rFonts w:ascii="Times New Roman" w:hAnsi="Times New Roman"/>
          <w:lang w:val="sv-SE"/>
        </w:rPr>
        <w:t xml:space="preserve">ch faktur </w:t>
      </w:r>
      <w:r>
        <w:rPr>
          <w:rStyle w:val="Hyperlink0"/>
          <w:rFonts w:ascii="Times New Roman" w:hAnsi="Times New Roman"/>
        </w:rPr>
        <w:t>činí 14 kalendářních dnů od data jejich vystavení.</w:t>
      </w:r>
    </w:p>
    <w:p>
      <w:pPr>
        <w:pStyle w:val="VchozA"/>
        <w:widowControl w:val="false"/>
        <w:tabs>
          <w:tab w:val="clear" w:pos="720"/>
          <w:tab w:val="left" w:pos="393" w:leader="none"/>
        </w:tabs>
        <w:spacing w:before="0" w:after="2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numPr>
          <w:ilvl w:val="1"/>
          <w:numId w:val="82"/>
        </w:numPr>
        <w:spacing w:before="0" w:after="20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Faktury vystaven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Poskytovatelem musí splňovat zá</w:t>
      </w:r>
      <w:r>
        <w:rPr>
          <w:rStyle w:val="Hyperlink0"/>
          <w:rFonts w:ascii="Times New Roman" w:hAnsi="Times New Roman"/>
          <w:lang w:val="de-DE"/>
        </w:rPr>
        <w:t>konn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náležitosti daňov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 xml:space="preserve">ho dokladu. </w:t>
      </w:r>
    </w:p>
    <w:p>
      <w:pPr>
        <w:pStyle w:val="ListParagraph"/>
        <w:rPr>
          <w:rStyle w:val="Hyperlink2"/>
        </w:rPr>
      </w:pPr>
      <w:r>
        <w:rPr/>
      </w:r>
    </w:p>
    <w:p>
      <w:pPr>
        <w:pStyle w:val="VchozA"/>
        <w:widowControl w:val="false"/>
        <w:numPr>
          <w:ilvl w:val="1"/>
          <w:numId w:val="83"/>
        </w:numPr>
        <w:spacing w:before="0" w:after="20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Povinnost Objednatele zaplatit cenu dle Smlouvy bude splněna dnem připsání fakturované částky na bankovní účet Poskytovatele.</w:t>
      </w:r>
    </w:p>
    <w:p>
      <w:pPr>
        <w:pStyle w:val="ListParagraph"/>
        <w:rPr>
          <w:rStyle w:val="Hyperlink2"/>
        </w:rPr>
      </w:pPr>
      <w:r>
        <w:rPr/>
      </w:r>
    </w:p>
    <w:p>
      <w:pPr>
        <w:pStyle w:val="VchozA"/>
        <w:widowControl w:val="false"/>
        <w:numPr>
          <w:ilvl w:val="1"/>
          <w:numId w:val="84"/>
        </w:numPr>
        <w:spacing w:before="0" w:after="20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Ocitne-li se Objednatel v prodlení s úhradou ceny dle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Smlouvy anebo její části, je Poskytovatel oprávněn účtovat Objednateli smluvní pokutu ve výši 0,1 % z dlužné částky za každý den prodlení. Uhrazením uveden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 xml:space="preserve">smluvní pokuty není </w:t>
      </w:r>
      <w:r>
        <w:rPr>
          <w:rStyle w:val="Hyperlink0"/>
          <w:rFonts w:ascii="Times New Roman" w:hAnsi="Times New Roman"/>
          <w:lang w:val="it-IT"/>
        </w:rPr>
        <w:t>dot</w:t>
      </w:r>
      <w:r>
        <w:rPr>
          <w:rStyle w:val="Hyperlink0"/>
          <w:rFonts w:ascii="Times New Roman" w:hAnsi="Times New Roman"/>
        </w:rPr>
        <w:t>čeno právo Poskytovatele na náhradu škody, a to v pln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 xml:space="preserve">výši.  </w:t>
      </w:r>
    </w:p>
    <w:p>
      <w:pPr>
        <w:pStyle w:val="VchozA"/>
        <w:widowControl w:val="false"/>
        <w:spacing w:before="0" w:after="60"/>
        <w:jc w:val="center"/>
        <w:rPr>
          <w:rStyle w:val="Dn"/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VchozA"/>
        <w:widowControl w:val="false"/>
        <w:spacing w:before="0" w:after="60"/>
        <w:jc w:val="center"/>
        <w:rPr>
          <w:rStyle w:val="Dn"/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VchozA"/>
        <w:widowControl w:val="false"/>
        <w:numPr>
          <w:ilvl w:val="0"/>
          <w:numId w:val="85"/>
        </w:numPr>
        <w:rPr>
          <w:rFonts w:ascii="Times New Roman" w:hAnsi="Times New Roman"/>
          <w:b/>
          <w:b/>
          <w:bCs/>
        </w:rPr>
      </w:pPr>
      <w:r>
        <w:rPr>
          <w:rStyle w:val="Dn"/>
          <w:rFonts w:ascii="Times New Roman" w:hAnsi="Times New Roman"/>
          <w:b/>
          <w:bCs/>
          <w:caps/>
        </w:rPr>
        <w:t>Kontaktní osoby</w:t>
      </w:r>
    </w:p>
    <w:p>
      <w:pPr>
        <w:pStyle w:val="VchozA"/>
        <w:widowControl w:val="false"/>
        <w:numPr>
          <w:ilvl w:val="1"/>
          <w:numId w:val="86"/>
        </w:numPr>
        <w:spacing w:before="0" w:after="20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Kontaktními osobami smluvních stran dle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Smlouvy ve věcech technických jsou:</w:t>
      </w:r>
    </w:p>
    <w:p>
      <w:pPr>
        <w:pStyle w:val="VchozA"/>
        <w:widowControl w:val="false"/>
        <w:spacing w:before="0" w:after="20"/>
        <w:ind w:left="426" w:hanging="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numPr>
          <w:ilvl w:val="2"/>
          <w:numId w:val="87"/>
        </w:numPr>
        <w:spacing w:before="0" w:after="20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Kontaktní osoby Poskytovatele:</w:t>
      </w:r>
    </w:p>
    <w:p>
      <w:pPr>
        <w:pStyle w:val="VchozA"/>
        <w:widowControl w:val="false"/>
        <w:tabs>
          <w:tab w:val="clear" w:pos="720"/>
          <w:tab w:val="left" w:pos="567" w:leader="none"/>
          <w:tab w:val="left" w:pos="907" w:leader="none"/>
        </w:tabs>
        <w:spacing w:before="0" w:after="20"/>
        <w:ind w:left="360" w:hanging="0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Normal"/>
        <w:tblW w:w="9575" w:type="dxa"/>
        <w:jc w:val="left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965"/>
        <w:gridCol w:w="4159"/>
        <w:gridCol w:w="3451"/>
      </w:tblGrid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cs-CZ" w:eastAsia="zh-CN" w:bidi="hi-IN"/>
              </w:rPr>
              <w:t>eskalační úroveň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</w:tr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cs-CZ" w:eastAsia="zh-CN" w:bidi="hi-IN"/>
              </w:rPr>
              <w:t>1.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it-IT" w:eastAsia="zh-CN" w:bidi="hi-IN"/>
              </w:rPr>
              <w:t>dispe</w:t>
            </w: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cs-CZ" w:eastAsia="zh-CN" w:bidi="hi-IN"/>
              </w:rPr>
              <w:t>čersk</w:t>
            </w: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fr-FR" w:eastAsia="zh-CN" w:bidi="hi-IN"/>
              </w:rPr>
              <w:t xml:space="preserve">é </w:t>
            </w: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cs-CZ" w:eastAsia="zh-CN" w:bidi="hi-IN"/>
              </w:rPr>
              <w:t xml:space="preserve">pracoviště </w:t>
            </w: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en-US" w:eastAsia="zh-CN" w:bidi="hi-IN"/>
              </w:rPr>
              <w:t>non-stop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</w:tr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cs-CZ" w:eastAsia="zh-CN" w:bidi="hi-IN"/>
              </w:rPr>
              <w:t>telefon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cs-CZ" w:eastAsia="zh-CN" w:bidi="hi-IN"/>
              </w:rPr>
              <w:t>+420 371 431 101</w:t>
            </w:r>
          </w:p>
        </w:tc>
      </w:tr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16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en-US" w:eastAsia="zh-CN" w:bidi="hi-IN"/>
              </w:rPr>
              <w:t>email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pt-PT" w:eastAsia="zh-CN" w:bidi="hi-IN"/>
              </w:rPr>
              <w:t>dispecink@data-ing.cz</w:t>
            </w:r>
          </w:p>
        </w:tc>
      </w:tr>
      <w:tr>
        <w:trPr>
          <w:trHeight w:val="251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cs-CZ" w:eastAsia="zh-CN" w:bidi="hi-IN"/>
              </w:rPr>
              <w:t>2.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cs-CZ" w:eastAsia="zh-CN" w:bidi="hi-IN"/>
              </w:rPr>
              <w:t>Manaž</w:t>
            </w: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it-IT" w:eastAsia="zh-CN" w:bidi="hi-IN"/>
              </w:rPr>
              <w:t>er dispe</w:t>
            </w: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cs-CZ" w:eastAsia="zh-CN" w:bidi="hi-IN"/>
              </w:rPr>
              <w:t>čersk</w:t>
            </w: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fr-FR" w:eastAsia="zh-CN" w:bidi="hi-IN"/>
              </w:rPr>
              <w:t>é</w:t>
            </w: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cs-CZ" w:eastAsia="zh-CN" w:bidi="hi-IN"/>
              </w:rPr>
              <w:t>ho pracoviště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da-DK" w:eastAsia="zh-CN" w:bidi="hi-IN"/>
              </w:rPr>
              <w:t>Kamil Pe</w:t>
            </w: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cs-CZ" w:eastAsia="zh-CN" w:bidi="hi-IN"/>
              </w:rPr>
              <w:t xml:space="preserve">šťák </w:t>
            </w:r>
          </w:p>
        </w:tc>
      </w:tr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cs-CZ" w:eastAsia="zh-CN" w:bidi="hi-IN"/>
              </w:rPr>
              <w:t>telefon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cs-CZ" w:eastAsia="zh-CN" w:bidi="hi-IN"/>
              </w:rPr>
              <w:t>+420</w:t>
            </w:r>
            <w:r>
              <w:rPr>
                <w:rStyle w:val="Dn"/>
                <w:rFonts w:eastAsia="Arial Unicode MS" w:ascii="Times New Roman" w:hAnsi="Times New Roman"/>
                <w:kern w:val="2"/>
                <w:lang w:val="cs-CZ" w:eastAsia="zh-CN" w:bidi="hi-IN"/>
              </w:rPr>
              <w:t> 604 953 882</w:t>
            </w:r>
          </w:p>
        </w:tc>
      </w:tr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16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en-US" w:eastAsia="zh-CN" w:bidi="hi-IN"/>
              </w:rPr>
              <w:t>email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cs-CZ" w:eastAsia="zh-CN" w:bidi="hi-IN"/>
              </w:rPr>
              <w:t>kamil.pestak@data-ing.cz</w:t>
            </w:r>
          </w:p>
        </w:tc>
      </w:tr>
      <w:tr>
        <w:trPr>
          <w:trHeight w:val="251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cs-CZ" w:eastAsia="zh-CN" w:bidi="hi-IN"/>
              </w:rPr>
              <w:t>3.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cs-CZ" w:eastAsia="zh-CN" w:bidi="hi-IN"/>
              </w:rPr>
              <w:t>Manažer technick</w:t>
            </w: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fr-FR" w:eastAsia="zh-CN" w:bidi="hi-IN"/>
              </w:rPr>
              <w:t>é</w:t>
            </w: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cs-CZ" w:eastAsia="zh-CN" w:bidi="hi-IN"/>
              </w:rPr>
              <w:t>ho oddělení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kern w:val="2"/>
                <w:lang w:val="cs-CZ" w:eastAsia="zh-CN" w:bidi="hi-IN"/>
              </w:rPr>
              <w:t>Lenka Kazecká</w:t>
            </w:r>
          </w:p>
        </w:tc>
      </w:tr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cs-CZ" w:eastAsia="zh-CN" w:bidi="hi-IN"/>
              </w:rPr>
              <w:t>telefon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Text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cs="Arial Unicode MS"/>
                <w:kern w:val="0"/>
                <w:lang w:val="cs-CZ" w:eastAsia="zh-CN" w:bidi="hi-IN"/>
              </w:rPr>
              <w:t>+420 605 242 655</w:t>
            </w:r>
          </w:p>
        </w:tc>
      </w:tr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16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en-US" w:eastAsia="zh-CN" w:bidi="hi-IN"/>
              </w:rPr>
              <w:t>email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hyperlink r:id="rId2">
              <w:r>
                <w:rPr>
                  <w:rStyle w:val="Hyperlink3"/>
                  <w:rFonts w:eastAsia="Arial Unicode MS"/>
                  <w:kern w:val="0"/>
                  <w:lang w:val="cs-CZ" w:eastAsia="zh-CN" w:bidi="hi-IN"/>
                </w:rPr>
                <w:t>lenka.kazecka@data-ing.cz</w:t>
              </w:r>
            </w:hyperlink>
          </w:p>
        </w:tc>
      </w:tr>
      <w:tr>
        <w:trPr>
          <w:trHeight w:val="251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cs-CZ" w:eastAsia="zh-CN" w:bidi="hi-IN"/>
              </w:rPr>
              <w:t>4.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cs-CZ" w:eastAsia="zh-CN" w:bidi="hi-IN"/>
              </w:rPr>
              <w:t>Jednatel společnosti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cs-CZ" w:eastAsia="zh-CN" w:bidi="hi-IN"/>
              </w:rPr>
              <w:t>Lenka Kazecká</w:t>
            </w:r>
          </w:p>
        </w:tc>
      </w:tr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cs-CZ" w:eastAsia="zh-CN" w:bidi="hi-IN"/>
              </w:rPr>
              <w:t>telefon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cs-CZ" w:eastAsia="zh-CN" w:bidi="hi-IN"/>
              </w:rPr>
              <w:t>+420 605 242 655</w:t>
            </w:r>
          </w:p>
        </w:tc>
      </w:tr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en-US" w:eastAsia="zh-CN" w:bidi="hi-IN"/>
              </w:rPr>
              <w:t>email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cs-CZ" w:eastAsia="zh-CN" w:bidi="hi-IN"/>
              </w:rPr>
              <w:t>lenka.kazecka@data-ing.cz</w:t>
            </w:r>
          </w:p>
        </w:tc>
      </w:tr>
    </w:tbl>
    <w:p>
      <w:pPr>
        <w:pStyle w:val="VchozA"/>
        <w:widowControl w:val="false"/>
        <w:tabs>
          <w:tab w:val="clear" w:pos="720"/>
          <w:tab w:val="left" w:pos="567" w:leader="none"/>
          <w:tab w:val="left" w:pos="907" w:leader="none"/>
        </w:tabs>
        <w:spacing w:before="0" w:after="20"/>
        <w:ind w:left="81" w:hanging="81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tabs>
          <w:tab w:val="clear" w:pos="720"/>
          <w:tab w:val="left" w:pos="567" w:leader="none"/>
          <w:tab w:val="left" w:pos="907" w:leader="none"/>
        </w:tabs>
        <w:spacing w:before="0" w:after="20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tabs>
          <w:tab w:val="clear" w:pos="720"/>
          <w:tab w:val="left" w:pos="567" w:leader="none"/>
          <w:tab w:val="left" w:pos="907" w:leader="none"/>
        </w:tabs>
        <w:spacing w:before="0" w:after="20"/>
        <w:ind w:left="1470" w:hanging="0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numPr>
          <w:ilvl w:val="2"/>
          <w:numId w:val="88"/>
        </w:numPr>
        <w:spacing w:before="0" w:after="20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 xml:space="preserve">Kontaktní osoby Objednatele a eskalační </w:t>
      </w:r>
      <w:r>
        <w:rPr>
          <w:rStyle w:val="Hyperlink0"/>
          <w:rFonts w:ascii="Times New Roman" w:hAnsi="Times New Roman"/>
          <w:lang w:val="de-DE"/>
        </w:rPr>
        <w:t>sch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ma:</w:t>
        <w:tab/>
      </w:r>
    </w:p>
    <w:p>
      <w:pPr>
        <w:pStyle w:val="VchozA"/>
        <w:widowControl w:val="false"/>
        <w:spacing w:before="0" w:after="20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Normal"/>
        <w:tblW w:w="9575" w:type="dxa"/>
        <w:jc w:val="left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965"/>
        <w:gridCol w:w="4159"/>
        <w:gridCol w:w="3451"/>
      </w:tblGrid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cs-CZ" w:eastAsia="zh-CN" w:bidi="hi-IN"/>
              </w:rPr>
              <w:t>eskalační úroveň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</w:tr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cs-CZ" w:eastAsia="zh-CN" w:bidi="hi-IN"/>
              </w:rPr>
              <w:t>1.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rStyle w:val="Dn"/>
                <w:rFonts w:eastAsia="Arial Unicode MS" w:ascii="Times New Roman" w:hAnsi="Times New Roman"/>
                <w:color w:val="auto"/>
                <w:kern w:val="0"/>
                <w:lang w:val="cs-CZ" w:eastAsia="zh-CN" w:bidi="hi-IN"/>
              </w:rPr>
              <w:t>Martina Müllerová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Text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rStyle w:val="Dn"/>
                <w:rFonts w:cs="Times New Roman"/>
                <w:color w:val="auto"/>
                <w:kern w:val="0"/>
                <w:lang w:val="en-US" w:eastAsia="zh-CN" w:bidi="hi-IN"/>
              </w:rPr>
              <w:t xml:space="preserve">Hospodářka školy </w:t>
            </w:r>
          </w:p>
        </w:tc>
      </w:tr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rStyle w:val="Dn"/>
                <w:rFonts w:eastAsia="Arial Unicode MS" w:ascii="Times New Roman" w:hAnsi="Times New Roman"/>
                <w:color w:val="auto"/>
                <w:kern w:val="0"/>
                <w:lang w:val="cs-CZ" w:eastAsia="zh-CN" w:bidi="hi-IN"/>
              </w:rPr>
              <w:t>telefon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Text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rStyle w:val="Dn"/>
                <w:rFonts w:eastAsia="Arial Unicode MS" w:cs="Arial Unicode MS"/>
                <w:color w:val="auto"/>
                <w:kern w:val="0"/>
                <w:lang w:val="en-US" w:eastAsia="zh-CN" w:bidi="hi-IN"/>
              </w:rPr>
              <w:t>376 313 556</w:t>
            </w:r>
          </w:p>
        </w:tc>
      </w:tr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160"/>
              <w:jc w:val="left"/>
              <w:rPr>
                <w:color w:val="auto"/>
              </w:rPr>
            </w:pPr>
            <w:r>
              <w:rPr>
                <w:rStyle w:val="Dn"/>
                <w:rFonts w:eastAsia="Arial Unicode MS" w:ascii="Times New Roman" w:hAnsi="Times New Roman"/>
                <w:color w:val="auto"/>
                <w:kern w:val="0"/>
                <w:lang w:val="en-US" w:eastAsia="zh-CN" w:bidi="hi-IN"/>
              </w:rPr>
              <w:t>email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Text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rStyle w:val="Dn"/>
                <w:rFonts w:eastAsia="Arial Unicode MS" w:cs="Arial Unicode MS"/>
                <w:color w:val="auto"/>
                <w:kern w:val="0"/>
                <w:lang w:val="en-US" w:eastAsia="zh-CN" w:bidi="hi-IN"/>
              </w:rPr>
              <w:t>mullerova.martina@oakt.cz</w:t>
            </w:r>
          </w:p>
        </w:tc>
      </w:tr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cs-CZ" w:eastAsia="zh-CN" w:bidi="hi-IN"/>
              </w:rPr>
              <w:t>2.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rStyle w:val="Dn"/>
                <w:rFonts w:eastAsia="Arial Unicode MS" w:ascii="Times New Roman" w:hAnsi="Times New Roman"/>
                <w:color w:val="auto"/>
                <w:kern w:val="0"/>
                <w:lang w:val="cs-CZ" w:eastAsia="zh-CN" w:bidi="hi-IN"/>
              </w:rPr>
              <w:t>Josef Kadera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Text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rStyle w:val="Dn"/>
                <w:rFonts w:cs="Times New Roman"/>
                <w:color w:val="auto"/>
                <w:kern w:val="0"/>
                <w:lang w:val="en-US" w:eastAsia="zh-CN" w:bidi="hi-IN"/>
              </w:rPr>
              <w:t>Školník, údržbář</w:t>
            </w:r>
          </w:p>
        </w:tc>
      </w:tr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rStyle w:val="Dn"/>
                <w:rFonts w:eastAsia="Arial Unicode MS" w:ascii="Times New Roman" w:hAnsi="Times New Roman"/>
                <w:color w:val="auto"/>
                <w:kern w:val="0"/>
                <w:lang w:val="cs-CZ" w:eastAsia="zh-CN" w:bidi="hi-IN"/>
              </w:rPr>
              <w:t>telefon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Text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rStyle w:val="Dn"/>
                <w:rFonts w:eastAsia="Arial Unicode MS" w:cs="Arial Unicode MS"/>
                <w:color w:val="auto"/>
                <w:kern w:val="0"/>
                <w:lang w:val="en-US" w:eastAsia="zh-CN" w:bidi="hi-IN"/>
              </w:rPr>
              <w:t>376 313 557</w:t>
            </w:r>
          </w:p>
        </w:tc>
      </w:tr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160"/>
              <w:jc w:val="left"/>
              <w:rPr>
                <w:color w:val="auto"/>
              </w:rPr>
            </w:pPr>
            <w:r>
              <w:rPr>
                <w:rStyle w:val="Dn"/>
                <w:rFonts w:eastAsia="Arial Unicode MS" w:ascii="Times New Roman" w:hAnsi="Times New Roman"/>
                <w:color w:val="auto"/>
                <w:kern w:val="0"/>
                <w:lang w:val="en-US" w:eastAsia="zh-CN" w:bidi="hi-IN"/>
              </w:rPr>
              <w:t>email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Text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rStyle w:val="Dn"/>
                <w:rFonts w:eastAsia="Arial Unicode MS" w:cs="Arial Unicode MS"/>
                <w:color w:val="auto"/>
                <w:kern w:val="0"/>
                <w:lang w:val="en-US" w:eastAsia="zh-CN" w:bidi="hi-IN"/>
              </w:rPr>
              <w:t>kadera.josef@szsklatovy.cz</w:t>
            </w:r>
          </w:p>
        </w:tc>
      </w:tr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cs-CZ" w:eastAsia="zh-CN" w:bidi="hi-IN"/>
              </w:rPr>
              <w:t>3.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rStyle w:val="Dn"/>
                <w:rFonts w:eastAsia="Arial Unicode MS" w:ascii="Times New Roman" w:hAnsi="Times New Roman"/>
                <w:color w:val="auto"/>
                <w:kern w:val="0"/>
                <w:lang w:val="cs-CZ" w:eastAsia="zh-CN" w:bidi="hi-IN"/>
              </w:rPr>
              <w:t>Mgr. Ondřej Šindelář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Text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rStyle w:val="Dn"/>
                <w:rFonts w:cs="Times New Roman"/>
                <w:color w:val="auto"/>
                <w:kern w:val="0"/>
                <w:lang w:val="en-US" w:eastAsia="zh-CN" w:bidi="hi-IN"/>
              </w:rPr>
              <w:t>IT správce</w:t>
            </w:r>
          </w:p>
        </w:tc>
      </w:tr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rStyle w:val="Dn"/>
                <w:rFonts w:eastAsia="Arial Unicode MS" w:ascii="Times New Roman" w:hAnsi="Times New Roman"/>
                <w:color w:val="auto"/>
                <w:kern w:val="0"/>
                <w:lang w:val="cs-CZ" w:eastAsia="zh-CN" w:bidi="hi-IN"/>
              </w:rPr>
              <w:t>telefon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Text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rStyle w:val="Dn"/>
                <w:rFonts w:eastAsia="Arial Unicode MS" w:cs="Arial Unicode MS"/>
                <w:color w:val="auto"/>
                <w:kern w:val="0"/>
                <w:lang w:val="en-US" w:eastAsia="zh-CN" w:bidi="hi-IN"/>
              </w:rPr>
              <w:t>376 313 556</w:t>
            </w:r>
          </w:p>
        </w:tc>
      </w:tr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rStyle w:val="Dn"/>
                <w:rFonts w:eastAsia="Arial Unicode MS" w:ascii="Times New Roman" w:hAnsi="Times New Roman"/>
                <w:color w:val="auto"/>
                <w:kern w:val="0"/>
                <w:lang w:val="en-US" w:eastAsia="zh-CN" w:bidi="hi-IN"/>
              </w:rPr>
              <w:t>email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Text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rStyle w:val="Dn"/>
                <w:rFonts w:eastAsia="Arial Unicode MS" w:cs="Arial Unicode MS"/>
                <w:color w:val="auto"/>
                <w:kern w:val="0"/>
                <w:lang w:val="en-US" w:eastAsia="zh-CN" w:bidi="hi-IN"/>
              </w:rPr>
              <w:t>sindelar.ondrej@oakt.cz</w:t>
            </w:r>
          </w:p>
        </w:tc>
      </w:tr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kern w:val="2"/>
                <w:lang w:val="cs-CZ" w:eastAsia="zh-CN" w:bidi="hi-IN"/>
              </w:rPr>
              <w:t>4.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rStyle w:val="Dn"/>
                <w:rFonts w:eastAsia="Arial Unicode MS" w:ascii="Times New Roman" w:hAnsi="Times New Roman"/>
                <w:color w:val="auto"/>
                <w:kern w:val="0"/>
                <w:lang w:val="cs-CZ" w:eastAsia="zh-CN" w:bidi="hi-IN"/>
              </w:rPr>
              <w:t>Ing. Soňa Rabušicová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  <w:t>Ředitelka školy</w:t>
            </w:r>
          </w:p>
        </w:tc>
      </w:tr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Text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rStyle w:val="Dn"/>
                <w:rFonts w:eastAsia="Arial Unicode MS" w:cs="Arial Unicode MS"/>
                <w:color w:val="auto"/>
                <w:kern w:val="0"/>
                <w:lang w:val="cs-CZ" w:eastAsia="zh-CN" w:bidi="hi-IN"/>
              </w:rPr>
              <w:t>telefon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Text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rStyle w:val="Dn"/>
                <w:rFonts w:eastAsia="Arial Unicode MS" w:cs="Arial Unicode MS"/>
                <w:color w:val="auto"/>
                <w:kern w:val="0"/>
                <w:lang w:val="en-US" w:eastAsia="zh-CN" w:bidi="hi-IN"/>
              </w:rPr>
              <w:t>376 313 551</w:t>
            </w:r>
          </w:p>
        </w:tc>
      </w:tr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Text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rStyle w:val="Dn"/>
                <w:rFonts w:eastAsia="Arial Unicode MS" w:cs="Arial Unicode MS"/>
                <w:color w:val="auto"/>
                <w:kern w:val="0"/>
                <w:lang w:val="en-US" w:eastAsia="zh-CN" w:bidi="hi-IN"/>
              </w:rPr>
              <w:t>email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Text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rStyle w:val="Dn"/>
                <w:rFonts w:eastAsia="Arial Unicode MS" w:cs="Arial Unicode MS"/>
                <w:color w:val="auto"/>
                <w:kern w:val="0"/>
                <w:lang w:val="en-US" w:eastAsia="zh-CN" w:bidi="hi-IN"/>
              </w:rPr>
              <w:t>rabusicova.sona@oakt.cz</w:t>
            </w:r>
          </w:p>
        </w:tc>
      </w:tr>
    </w:tbl>
    <w:p>
      <w:pPr>
        <w:pStyle w:val="VchozA"/>
        <w:widowControl w:val="false"/>
        <w:spacing w:before="0" w:after="20"/>
        <w:ind w:left="81" w:hanging="81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20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120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numPr>
          <w:ilvl w:val="1"/>
          <w:numId w:val="89"/>
        </w:numPr>
        <w:spacing w:before="0" w:after="20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Kontaktními osobami smluvních stran dle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Smlouvy pro ostatní věci jsou:</w:t>
      </w:r>
    </w:p>
    <w:p>
      <w:pPr>
        <w:pStyle w:val="VchozA"/>
        <w:widowControl w:val="false"/>
        <w:spacing w:before="0" w:after="20"/>
        <w:ind w:left="426" w:hanging="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numPr>
          <w:ilvl w:val="2"/>
          <w:numId w:val="90"/>
        </w:numPr>
        <w:spacing w:before="0" w:after="20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 xml:space="preserve"> </w:t>
      </w:r>
      <w:r>
        <w:rPr>
          <w:rStyle w:val="Hyperlink0"/>
          <w:rFonts w:ascii="Times New Roman" w:hAnsi="Times New Roman"/>
        </w:rPr>
        <w:t>Za Poskytovatele</w:t>
      </w:r>
    </w:p>
    <w:p>
      <w:pPr>
        <w:pStyle w:val="VchozA"/>
        <w:widowControl w:val="false"/>
        <w:spacing w:before="0" w:after="2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Normal"/>
        <w:tblW w:w="9575" w:type="dxa"/>
        <w:jc w:val="left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965"/>
        <w:gridCol w:w="4159"/>
        <w:gridCol w:w="3451"/>
      </w:tblGrid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</w:tr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cs-CZ" w:eastAsia="zh-CN" w:bidi="hi-IN"/>
              </w:rPr>
              <w:t>1.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b/>
                <w:bCs/>
                <w:kern w:val="2"/>
                <w:lang w:val="cs-CZ" w:eastAsia="zh-CN" w:bidi="hi-IN"/>
              </w:rPr>
              <w:t>Obchodní kontakt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Text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cs="Arial Unicode MS"/>
                <w:kern w:val="0"/>
                <w:lang w:val="cs-CZ" w:eastAsia="zh-CN" w:bidi="hi-IN"/>
              </w:rPr>
              <w:t>Petr Hutta</w:t>
            </w:r>
          </w:p>
        </w:tc>
      </w:tr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cs-CZ" w:eastAsia="zh-CN" w:bidi="hi-IN"/>
              </w:rPr>
              <w:t>telefon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Text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cs="Arial Unicode MS"/>
                <w:kern w:val="0"/>
                <w:lang w:val="cs-CZ" w:eastAsia="zh-CN" w:bidi="hi-IN"/>
              </w:rPr>
              <w:t>+420 725 859 399</w:t>
            </w:r>
          </w:p>
        </w:tc>
      </w:tr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16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en-US" w:eastAsia="zh-CN" w:bidi="hi-IN"/>
              </w:rPr>
              <w:t>email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Text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cs="Arial Unicode MS"/>
                <w:kern w:val="0"/>
                <w:lang w:val="cs-CZ" w:eastAsia="zh-CN" w:bidi="hi-IN"/>
              </w:rPr>
              <w:t>petr.hutta@data-ing.cz</w:t>
            </w:r>
          </w:p>
        </w:tc>
      </w:tr>
    </w:tbl>
    <w:p>
      <w:pPr>
        <w:pStyle w:val="VchozA"/>
        <w:widowControl w:val="false"/>
        <w:spacing w:before="0" w:after="20"/>
        <w:ind w:left="81" w:hanging="81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2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2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2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2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2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2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2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numPr>
          <w:ilvl w:val="2"/>
          <w:numId w:val="91"/>
        </w:numPr>
        <w:spacing w:before="0" w:after="20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Za Objednatele</w:t>
      </w:r>
    </w:p>
    <w:p>
      <w:pPr>
        <w:pStyle w:val="VchozA"/>
        <w:widowControl w:val="false"/>
        <w:spacing w:before="0" w:after="2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Normal"/>
        <w:tblW w:w="9575" w:type="dxa"/>
        <w:jc w:val="left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965"/>
        <w:gridCol w:w="4159"/>
        <w:gridCol w:w="3451"/>
      </w:tblGrid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</w:tr>
      <w:tr>
        <w:trPr>
          <w:trHeight w:val="251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cs-CZ" w:eastAsia="zh-CN" w:bidi="hi-IN"/>
              </w:rPr>
              <w:t>1.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b/>
                <w:bCs/>
                <w:kern w:val="2"/>
                <w:lang w:val="cs-CZ" w:eastAsia="zh-CN" w:bidi="hi-IN"/>
              </w:rPr>
              <w:t xml:space="preserve"> </w:t>
            </w:r>
            <w:r>
              <w:rPr>
                <w:rStyle w:val="Dn"/>
                <w:rFonts w:eastAsia="Arial Unicode MS" w:ascii="Times New Roman" w:hAnsi="Times New Roman"/>
                <w:b/>
                <w:bCs/>
                <w:kern w:val="2"/>
                <w:lang w:val="cs-CZ" w:eastAsia="zh-CN" w:bidi="hi-IN"/>
              </w:rPr>
              <w:t xml:space="preserve">Fakturace 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uppressAutoHyphens w:val="true"/>
              <w:spacing w:before="0" w:after="20"/>
              <w:jc w:val="left"/>
              <w:rPr>
                <w:color w:val="auto"/>
              </w:rPr>
            </w:pPr>
            <w:r>
              <w:rPr>
                <w:rStyle w:val="Dn"/>
                <w:rFonts w:eastAsia="Arial Unicode MS" w:ascii="Times New Roman" w:hAnsi="Times New Roman"/>
                <w:color w:val="auto"/>
                <w:kern w:val="0"/>
                <w:lang w:val="cs-CZ" w:eastAsia="zh-CN" w:bidi="hi-IN"/>
              </w:rPr>
              <w:t>Květoslava Rubášová</w:t>
            </w:r>
          </w:p>
        </w:tc>
      </w:tr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cs-CZ" w:eastAsia="zh-CN" w:bidi="hi-IN"/>
              </w:rPr>
              <w:t>telefon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uppressAutoHyphens w:val="true"/>
              <w:spacing w:before="0" w:after="20"/>
              <w:jc w:val="left"/>
              <w:rPr>
                <w:color w:val="auto"/>
              </w:rPr>
            </w:pPr>
            <w:r>
              <w:rPr>
                <w:rStyle w:val="Dn"/>
                <w:rFonts w:eastAsia="Arial Unicode MS" w:ascii="Times New Roman" w:hAnsi="Times New Roman"/>
                <w:color w:val="auto"/>
                <w:kern w:val="0"/>
                <w:lang w:val="cs-CZ" w:eastAsia="zh-CN" w:bidi="hi-IN"/>
              </w:rPr>
              <w:t>376313556</w:t>
            </w:r>
          </w:p>
        </w:tc>
      </w:tr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16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en-US" w:eastAsia="zh-CN" w:bidi="hi-IN"/>
              </w:rPr>
              <w:t>email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uppressAutoHyphens w:val="true"/>
              <w:spacing w:before="0" w:after="20"/>
              <w:jc w:val="left"/>
              <w:rPr>
                <w:color w:val="auto"/>
              </w:rPr>
            </w:pPr>
            <w:r>
              <w:rPr>
                <w:rStyle w:val="Dn"/>
                <w:rFonts w:eastAsia="Arial Unicode MS" w:ascii="Times New Roman" w:hAnsi="Times New Roman"/>
                <w:color w:val="auto"/>
                <w:kern w:val="0"/>
                <w:lang w:val="cs-CZ" w:eastAsia="zh-CN" w:bidi="hi-IN"/>
              </w:rPr>
              <w:t>obchodniakademiekt@oakt.cz</w:t>
            </w:r>
          </w:p>
        </w:tc>
      </w:tr>
      <w:tr>
        <w:trPr>
          <w:trHeight w:val="351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b/>
                <w:bCs/>
                <w:kern w:val="2"/>
                <w:lang w:val="cs-CZ" w:eastAsia="zh-CN" w:bidi="hi-IN"/>
              </w:rPr>
              <w:t>2.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16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b/>
                <w:bCs/>
                <w:kern w:val="2"/>
                <w:lang w:val="cs-CZ" w:eastAsia="zh-CN" w:bidi="hi-IN"/>
              </w:rPr>
              <w:t>Kontakt pro záruční servisní činnosti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uppressAutoHyphens w:val="true"/>
              <w:spacing w:before="0" w:after="20"/>
              <w:jc w:val="left"/>
              <w:rPr>
                <w:color w:val="auto"/>
              </w:rPr>
            </w:pPr>
            <w:r>
              <w:rPr>
                <w:rStyle w:val="Dn"/>
                <w:rFonts w:eastAsia="Arial Unicode MS" w:ascii="Times New Roman" w:hAnsi="Times New Roman"/>
                <w:color w:val="auto"/>
                <w:kern w:val="0"/>
                <w:lang w:val="cs-CZ" w:eastAsia="zh-CN" w:bidi="hi-IN"/>
              </w:rPr>
              <w:t>Josef Kadera</w:t>
            </w:r>
          </w:p>
        </w:tc>
      </w:tr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cs-CZ" w:eastAsia="zh-CN" w:bidi="hi-IN"/>
              </w:rPr>
              <w:t>telefon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uppressAutoHyphens w:val="true"/>
              <w:spacing w:before="0" w:after="20"/>
              <w:jc w:val="left"/>
              <w:rPr>
                <w:color w:val="auto"/>
              </w:rPr>
            </w:pPr>
            <w:r>
              <w:rPr>
                <w:rStyle w:val="Dn"/>
                <w:rFonts w:eastAsia="Arial Unicode MS" w:ascii="Times New Roman" w:hAnsi="Times New Roman"/>
                <w:color w:val="auto"/>
                <w:kern w:val="0"/>
                <w:lang w:val="cs-CZ" w:eastAsia="zh-CN" w:bidi="hi-IN"/>
              </w:rPr>
              <w:t>376313557</w:t>
            </w:r>
          </w:p>
        </w:tc>
      </w:tr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suppressAutoHyphens w:val="true"/>
              <w:spacing w:before="0" w:after="16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en-US" w:eastAsia="zh-CN" w:bidi="hi-IN"/>
              </w:rPr>
              <w:t>email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VchozA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uppressAutoHyphens w:val="true"/>
              <w:spacing w:before="0" w:after="20"/>
              <w:jc w:val="left"/>
              <w:rPr>
                <w:color w:val="auto"/>
              </w:rPr>
            </w:pPr>
            <w:r>
              <w:rPr>
                <w:rStyle w:val="Dn"/>
                <w:rFonts w:eastAsia="Arial Unicode MS" w:ascii="Times New Roman" w:hAnsi="Times New Roman"/>
                <w:color w:val="auto"/>
                <w:kern w:val="0"/>
                <w:lang w:val="cs-CZ" w:eastAsia="zh-CN" w:bidi="hi-IN"/>
              </w:rPr>
              <w:t>kadera.josef@szsklatovy.cz</w:t>
            </w:r>
          </w:p>
        </w:tc>
      </w:tr>
      <w:tr>
        <w:trPr>
          <w:trHeight w:val="310" w:hRule="atLeast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</w:tr>
    </w:tbl>
    <w:p>
      <w:pPr>
        <w:pStyle w:val="VchozA"/>
        <w:widowControl w:val="false"/>
        <w:spacing w:before="0" w:after="20"/>
        <w:ind w:left="81" w:hanging="81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2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2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2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2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numPr>
          <w:ilvl w:val="0"/>
          <w:numId w:val="92"/>
        </w:numPr>
        <w:rPr>
          <w:rFonts w:ascii="Times New Roman" w:hAnsi="Times New Roman"/>
          <w:b/>
          <w:b/>
          <w:bCs/>
        </w:rPr>
      </w:pPr>
      <w:r>
        <w:rPr>
          <w:rStyle w:val="Dn"/>
          <w:rFonts w:ascii="Times New Roman" w:hAnsi="Times New Roman"/>
          <w:b/>
          <w:bCs/>
          <w:caps/>
        </w:rPr>
        <w:t>Povinnosti smluvních stran</w:t>
      </w:r>
    </w:p>
    <w:p>
      <w:pPr>
        <w:pStyle w:val="VchozA"/>
        <w:widowControl w:val="false"/>
        <w:numPr>
          <w:ilvl w:val="1"/>
          <w:numId w:val="93"/>
        </w:numPr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Poskytovatel se zavazuje provádět Energetický monitoring dle Smlouvy na svůj náklad a nebezpečí v době přiměřen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s přihl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dnutím k povaze pří</w:t>
      </w:r>
      <w:r>
        <w:rPr>
          <w:rStyle w:val="Hyperlink0"/>
          <w:rFonts w:ascii="Times New Roman" w:hAnsi="Times New Roman"/>
          <w:lang w:val="da-DK"/>
        </w:rPr>
        <w:t>slu</w:t>
      </w:r>
      <w:r>
        <w:rPr>
          <w:rStyle w:val="Hyperlink0"/>
          <w:rFonts w:ascii="Times New Roman" w:hAnsi="Times New Roman"/>
        </w:rPr>
        <w:t>šný</w:t>
      </w:r>
      <w:r>
        <w:rPr>
          <w:rStyle w:val="Hyperlink0"/>
          <w:rFonts w:ascii="Times New Roman" w:hAnsi="Times New Roman"/>
          <w:lang w:val="de-DE"/>
        </w:rPr>
        <w:t xml:space="preserve">ch </w:t>
      </w:r>
      <w:r>
        <w:rPr>
          <w:rStyle w:val="Hyperlink0"/>
          <w:rFonts w:ascii="Times New Roman" w:hAnsi="Times New Roman"/>
        </w:rPr>
        <w:t>částí Energetick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ho monitoringu řádně a za podmínek stanovený</w:t>
      </w:r>
      <w:r>
        <w:rPr>
          <w:rStyle w:val="Hyperlink0"/>
          <w:rFonts w:ascii="Times New Roman" w:hAnsi="Times New Roman"/>
          <w:lang w:val="de-DE"/>
        </w:rPr>
        <w:t>ch v</w:t>
      </w:r>
      <w:r>
        <w:rPr>
          <w:rStyle w:val="Hyperlink0"/>
          <w:rFonts w:ascii="Times New Roman" w:hAnsi="Times New Roman"/>
        </w:rPr>
        <w:t> 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Smlouvě.</w:t>
      </w:r>
    </w:p>
    <w:p>
      <w:pPr>
        <w:pStyle w:val="VchozA"/>
        <w:widowControl w:val="false"/>
        <w:numPr>
          <w:ilvl w:val="1"/>
          <w:numId w:val="94"/>
        </w:numPr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Poskytovatel se zavazuje Energetický monitoring provádět s potřebnou péčí. Při provádění Energetick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ho monitoringu není Poskytovatel vázán příkazy Objednatele, ledaže tato Smlouva nebo její písemn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dodatky či jin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písemn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 xml:space="preserve">dohody vztahující </w:t>
      </w:r>
      <w:r>
        <w:rPr>
          <w:rStyle w:val="Hyperlink0"/>
          <w:rFonts w:ascii="Times New Roman" w:hAnsi="Times New Roman"/>
          <w:lang w:val="nl-NL"/>
        </w:rPr>
        <w:t>se k</w:t>
      </w:r>
      <w:r>
        <w:rPr>
          <w:rStyle w:val="Hyperlink0"/>
          <w:rFonts w:ascii="Times New Roman" w:hAnsi="Times New Roman"/>
        </w:rPr>
        <w:t> poskytovan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mu Energetick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mu monitoringu dle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Smlouvy stanoví jinak.</w:t>
      </w:r>
    </w:p>
    <w:p>
      <w:pPr>
        <w:pStyle w:val="VchozA"/>
        <w:widowControl w:val="false"/>
        <w:numPr>
          <w:ilvl w:val="1"/>
          <w:numId w:val="95"/>
        </w:numPr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Objednatel je povinen bezodkladně prokazatelně informovat Poskytovatele o jak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koli změně vyskytnuvší se na monitorovacím zařízení Poskytovatele, instalovan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m v místě určen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m v 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Smlouvě. Objednatel je dále povinen umožnit Poskytovateli, kdykoliv za trvání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Smlouvy o to požádá, přístup k monitorovacímu zařízení, a to zejm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na za účelem jeho pravidelné údržby a případných oprav. V případě nesplnění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povinnosti Objednatel odpovídá Poskytovateli za vzniklou škodu na monitorovacím zařízení.</w:t>
      </w:r>
    </w:p>
    <w:p>
      <w:pPr>
        <w:pStyle w:val="VchozA"/>
        <w:widowControl w:val="false"/>
        <w:numPr>
          <w:ilvl w:val="1"/>
          <w:numId w:val="96"/>
        </w:numPr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Objednatel se zavazuje zajistit na vlastní náklady nepřetržit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 xml:space="preserve">zapojení monitorovacího zařízení </w:t>
      </w:r>
      <w:r>
        <w:rPr>
          <w:rStyle w:val="Hyperlink0"/>
          <w:rFonts w:ascii="Times New Roman" w:hAnsi="Times New Roman"/>
          <w:lang w:val="es-ES_tradnl"/>
        </w:rPr>
        <w:t>do elektrick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energie a rovněž připojení monitorovacího zařízení k internetov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síti. Objednatel bere na vědomí, že plnění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povinnosti je předpokladem pro řádn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plnění předmětu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Smlouvy Poskytovatelem.</w:t>
      </w:r>
    </w:p>
    <w:p>
      <w:pPr>
        <w:pStyle w:val="VchozA"/>
        <w:widowControl w:val="false"/>
        <w:numPr>
          <w:ilvl w:val="1"/>
          <w:numId w:val="97"/>
        </w:numPr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Objednatel se zavazuje předávat Poskytovateli vešker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informace, písemnosti a podklady nezbytn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k plnění Smlouvy. Poskytovatel se v 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souvislosti zavazuje Objednateli písemně sdě</w:t>
      </w:r>
      <w:r>
        <w:rPr>
          <w:rStyle w:val="Hyperlink0"/>
          <w:rFonts w:ascii="Times New Roman" w:hAnsi="Times New Roman"/>
          <w:lang w:val="pt-PT"/>
        </w:rPr>
        <w:t>lit lh</w:t>
      </w:r>
      <w:r>
        <w:rPr>
          <w:rStyle w:val="Hyperlink0"/>
          <w:rFonts w:ascii="Times New Roman" w:hAnsi="Times New Roman"/>
        </w:rPr>
        <w:t>ůtu, v jak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je potřeba dodat podklady k realizaci konkr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tní části Energetick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ho monitoringu dle Smlouvy tak, aby byl Poskytovatel schopen vč</w:t>
      </w:r>
      <w:r>
        <w:rPr>
          <w:rStyle w:val="Hyperlink0"/>
          <w:rFonts w:ascii="Times New Roman" w:hAnsi="Times New Roman"/>
          <w:lang w:val="de-DE"/>
        </w:rPr>
        <w:t>as z</w:t>
      </w:r>
      <w:r>
        <w:rPr>
          <w:rStyle w:val="Hyperlink0"/>
          <w:rFonts w:ascii="Times New Roman" w:hAnsi="Times New Roman"/>
        </w:rPr>
        <w:t>ávazky pro něj plynoucí ze Smlouvy splnit.</w:t>
      </w:r>
    </w:p>
    <w:p>
      <w:pPr>
        <w:pStyle w:val="VchozA"/>
        <w:widowControl w:val="false"/>
        <w:numPr>
          <w:ilvl w:val="1"/>
          <w:numId w:val="98"/>
        </w:numPr>
        <w:spacing w:before="0" w:after="200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 xml:space="preserve">Poskytovatel neodpovídá </w:t>
      </w:r>
      <w:r>
        <w:rPr>
          <w:rStyle w:val="Hyperlink0"/>
          <w:rFonts w:ascii="Times New Roman" w:hAnsi="Times New Roman"/>
          <w:lang w:val="it-IT"/>
        </w:rPr>
        <w:t xml:space="preserve">za </w:t>
      </w:r>
      <w:r>
        <w:rPr>
          <w:rStyle w:val="Hyperlink0"/>
          <w:rFonts w:ascii="Times New Roman" w:hAnsi="Times New Roman"/>
        </w:rPr>
        <w:t>škodu, která vznikla v důsledku vě</w:t>
      </w:r>
      <w:r>
        <w:rPr>
          <w:rStyle w:val="Hyperlink0"/>
          <w:rFonts w:ascii="Times New Roman" w:hAnsi="Times New Roman"/>
          <w:lang w:val="it-IT"/>
        </w:rPr>
        <w:t>cn</w:t>
      </w:r>
      <w:r>
        <w:rPr>
          <w:rStyle w:val="Hyperlink0"/>
          <w:rFonts w:ascii="Times New Roman" w:hAnsi="Times New Roman"/>
        </w:rPr>
        <w:t>ě nesprávn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ho nebo jinak chybn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ho zadání, kter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 xml:space="preserve">obdržel od Objednatele. </w:t>
      </w:r>
    </w:p>
    <w:p>
      <w:pPr>
        <w:pStyle w:val="VchozA"/>
        <w:widowControl w:val="false"/>
        <w:spacing w:before="0" w:after="200"/>
        <w:ind w:left="426" w:hanging="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numPr>
          <w:ilvl w:val="0"/>
          <w:numId w:val="99"/>
        </w:numPr>
        <w:rPr>
          <w:rFonts w:ascii="Times New Roman" w:hAnsi="Times New Roman"/>
          <w:b/>
          <w:b/>
          <w:bCs/>
        </w:rPr>
      </w:pPr>
      <w:r>
        <w:rPr>
          <w:rStyle w:val="Hyperlink0"/>
          <w:rFonts w:ascii="Times New Roman" w:hAnsi="Times New Roman"/>
          <w:b/>
          <w:bCs/>
        </w:rPr>
        <w:t>DŮVĚ</w:t>
      </w:r>
      <w:r>
        <w:rPr>
          <w:rStyle w:val="Hyperlink0"/>
          <w:rFonts w:ascii="Times New Roman" w:hAnsi="Times New Roman"/>
          <w:b/>
          <w:bCs/>
          <w:lang w:val="de-DE"/>
        </w:rPr>
        <w:t>RN</w:t>
      </w:r>
      <w:r>
        <w:rPr>
          <w:rStyle w:val="Hyperlink0"/>
          <w:rFonts w:ascii="Times New Roman" w:hAnsi="Times New Roman"/>
          <w:b/>
          <w:bCs/>
          <w:lang w:val="pt-PT"/>
        </w:rPr>
        <w:t xml:space="preserve">É </w:t>
      </w:r>
      <w:r>
        <w:rPr>
          <w:rStyle w:val="Hyperlink0"/>
          <w:rFonts w:ascii="Times New Roman" w:hAnsi="Times New Roman"/>
          <w:b/>
          <w:bCs/>
          <w:lang w:val="de-DE"/>
        </w:rPr>
        <w:t>INFORMACE</w:t>
      </w:r>
    </w:p>
    <w:p>
      <w:pPr>
        <w:pStyle w:val="VchozA"/>
        <w:widowControl w:val="false"/>
        <w:numPr>
          <w:ilvl w:val="1"/>
          <w:numId w:val="100"/>
        </w:numPr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Smluvní strany se zavazují zachovávat mlčenlivost o veškerých informacích a skutečnostech, kter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se dozví v souvislosti s plněním předmětu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Smlouvy, kter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nejsou obecně znám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. Všechny informace poskytnut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mezi smluvní stranami jsou v pochybnostech považovány za informace tvořící obchodní tajemství. Informacemi jsou jak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koliv materiály, kter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jsou takov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ho charakteru, že mohou v případě zveřejnění přivodit druh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smluvní straně újmu bez ohledu na to, zda mají povahu osobních, obchodní</w:t>
      </w:r>
      <w:r>
        <w:rPr>
          <w:rStyle w:val="Hyperlink0"/>
          <w:rFonts w:ascii="Times New Roman" w:hAnsi="Times New Roman"/>
          <w:lang w:val="de-DE"/>
        </w:rPr>
        <w:t xml:space="preserve">ch </w:t>
      </w:r>
      <w:r>
        <w:rPr>
          <w:rStyle w:val="Hyperlink0"/>
          <w:rFonts w:ascii="Times New Roman" w:hAnsi="Times New Roman"/>
        </w:rPr>
        <w:t>či jiných informací (dále tak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jako „Důvěrn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informace</w:t>
      </w:r>
      <w:r>
        <w:rPr>
          <w:rStyle w:val="Hyperlink0"/>
          <w:rFonts w:ascii="Times New Roman" w:hAnsi="Times New Roman"/>
          <w:lang w:val="ar-SA" w:bidi="ar-SA"/>
        </w:rPr>
        <w:t>“</w:t>
      </w:r>
      <w:r>
        <w:rPr>
          <w:rStyle w:val="Hyperlink0"/>
          <w:rFonts w:ascii="Times New Roman" w:hAnsi="Times New Roman"/>
        </w:rPr>
        <w:t>). Údaje, kter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mají povahu obchodních informací, jsou chráněny i po ukončení platnosti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 xml:space="preserve">to Smlouvy. </w:t>
      </w:r>
    </w:p>
    <w:p>
      <w:pPr>
        <w:pStyle w:val="VchozA"/>
        <w:widowControl w:val="false"/>
        <w:numPr>
          <w:ilvl w:val="1"/>
          <w:numId w:val="101"/>
        </w:numPr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 xml:space="preserve">Žádná ze Smluvních stran nepoužije ani neumožní </w:t>
      </w:r>
      <w:r>
        <w:rPr>
          <w:rStyle w:val="Hyperlink0"/>
          <w:rFonts w:ascii="Times New Roman" w:hAnsi="Times New Roman"/>
          <w:lang w:val="fr-FR"/>
        </w:rPr>
        <w:t>pou</w:t>
      </w:r>
      <w:r>
        <w:rPr>
          <w:rStyle w:val="Hyperlink0"/>
          <w:rFonts w:ascii="Times New Roman" w:hAnsi="Times New Roman"/>
        </w:rPr>
        <w:t>žití nebo zpřístupnění Důvěrných informací třetí straně bez předchozího písemn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ho souhlasu druh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smluvní strany.</w:t>
      </w:r>
    </w:p>
    <w:p>
      <w:pPr>
        <w:pStyle w:val="VchozA"/>
        <w:widowControl w:val="false"/>
        <w:numPr>
          <w:ilvl w:val="1"/>
          <w:numId w:val="102"/>
        </w:numPr>
        <w:spacing w:before="0" w:after="200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 xml:space="preserve">Smluvní strany se zavazují zajistit zachovávání mlčenlivosti o Důvěrných informací též všemi svými zaměstnanci a subdodavateli. </w:t>
      </w:r>
    </w:p>
    <w:p>
      <w:pPr>
        <w:pStyle w:val="VchozA"/>
        <w:widowControl w:val="false"/>
        <w:numPr>
          <w:ilvl w:val="1"/>
          <w:numId w:val="103"/>
        </w:numPr>
        <w:spacing w:before="0" w:after="120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Závazek mlčenlivosti se nevztahuje na:</w:t>
      </w:r>
    </w:p>
    <w:p>
      <w:pPr>
        <w:pStyle w:val="VchozA"/>
        <w:widowControl w:val="false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informace, kter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jsou obecně znám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v době uzavření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Smlouvy nebo k jejich zveřejnění dojde následně jiným způsobem než porušením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Smlouvy stranou přijímající;</w:t>
      </w:r>
    </w:p>
    <w:p>
      <w:pPr>
        <w:pStyle w:val="VchozA"/>
        <w:widowControl w:val="false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informace v rozsahu, kter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strana přijímající musí zveřejnit v souladu se zákonem nebo rozhodnutím soudu nebo rozhodnutím státního orgánu oprávněn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ho regulovat podnikání nebo činnost strany přijímající;</w:t>
      </w:r>
    </w:p>
    <w:p>
      <w:pPr>
        <w:pStyle w:val="VchozA"/>
        <w:widowControl w:val="false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informace, kter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má strana přijímající již k dispozici v době uzavření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Smlouvy;</w:t>
      </w:r>
    </w:p>
    <w:p>
      <w:pPr>
        <w:pStyle w:val="VchozA"/>
        <w:widowControl w:val="false"/>
        <w:numPr>
          <w:ilvl w:val="0"/>
          <w:numId w:val="6"/>
        </w:numPr>
        <w:spacing w:before="0" w:after="20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informace, kter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jsou straně přijímající sděleny třetí stranou bez nároků na omezení jejich využití nebo důvěrnost.</w:t>
      </w:r>
    </w:p>
    <w:p>
      <w:pPr>
        <w:pStyle w:val="VchozA"/>
        <w:widowControl w:val="false"/>
        <w:tabs>
          <w:tab w:val="clear" w:pos="720"/>
          <w:tab w:val="left" w:pos="567" w:leader="none"/>
          <w:tab w:val="left" w:pos="907" w:leader="none"/>
        </w:tabs>
        <w:spacing w:before="0" w:after="20"/>
        <w:ind w:left="907" w:hanging="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tabs>
          <w:tab w:val="clear" w:pos="720"/>
          <w:tab w:val="left" w:pos="567" w:leader="none"/>
          <w:tab w:val="left" w:pos="907" w:leader="none"/>
        </w:tabs>
        <w:spacing w:before="0" w:after="20"/>
        <w:ind w:left="907" w:hanging="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numPr>
          <w:ilvl w:val="0"/>
          <w:numId w:val="104"/>
        </w:numPr>
        <w:spacing w:before="0" w:after="200"/>
        <w:rPr>
          <w:rFonts w:ascii="Times New Roman" w:hAnsi="Times New Roman"/>
          <w:b/>
          <w:b/>
          <w:bCs/>
          <w:lang w:val="en-US"/>
        </w:rPr>
      </w:pPr>
      <w:r>
        <w:rPr>
          <w:rStyle w:val="Hyperlink0"/>
          <w:rFonts w:ascii="Times New Roman" w:hAnsi="Times New Roman"/>
          <w:b/>
          <w:bCs/>
          <w:lang w:val="en-US"/>
        </w:rPr>
        <w:t>DOBA TRV</w:t>
      </w:r>
      <w:r>
        <w:rPr>
          <w:rStyle w:val="Hyperlink0"/>
          <w:rFonts w:ascii="Times New Roman" w:hAnsi="Times New Roman"/>
          <w:b/>
          <w:bCs/>
        </w:rPr>
        <w:t>ÁNÍ</w:t>
      </w:r>
      <w:r>
        <w:rPr>
          <w:rStyle w:val="Hyperlink0"/>
          <w:rFonts w:ascii="Times New Roman" w:hAnsi="Times New Roman"/>
          <w:b/>
          <w:bCs/>
          <w:lang w:val="de-DE"/>
        </w:rPr>
        <w:t>; UKON</w:t>
      </w:r>
      <w:r>
        <w:rPr>
          <w:rStyle w:val="Hyperlink0"/>
          <w:rFonts w:ascii="Times New Roman" w:hAnsi="Times New Roman"/>
          <w:b/>
          <w:bCs/>
        </w:rPr>
        <w:t>Č</w:t>
      </w:r>
      <w:r>
        <w:rPr>
          <w:rStyle w:val="Hyperlink0"/>
          <w:rFonts w:ascii="Times New Roman" w:hAnsi="Times New Roman"/>
          <w:b/>
          <w:bCs/>
          <w:lang w:val="de-DE"/>
        </w:rPr>
        <w:t>EN</w:t>
      </w:r>
      <w:r>
        <w:rPr>
          <w:rStyle w:val="Hyperlink0"/>
          <w:rFonts w:ascii="Times New Roman" w:hAnsi="Times New Roman"/>
          <w:b/>
          <w:bCs/>
        </w:rPr>
        <w:t xml:space="preserve">Í </w:t>
      </w:r>
      <w:r>
        <w:rPr>
          <w:rStyle w:val="Hyperlink0"/>
          <w:rFonts w:ascii="Times New Roman" w:hAnsi="Times New Roman"/>
          <w:b/>
          <w:bCs/>
          <w:lang w:val="en-US"/>
        </w:rPr>
        <w:t>SMLOUVY</w:t>
      </w:r>
    </w:p>
    <w:p>
      <w:pPr>
        <w:pStyle w:val="VchozA"/>
        <w:widowControl w:val="false"/>
        <w:numPr>
          <w:ilvl w:val="1"/>
          <w:numId w:val="105"/>
        </w:numPr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Tato Smlouva se uzavírá na dobu určitou v d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lce trvání 48 měsíců. Platnost a účinnost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smlouvy lze prodloužit na základě písemn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ho dodatku smluvních stran k 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smlouvě.</w:t>
      </w:r>
    </w:p>
    <w:p>
      <w:pPr>
        <w:pStyle w:val="VchozA"/>
        <w:widowControl w:val="false"/>
        <w:numPr>
          <w:ilvl w:val="1"/>
          <w:numId w:val="106"/>
        </w:numPr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Odstoupit lze od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Smlouvy pouze v případech, kter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stanoví tato Smlouva nebo obecně závazn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právní předpisy.</w:t>
      </w:r>
    </w:p>
    <w:p>
      <w:pPr>
        <w:pStyle w:val="VchozA"/>
        <w:widowControl w:val="false"/>
        <w:numPr>
          <w:ilvl w:val="1"/>
          <w:numId w:val="107"/>
        </w:numPr>
        <w:spacing w:before="0" w:after="200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Smluvní strany sjednávají, že porušení Smlouvy podstatným způsobem opravňuje dotčenou Smluvní stranu od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Smlouvy odstoupit.</w:t>
      </w:r>
    </w:p>
    <w:p>
      <w:pPr>
        <w:pStyle w:val="VchozA"/>
        <w:widowControl w:val="false"/>
        <w:numPr>
          <w:ilvl w:val="1"/>
          <w:numId w:val="108"/>
        </w:numPr>
        <w:spacing w:before="0" w:after="120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Smluvní strany sjednávají, že od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Smlouvy lze odstoupit též z důvodu:</w:t>
      </w:r>
    </w:p>
    <w:p>
      <w:pPr>
        <w:pStyle w:val="VchozA"/>
        <w:widowControl w:val="false"/>
        <w:numPr>
          <w:ilvl w:val="0"/>
          <w:numId w:val="7"/>
        </w:numPr>
        <w:spacing w:before="0" w:after="200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vydání usnesení o úpadku Poskytovatele v </w:t>
      </w:r>
      <w:r>
        <w:rPr>
          <w:rStyle w:val="Hyperlink0"/>
          <w:rFonts w:ascii="Times New Roman" w:hAnsi="Times New Roman"/>
          <w:lang w:val="es-ES_tradnl"/>
        </w:rPr>
        <w:t>insolven</w:t>
      </w:r>
      <w:r>
        <w:rPr>
          <w:rStyle w:val="Hyperlink0"/>
          <w:rFonts w:ascii="Times New Roman" w:hAnsi="Times New Roman"/>
        </w:rPr>
        <w:t xml:space="preserve">čním řízení </w:t>
      </w:r>
      <w:r>
        <w:rPr>
          <w:rStyle w:val="Hyperlink0"/>
          <w:rFonts w:ascii="Times New Roman" w:hAnsi="Times New Roman"/>
          <w:lang w:val="de-DE"/>
        </w:rPr>
        <w:t>zah</w:t>
      </w:r>
      <w:r>
        <w:rPr>
          <w:rStyle w:val="Hyperlink0"/>
          <w:rFonts w:ascii="Times New Roman" w:hAnsi="Times New Roman"/>
        </w:rPr>
        <w:t>ájen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 xml:space="preserve">m na návrh třetí strany či zahájení </w:t>
      </w:r>
      <w:r>
        <w:rPr>
          <w:rStyle w:val="Hyperlink0"/>
          <w:rFonts w:ascii="Times New Roman" w:hAnsi="Times New Roman"/>
          <w:lang w:val="es-ES_tradnl"/>
        </w:rPr>
        <w:t>insolven</w:t>
      </w:r>
      <w:r>
        <w:rPr>
          <w:rStyle w:val="Hyperlink0"/>
          <w:rFonts w:ascii="Times New Roman" w:hAnsi="Times New Roman"/>
        </w:rPr>
        <w:t>čního řízení proti Poskytovateli na návrh Poskytovatele, zahájení likvidace Poskytovatele nebo ztratí-li Poskytovatel oprávnění k podnikatelské činnosti;</w:t>
      </w:r>
    </w:p>
    <w:p>
      <w:pPr>
        <w:pStyle w:val="VchozA"/>
        <w:widowControl w:val="false"/>
        <w:numPr>
          <w:ilvl w:val="0"/>
          <w:numId w:val="109"/>
        </w:numPr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vydání usnesení o úpadku Objednatele v </w:t>
      </w:r>
      <w:r>
        <w:rPr>
          <w:rStyle w:val="Hyperlink0"/>
          <w:rFonts w:ascii="Times New Roman" w:hAnsi="Times New Roman"/>
          <w:lang w:val="es-ES_tradnl"/>
        </w:rPr>
        <w:t>insolven</w:t>
      </w:r>
      <w:r>
        <w:rPr>
          <w:rStyle w:val="Hyperlink0"/>
          <w:rFonts w:ascii="Times New Roman" w:hAnsi="Times New Roman"/>
        </w:rPr>
        <w:t xml:space="preserve">čním řízení </w:t>
      </w:r>
      <w:r>
        <w:rPr>
          <w:rStyle w:val="Hyperlink0"/>
          <w:rFonts w:ascii="Times New Roman" w:hAnsi="Times New Roman"/>
          <w:lang w:val="de-DE"/>
        </w:rPr>
        <w:t>zah</w:t>
      </w:r>
      <w:r>
        <w:rPr>
          <w:rStyle w:val="Hyperlink0"/>
          <w:rFonts w:ascii="Times New Roman" w:hAnsi="Times New Roman"/>
        </w:rPr>
        <w:t>ájen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 xml:space="preserve">m na návrh třetí strany či zahájení </w:t>
      </w:r>
      <w:r>
        <w:rPr>
          <w:rStyle w:val="Hyperlink0"/>
          <w:rFonts w:ascii="Times New Roman" w:hAnsi="Times New Roman"/>
          <w:lang w:val="es-ES_tradnl"/>
        </w:rPr>
        <w:t>insolven</w:t>
      </w:r>
      <w:r>
        <w:rPr>
          <w:rStyle w:val="Hyperlink0"/>
          <w:rFonts w:ascii="Times New Roman" w:hAnsi="Times New Roman"/>
        </w:rPr>
        <w:t>čního řízení proti Objednateli na návrh Objednatele, zahájení likvidace Objednatele nebo ztratí-li Objednatel oprávnění k podnikatelské činnosti;</w:t>
      </w:r>
    </w:p>
    <w:p>
      <w:pPr>
        <w:pStyle w:val="VchozA"/>
        <w:widowControl w:val="false"/>
        <w:numPr>
          <w:ilvl w:val="0"/>
          <w:numId w:val="110"/>
        </w:numPr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prodlení Objednatele s úhradou ceny dle Smlouvy, kter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přesáhne 30 dní;</w:t>
      </w:r>
    </w:p>
    <w:p>
      <w:pPr>
        <w:pStyle w:val="VchozA"/>
        <w:widowControl w:val="false"/>
        <w:numPr>
          <w:ilvl w:val="0"/>
          <w:numId w:val="111"/>
        </w:numPr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opakovan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porušení povinností Objednatele dle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Smlouvy, pokud Objednatel nezjedná nápravu ani do 15 dnů od doručení písemn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ho upozornění Poskytovatele.</w:t>
      </w:r>
    </w:p>
    <w:p>
      <w:pPr>
        <w:pStyle w:val="VchozA"/>
        <w:widowControl w:val="false"/>
        <w:numPr>
          <w:ilvl w:val="0"/>
          <w:numId w:val="112"/>
        </w:numPr>
        <w:spacing w:before="0" w:after="200"/>
        <w:jc w:val="both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Opakovan</w:t>
      </w:r>
      <w:r>
        <w:rPr>
          <w:rStyle w:val="Hyperlink2"/>
          <w:rFonts w:ascii="Times New Roman" w:hAnsi="Times New Roman"/>
          <w:lang w:val="fr-FR"/>
        </w:rPr>
        <w:t xml:space="preserve">é </w:t>
      </w:r>
      <w:r>
        <w:rPr>
          <w:rStyle w:val="Hyperlink2"/>
          <w:rFonts w:ascii="Times New Roman" w:hAnsi="Times New Roman"/>
        </w:rPr>
        <w:t>porušení povinností Poskytovatele dle t</w:t>
      </w:r>
      <w:r>
        <w:rPr>
          <w:rStyle w:val="Hyperlink2"/>
          <w:rFonts w:ascii="Times New Roman" w:hAnsi="Times New Roman"/>
          <w:lang w:val="fr-FR"/>
        </w:rPr>
        <w:t>é</w:t>
      </w:r>
      <w:r>
        <w:rPr>
          <w:rStyle w:val="Hyperlink2"/>
          <w:rFonts w:ascii="Times New Roman" w:hAnsi="Times New Roman"/>
        </w:rPr>
        <w:t>to Smlouvy, zejm</w:t>
      </w:r>
      <w:r>
        <w:rPr>
          <w:rStyle w:val="Hyperlink2"/>
          <w:rFonts w:ascii="Times New Roman" w:hAnsi="Times New Roman"/>
          <w:lang w:val="fr-FR"/>
        </w:rPr>
        <w:t>é</w:t>
      </w:r>
      <w:r>
        <w:rPr>
          <w:rStyle w:val="Hyperlink2"/>
          <w:rFonts w:ascii="Times New Roman" w:hAnsi="Times New Roman"/>
        </w:rPr>
        <w:t>na povinností sjednaný</w:t>
      </w:r>
      <w:r>
        <w:rPr>
          <w:rStyle w:val="Hyperlink2"/>
          <w:rFonts w:ascii="Times New Roman" w:hAnsi="Times New Roman"/>
          <w:lang w:val="de-DE"/>
        </w:rPr>
        <w:t>ch v</w:t>
      </w:r>
      <w:r>
        <w:rPr>
          <w:rStyle w:val="Hyperlink2"/>
          <w:rFonts w:ascii="Times New Roman" w:hAnsi="Times New Roman"/>
        </w:rPr>
        <w:t> článku 1.2. t</w:t>
      </w:r>
      <w:r>
        <w:rPr>
          <w:rStyle w:val="Hyperlink2"/>
          <w:rFonts w:ascii="Times New Roman" w:hAnsi="Times New Roman"/>
          <w:lang w:val="fr-FR"/>
        </w:rPr>
        <w:t>é</w:t>
      </w:r>
      <w:r>
        <w:rPr>
          <w:rStyle w:val="Hyperlink2"/>
          <w:rFonts w:ascii="Times New Roman" w:hAnsi="Times New Roman"/>
        </w:rPr>
        <w:t>to Smlouvy, pokud Poskytovatel nezjedná nápravu neprodleně od doručení písemn</w:t>
      </w:r>
      <w:r>
        <w:rPr>
          <w:rStyle w:val="Hyperlink2"/>
          <w:rFonts w:ascii="Times New Roman" w:hAnsi="Times New Roman"/>
          <w:lang w:val="fr-FR"/>
        </w:rPr>
        <w:t>é</w:t>
      </w:r>
      <w:r>
        <w:rPr>
          <w:rStyle w:val="Hyperlink2"/>
          <w:rFonts w:ascii="Times New Roman" w:hAnsi="Times New Roman"/>
        </w:rPr>
        <w:t>ho upozornění Objednatele</w:t>
      </w:r>
    </w:p>
    <w:p>
      <w:pPr>
        <w:pStyle w:val="VchozA"/>
        <w:widowControl w:val="false"/>
        <w:numPr>
          <w:ilvl w:val="1"/>
          <w:numId w:val="113"/>
        </w:numPr>
        <w:spacing w:before="0" w:after="120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Odstoupení od Smlouvy musí mít písemnou formu a je účinn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okamžikem jeho doručení druh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Smluvní straně. Odstoupení musí obsahovat důvod odstoupení od Smlouvy. Odstoupením se tato smlouva ruší až od okamžiku účinnosti takov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ho odstoupení. Odstoupením zanikají práva a povinnosti stran ohledně části závazku založen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ho Smlouvou nesplněn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ke dni účinnosti odstoupení. Pro čá</w:t>
      </w:r>
      <w:r>
        <w:rPr>
          <w:rStyle w:val="Hyperlink0"/>
          <w:rFonts w:ascii="Times New Roman" w:hAnsi="Times New Roman"/>
          <w:lang w:val="nl-NL"/>
        </w:rPr>
        <w:t>st z</w:t>
      </w:r>
      <w:r>
        <w:rPr>
          <w:rStyle w:val="Hyperlink0"/>
          <w:rFonts w:ascii="Times New Roman" w:hAnsi="Times New Roman"/>
        </w:rPr>
        <w:t>ávazku splněn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ho do dne účinnosti odstoupení</w:t>
      </w:r>
      <w:r>
        <w:rPr>
          <w:rStyle w:val="Hyperlink0"/>
          <w:rFonts w:ascii="Times New Roman" w:hAnsi="Times New Roman"/>
          <w:lang w:val="nl-NL"/>
        </w:rPr>
        <w:t>, z</w:t>
      </w:r>
      <w:r>
        <w:rPr>
          <w:rStyle w:val="Hyperlink0"/>
          <w:rFonts w:ascii="Times New Roman" w:hAnsi="Times New Roman"/>
        </w:rPr>
        <w:t>ůstávají podmínky sjednan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Smlouvou v platnosti.</w:t>
      </w:r>
    </w:p>
    <w:p>
      <w:pPr>
        <w:pStyle w:val="VchozA"/>
        <w:widowControl w:val="false"/>
        <w:numPr>
          <w:ilvl w:val="1"/>
          <w:numId w:val="114"/>
        </w:numPr>
        <w:spacing w:before="0" w:after="120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Odstoupení od Smlouvy se nedotýká nároku na náhradu škody vznikl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porušením Smlouvy, ani smluvních ustanovení týkajících se řešení sporů mezi Smluvními stranami či nároku na zaplacení smluvní pokuty.</w:t>
      </w:r>
    </w:p>
    <w:p>
      <w:pPr>
        <w:pStyle w:val="VchozA"/>
        <w:widowControl w:val="false"/>
        <w:spacing w:before="0" w:after="120"/>
        <w:ind w:left="426" w:hanging="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120"/>
        <w:ind w:left="426" w:hanging="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120"/>
        <w:ind w:left="426" w:hanging="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numPr>
          <w:ilvl w:val="0"/>
          <w:numId w:val="115"/>
        </w:numPr>
        <w:spacing w:before="0" w:after="200"/>
        <w:rPr>
          <w:rFonts w:ascii="Times New Roman" w:hAnsi="Times New Roman"/>
          <w:b/>
          <w:b/>
          <w:bCs/>
          <w:lang w:val="es-ES_tradnl"/>
        </w:rPr>
      </w:pPr>
      <w:r>
        <w:rPr>
          <w:rStyle w:val="Hyperlink0"/>
          <w:rFonts w:ascii="Times New Roman" w:hAnsi="Times New Roman"/>
          <w:b/>
          <w:bCs/>
          <w:lang w:val="es-ES_tradnl"/>
        </w:rPr>
        <w:t>DORU</w:t>
      </w:r>
      <w:r>
        <w:rPr>
          <w:rStyle w:val="Hyperlink0"/>
          <w:rFonts w:ascii="Times New Roman" w:hAnsi="Times New Roman"/>
          <w:b/>
          <w:bCs/>
        </w:rPr>
        <w:t>Č</w:t>
      </w:r>
      <w:r>
        <w:rPr>
          <w:rStyle w:val="Hyperlink0"/>
          <w:rFonts w:ascii="Times New Roman" w:hAnsi="Times New Roman"/>
          <w:b/>
          <w:bCs/>
          <w:lang w:val="nl-NL"/>
        </w:rPr>
        <w:t>OV</w:t>
      </w:r>
      <w:r>
        <w:rPr>
          <w:rStyle w:val="Hyperlink0"/>
          <w:rFonts w:ascii="Times New Roman" w:hAnsi="Times New Roman"/>
          <w:b/>
          <w:bCs/>
        </w:rPr>
        <w:t>ÁNÍ</w:t>
      </w:r>
    </w:p>
    <w:p>
      <w:pPr>
        <w:pStyle w:val="VchozA"/>
        <w:widowControl w:val="false"/>
        <w:numPr>
          <w:ilvl w:val="1"/>
          <w:numId w:val="116"/>
        </w:numPr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Veškerá oznámení, žádosti, výzvy nebo jiná sdělení učiněná některou smluvní stranou na základě Smlouvy budou učiněna písemně a budou považována za řádně učiněná, jakmile budou doručena druh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 xml:space="preserve">smluvní straně osobně, kurýrní </w:t>
      </w:r>
      <w:r>
        <w:rPr>
          <w:rStyle w:val="Hyperlink0"/>
          <w:rFonts w:ascii="Times New Roman" w:hAnsi="Times New Roman"/>
          <w:lang w:val="da-DK"/>
        </w:rPr>
        <w:t>slu</w:t>
      </w:r>
      <w:r>
        <w:rPr>
          <w:rStyle w:val="Hyperlink0"/>
          <w:rFonts w:ascii="Times New Roman" w:hAnsi="Times New Roman"/>
        </w:rPr>
        <w:t xml:space="preserve">žbou poskytující potvrzení </w:t>
      </w:r>
      <w:r>
        <w:rPr>
          <w:rStyle w:val="Hyperlink0"/>
          <w:rFonts w:ascii="Times New Roman" w:hAnsi="Times New Roman"/>
          <w:lang w:val="pt-PT"/>
        </w:rPr>
        <w:t>o doru</w:t>
      </w:r>
      <w:r>
        <w:rPr>
          <w:rStyle w:val="Hyperlink0"/>
          <w:rFonts w:ascii="Times New Roman" w:hAnsi="Times New Roman"/>
        </w:rPr>
        <w:t>čení nebo doporučenou poštou na adresu pří</w:t>
      </w:r>
      <w:r>
        <w:rPr>
          <w:rStyle w:val="Hyperlink0"/>
          <w:rFonts w:ascii="Times New Roman" w:hAnsi="Times New Roman"/>
          <w:lang w:val="da-DK"/>
        </w:rPr>
        <w:t>slu</w:t>
      </w:r>
      <w:r>
        <w:rPr>
          <w:rStyle w:val="Hyperlink0"/>
          <w:rFonts w:ascii="Times New Roman" w:hAnsi="Times New Roman"/>
        </w:rPr>
        <w:t>šn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smluvní strany uvedenou níže nebo na jinou adresu, kterou pří</w:t>
      </w:r>
      <w:r>
        <w:rPr>
          <w:rStyle w:val="Hyperlink0"/>
          <w:rFonts w:ascii="Times New Roman" w:hAnsi="Times New Roman"/>
          <w:lang w:val="da-DK"/>
        </w:rPr>
        <w:t>slu</w:t>
      </w:r>
      <w:r>
        <w:rPr>
          <w:rStyle w:val="Hyperlink0"/>
          <w:rFonts w:ascii="Times New Roman" w:hAnsi="Times New Roman"/>
        </w:rPr>
        <w:t>šná smluvní strana oznámí druh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 xml:space="preserve">smluvní straně.  </w:t>
      </w:r>
    </w:p>
    <w:p>
      <w:pPr>
        <w:pStyle w:val="VchozA"/>
        <w:widowControl w:val="false"/>
        <w:numPr>
          <w:ilvl w:val="1"/>
          <w:numId w:val="117"/>
        </w:numPr>
        <w:spacing w:before="0" w:after="200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Oznámení určená Poskytovateli:</w:t>
      </w:r>
    </w:p>
    <w:p>
      <w:pPr>
        <w:pStyle w:val="VchozA"/>
        <w:widowControl w:val="false"/>
        <w:spacing w:before="0" w:after="20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Style w:val="Dn"/>
          <w:rFonts w:eastAsia="Times New Roman" w:cs="Times New Roman" w:ascii="Times New Roman" w:hAnsi="Times New Roman"/>
        </w:rPr>
        <w:tab/>
        <w:t>- kontaktn</w:t>
      </w:r>
      <w:r>
        <w:rPr>
          <w:rStyle w:val="Dn"/>
          <w:rFonts w:ascii="Times New Roman" w:hAnsi="Times New Roman"/>
        </w:rPr>
        <w:t xml:space="preserve">í osoba: </w:t>
        <w:tab/>
        <w:t>Lenka Kazecká</w:t>
      </w:r>
    </w:p>
    <w:p>
      <w:pPr>
        <w:pStyle w:val="VchozA"/>
        <w:widowControl w:val="false"/>
        <w:spacing w:before="0" w:after="20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Style w:val="Dn"/>
          <w:rFonts w:eastAsia="Times New Roman" w:cs="Times New Roman" w:ascii="Times New Roman" w:hAnsi="Times New Roman"/>
        </w:rPr>
        <w:tab/>
        <w:t xml:space="preserve">- adresa: </w:t>
        <w:tab/>
        <w:tab/>
        <w:t>Brojova 2113/16, Plze</w:t>
      </w:r>
      <w:r>
        <w:rPr>
          <w:rStyle w:val="Dn"/>
          <w:rFonts w:ascii="Times New Roman" w:hAnsi="Times New Roman"/>
        </w:rPr>
        <w:t>ň 32600</w:t>
      </w:r>
    </w:p>
    <w:p>
      <w:pPr>
        <w:pStyle w:val="VchozA"/>
        <w:widowControl w:val="false"/>
        <w:spacing w:before="0" w:after="20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Style w:val="Dn"/>
          <w:rFonts w:eastAsia="Times New Roman" w:cs="Times New Roman" w:ascii="Times New Roman" w:hAnsi="Times New Roman"/>
        </w:rPr>
        <w:tab/>
        <w:t>- telefonn</w:t>
      </w:r>
      <w:r>
        <w:rPr>
          <w:rStyle w:val="Dn"/>
          <w:rFonts w:ascii="Times New Roman" w:hAnsi="Times New Roman"/>
        </w:rPr>
        <w:t>í čí</w:t>
      </w:r>
      <w:r>
        <w:rPr>
          <w:rStyle w:val="Dn"/>
          <w:rFonts w:ascii="Times New Roman" w:hAnsi="Times New Roman"/>
          <w:lang w:val="it-IT"/>
        </w:rPr>
        <w:t>slo:</w:t>
        <w:tab/>
        <w:t>+420 605 242</w:t>
      </w:r>
      <w:r>
        <w:rPr>
          <w:rStyle w:val="Dn"/>
          <w:rFonts w:ascii="Times New Roman" w:hAnsi="Times New Roman"/>
        </w:rPr>
        <w:t> 655</w:t>
      </w:r>
    </w:p>
    <w:p>
      <w:pPr>
        <w:pStyle w:val="VchozA"/>
        <w:widowControl w:val="false"/>
        <w:numPr>
          <w:ilvl w:val="1"/>
          <w:numId w:val="118"/>
        </w:numPr>
        <w:spacing w:before="0" w:after="200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Oznámení určená Objednateli:</w:t>
      </w:r>
      <w:bookmarkStart w:id="11" w:name="_GoBack"/>
      <w:bookmarkEnd w:id="11"/>
    </w:p>
    <w:p>
      <w:pPr>
        <w:pStyle w:val="VchozA"/>
        <w:widowControl w:val="false"/>
        <w:spacing w:before="0" w:after="200"/>
        <w:jc w:val="both"/>
        <w:rPr>
          <w:rStyle w:val="Dn"/>
          <w:rFonts w:ascii="Times New Roman" w:hAnsi="Times New Roman" w:eastAsia="Times New Roman" w:cs="Times New Roman"/>
          <w:color w:val="auto"/>
        </w:rPr>
      </w:pPr>
      <w:r>
        <w:rPr>
          <w:rStyle w:val="Dn"/>
          <w:rFonts w:ascii="Times New Roman" w:hAnsi="Times New Roman"/>
        </w:rPr>
        <w:t xml:space="preserve"> </w:t>
      </w:r>
      <w:r>
        <w:rPr>
          <w:rStyle w:val="Dn"/>
          <w:rFonts w:ascii="Times New Roman" w:hAnsi="Times New Roman"/>
        </w:rPr>
        <w:tab/>
        <w:t xml:space="preserve">- kontaktní osoba: </w:t>
        <w:tab/>
      </w:r>
      <w:r>
        <w:rPr>
          <w:rStyle w:val="Dn"/>
          <w:rFonts w:ascii="Times New Roman" w:hAnsi="Times New Roman"/>
          <w:color w:val="auto"/>
        </w:rPr>
        <w:t>Martina Müllerová</w:t>
      </w:r>
    </w:p>
    <w:p>
      <w:pPr>
        <w:pStyle w:val="VchozA"/>
        <w:widowControl w:val="false"/>
        <w:spacing w:before="0" w:after="200"/>
        <w:jc w:val="both"/>
        <w:rPr>
          <w:rStyle w:val="Dn"/>
          <w:rFonts w:ascii="Times New Roman" w:hAnsi="Times New Roman" w:eastAsia="Times New Roman" w:cs="Times New Roman"/>
          <w:color w:val="auto"/>
        </w:rPr>
      </w:pPr>
      <w:r>
        <w:rPr>
          <w:rStyle w:val="Dn"/>
          <w:rFonts w:eastAsia="Times New Roman" w:cs="Times New Roman" w:ascii="Times New Roman" w:hAnsi="Times New Roman"/>
          <w:color w:val="auto"/>
        </w:rPr>
        <w:tab/>
        <w:t xml:space="preserve">- adresa: </w:t>
        <w:tab/>
        <w:tab/>
      </w:r>
      <w:r>
        <w:rPr>
          <w:rStyle w:val="Dn"/>
          <w:rFonts w:ascii="Times New Roman" w:hAnsi="Times New Roman"/>
          <w:color w:val="auto"/>
        </w:rPr>
        <w:t>Plánická 196, 339 01  Klatovy 1</w:t>
      </w:r>
    </w:p>
    <w:p>
      <w:pPr>
        <w:pStyle w:val="VchozA"/>
        <w:widowControl w:val="false"/>
        <w:spacing w:before="0" w:after="200"/>
        <w:ind w:firstLine="720"/>
        <w:jc w:val="both"/>
        <w:rPr>
          <w:rStyle w:val="Dn"/>
          <w:rFonts w:ascii="Times New Roman" w:hAnsi="Times New Roman" w:eastAsia="Times New Roman" w:cs="Times New Roman"/>
          <w:color w:val="auto"/>
        </w:rPr>
      </w:pPr>
      <w:r>
        <w:rPr>
          <w:rStyle w:val="Dn"/>
          <w:rFonts w:ascii="Times New Roman" w:hAnsi="Times New Roman"/>
          <w:color w:val="auto"/>
        </w:rPr>
        <w:t>- telefonní čí</w:t>
      </w:r>
      <w:r>
        <w:rPr>
          <w:rStyle w:val="Dn"/>
          <w:rFonts w:ascii="Times New Roman" w:hAnsi="Times New Roman"/>
          <w:color w:val="auto"/>
          <w:lang w:val="it-IT"/>
        </w:rPr>
        <w:t xml:space="preserve">slo: </w:t>
        <w:tab/>
      </w:r>
      <w:r>
        <w:rPr>
          <w:rStyle w:val="Dn"/>
          <w:rFonts w:ascii="Times New Roman" w:hAnsi="Times New Roman"/>
          <w:color w:val="auto"/>
        </w:rPr>
        <w:t>376313556</w:t>
      </w:r>
    </w:p>
    <w:p>
      <w:pPr>
        <w:pStyle w:val="VchozA"/>
        <w:widowControl w:val="false"/>
        <w:numPr>
          <w:ilvl w:val="1"/>
          <w:numId w:val="119"/>
        </w:numPr>
        <w:spacing w:before="0" w:after="120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Veškerá oznámení učiněná na základě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Smlouvy budou považována za doručená:</w:t>
      </w:r>
    </w:p>
    <w:p>
      <w:pPr>
        <w:pStyle w:val="VchozA"/>
        <w:widowControl w:val="false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v den jejich fyzick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ho přijetí adresá</w:t>
      </w:r>
      <w:r>
        <w:rPr>
          <w:rStyle w:val="Hyperlink0"/>
          <w:rFonts w:ascii="Times New Roman" w:hAnsi="Times New Roman"/>
          <w:lang w:val="pt-PT"/>
        </w:rPr>
        <w:t>tem v</w:t>
      </w:r>
      <w:r>
        <w:rPr>
          <w:rStyle w:val="Hyperlink0"/>
          <w:rFonts w:ascii="Times New Roman" w:hAnsi="Times New Roman"/>
        </w:rPr>
        <w:t> případě osobní</w:t>
      </w:r>
      <w:r>
        <w:rPr>
          <w:rStyle w:val="Hyperlink0"/>
          <w:rFonts w:ascii="Times New Roman" w:hAnsi="Times New Roman"/>
          <w:lang w:val="pt-PT"/>
        </w:rPr>
        <w:t>ho doru</w:t>
      </w:r>
      <w:r>
        <w:rPr>
          <w:rStyle w:val="Hyperlink0"/>
          <w:rFonts w:ascii="Times New Roman" w:hAnsi="Times New Roman"/>
        </w:rPr>
        <w:t xml:space="preserve">čení nebo doručení kurýrní </w:t>
      </w:r>
      <w:r>
        <w:rPr>
          <w:rStyle w:val="Hyperlink0"/>
          <w:rFonts w:ascii="Times New Roman" w:hAnsi="Times New Roman"/>
          <w:lang w:val="da-DK"/>
        </w:rPr>
        <w:t>slu</w:t>
      </w:r>
      <w:r>
        <w:rPr>
          <w:rStyle w:val="Hyperlink0"/>
          <w:rFonts w:ascii="Times New Roman" w:hAnsi="Times New Roman"/>
        </w:rPr>
        <w:t>žbou; nebo</w:t>
      </w:r>
    </w:p>
    <w:p>
      <w:pPr>
        <w:pStyle w:val="VchozA"/>
        <w:widowControl w:val="false"/>
        <w:numPr>
          <w:ilvl w:val="0"/>
          <w:numId w:val="8"/>
        </w:numPr>
        <w:spacing w:before="0" w:after="120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 xml:space="preserve">v den uvedený </w:t>
      </w:r>
      <w:r>
        <w:rPr>
          <w:rStyle w:val="Hyperlink0"/>
          <w:rFonts w:ascii="Times New Roman" w:hAnsi="Times New Roman"/>
          <w:lang w:val="pt-PT"/>
        </w:rPr>
        <w:t>na doru</w:t>
      </w:r>
      <w:r>
        <w:rPr>
          <w:rStyle w:val="Hyperlink0"/>
          <w:rFonts w:ascii="Times New Roman" w:hAnsi="Times New Roman"/>
        </w:rPr>
        <w:t>č</w:t>
      </w:r>
      <w:r>
        <w:rPr>
          <w:rStyle w:val="Hyperlink0"/>
          <w:rFonts w:ascii="Times New Roman" w:hAnsi="Times New Roman"/>
          <w:lang w:val="fr-FR"/>
        </w:rPr>
        <w:t>ence v</w:t>
      </w:r>
      <w:r>
        <w:rPr>
          <w:rStyle w:val="Hyperlink0"/>
          <w:rFonts w:ascii="Times New Roman" w:hAnsi="Times New Roman"/>
        </w:rPr>
        <w:t> případě doručení doporučenou poštou; nebo</w:t>
      </w:r>
    </w:p>
    <w:p>
      <w:pPr>
        <w:pStyle w:val="VchozA"/>
        <w:widowControl w:val="false"/>
        <w:numPr>
          <w:ilvl w:val="0"/>
          <w:numId w:val="120"/>
        </w:numPr>
        <w:spacing w:before="0" w:after="200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třetí pracovní den po odeslání, je-li odeslaná s využitím provozovatele poštovních služ</w:t>
      </w:r>
      <w:r>
        <w:rPr>
          <w:rStyle w:val="Hyperlink0"/>
          <w:rFonts w:ascii="Times New Roman" w:hAnsi="Times New Roman"/>
          <w:lang w:val="de-DE"/>
        </w:rPr>
        <w:t>eb do</w:t>
      </w:r>
      <w:r>
        <w:rPr>
          <w:rStyle w:val="Hyperlink0"/>
          <w:rFonts w:ascii="Times New Roman" w:hAnsi="Times New Roman"/>
        </w:rPr>
        <w:t>šla.</w:t>
      </w:r>
    </w:p>
    <w:p>
      <w:pPr>
        <w:pStyle w:val="VchozA"/>
        <w:widowControl w:val="false"/>
        <w:spacing w:before="0" w:after="200"/>
        <w:ind w:left="851" w:hanging="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numPr>
          <w:ilvl w:val="0"/>
          <w:numId w:val="121"/>
        </w:numPr>
        <w:spacing w:before="0" w:after="200"/>
        <w:rPr>
          <w:rFonts w:ascii="Times New Roman" w:hAnsi="Times New Roman"/>
          <w:b/>
          <w:b/>
          <w:bCs/>
        </w:rPr>
      </w:pPr>
      <w:r>
        <w:rPr>
          <w:rStyle w:val="Hyperlink0"/>
          <w:rFonts w:ascii="Times New Roman" w:hAnsi="Times New Roman"/>
          <w:b/>
          <w:bCs/>
        </w:rPr>
        <w:t>ZÁVĚREČNÁ USTANOVENÍ</w:t>
      </w:r>
    </w:p>
    <w:p>
      <w:pPr>
        <w:pStyle w:val="VchozA"/>
        <w:widowControl w:val="false"/>
        <w:numPr>
          <w:ilvl w:val="1"/>
          <w:numId w:val="122"/>
        </w:numPr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Tato Smlouva a právní vztahy z ní vznikl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se řídí platnými obecně závaznými právní</w:t>
      </w:r>
      <w:r>
        <w:rPr>
          <w:rStyle w:val="Hyperlink0"/>
          <w:rFonts w:ascii="Times New Roman" w:hAnsi="Times New Roman"/>
          <w:lang w:val="it-IT"/>
        </w:rPr>
        <w:t>mi p</w:t>
      </w:r>
      <w:r>
        <w:rPr>
          <w:rStyle w:val="Hyperlink0"/>
          <w:rFonts w:ascii="Times New Roman" w:hAnsi="Times New Roman"/>
        </w:rPr>
        <w:t>ředpisy Česk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republiky, zejm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na pří</w:t>
      </w:r>
      <w:r>
        <w:rPr>
          <w:rStyle w:val="Hyperlink0"/>
          <w:rFonts w:ascii="Times New Roman" w:hAnsi="Times New Roman"/>
          <w:lang w:val="da-DK"/>
        </w:rPr>
        <w:t>slu</w:t>
      </w:r>
      <w:r>
        <w:rPr>
          <w:rStyle w:val="Hyperlink0"/>
          <w:rFonts w:ascii="Times New Roman" w:hAnsi="Times New Roman"/>
        </w:rPr>
        <w:t>šnými ustanoveními obč</w:t>
      </w:r>
      <w:r>
        <w:rPr>
          <w:rStyle w:val="Hyperlink0"/>
          <w:rFonts w:ascii="Times New Roman" w:hAnsi="Times New Roman"/>
          <w:lang w:val="da-DK"/>
        </w:rPr>
        <w:t>ansk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ho zákoníku v platn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m znění.</w:t>
      </w:r>
    </w:p>
    <w:p>
      <w:pPr>
        <w:pStyle w:val="VchozA"/>
        <w:widowControl w:val="false"/>
        <w:numPr>
          <w:ilvl w:val="1"/>
          <w:numId w:val="123"/>
        </w:numPr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Změnit nebo doplnit tuto Smlouvu mohou smluvní strany pouze formou písemných dodatků, kter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budou vzestupně číslovány, výslovně prohlášeny za dodatek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Smlouvy a podepsány oprávněnými zástupci smluvních stran.</w:t>
      </w:r>
    </w:p>
    <w:p>
      <w:pPr>
        <w:pStyle w:val="VchozA"/>
        <w:widowControl w:val="false"/>
        <w:numPr>
          <w:ilvl w:val="1"/>
          <w:numId w:val="124"/>
        </w:numPr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Tato Smlouva nabývá platnosti a účinnosti dnem podpisu oběma smluvními stranami.</w:t>
      </w:r>
    </w:p>
    <w:p>
      <w:pPr>
        <w:pStyle w:val="VchozA"/>
        <w:widowControl w:val="false"/>
        <w:numPr>
          <w:ilvl w:val="1"/>
          <w:numId w:val="125"/>
        </w:numPr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Smluvní strany prohlašují, že nejsou omezeny na sv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právnosti a jsou plně způsobil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k právnímu jednání podle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Smlouvy. Smluvní strany dále prohlašují, že toto právní jednání činí vážně, nikoli v rozporu s dobrými mravy a nikoli v rozporu s veřejným pořádkem anebo pod pohrůžkou násilí. Na důkaz pravdivosti tohoto prohlášení připojují smluvní strany sv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vlastnoruční podpisy.</w:t>
      </w:r>
    </w:p>
    <w:p>
      <w:pPr>
        <w:pStyle w:val="VchozA"/>
        <w:widowControl w:val="false"/>
        <w:numPr>
          <w:ilvl w:val="1"/>
          <w:numId w:val="126"/>
        </w:numPr>
        <w:jc w:val="both"/>
        <w:rPr>
          <w:rFonts w:ascii="Times New Roman" w:hAnsi="Times New Roman"/>
        </w:rPr>
      </w:pPr>
      <w:r>
        <w:rPr>
          <w:rStyle w:val="Hyperlink2"/>
          <w:rFonts w:ascii="Times New Roman" w:hAnsi="Times New Roman"/>
        </w:rPr>
        <w:t>Poskytovatel souhlasí s tím, aby Objednatel uveřejnil tuto Smlouvu včetně všech příloh, a to i způ</w:t>
      </w:r>
      <w:r>
        <w:rPr>
          <w:rStyle w:val="Hyperlink2"/>
          <w:rFonts w:ascii="Times New Roman" w:hAnsi="Times New Roman"/>
          <w:lang w:val="pt-PT"/>
        </w:rPr>
        <w:t>sobem umo</w:t>
      </w:r>
      <w:r>
        <w:rPr>
          <w:rStyle w:val="Hyperlink2"/>
          <w:rFonts w:ascii="Times New Roman" w:hAnsi="Times New Roman"/>
        </w:rPr>
        <w:t>žňujícím dálkový přístup (prostřednictvím internetu). Poskytovatel uděluje tento souhlas zejm</w:t>
      </w:r>
      <w:r>
        <w:rPr>
          <w:rStyle w:val="Hyperlink2"/>
          <w:rFonts w:ascii="Times New Roman" w:hAnsi="Times New Roman"/>
          <w:lang w:val="fr-FR"/>
        </w:rPr>
        <w:t>é</w:t>
      </w:r>
      <w:r>
        <w:rPr>
          <w:rStyle w:val="Hyperlink2"/>
          <w:rFonts w:ascii="Times New Roman" w:hAnsi="Times New Roman"/>
        </w:rPr>
        <w:t>na pro situaci, kdy povinnost zveřejnit Smlouvu vyplývá Objednateli z platných právních předpisů (zákon o zvláštních podmínká</w:t>
      </w:r>
      <w:r>
        <w:rPr>
          <w:rStyle w:val="Hyperlink2"/>
          <w:rFonts w:ascii="Times New Roman" w:hAnsi="Times New Roman"/>
          <w:lang w:val="de-DE"/>
        </w:rPr>
        <w:t xml:space="preserve">ch </w:t>
      </w:r>
      <w:r>
        <w:rPr>
          <w:rStyle w:val="Hyperlink2"/>
          <w:rFonts w:ascii="Times New Roman" w:hAnsi="Times New Roman"/>
        </w:rPr>
        <w:t>účinnosti některých smluv, uveřejňování těchto smluv a o registru smluv). Poskytovatel prohlašuje, že tato Smlouva ani žádná z jejích příloh neobsahuje žádnou skutečnost, kterou by chránil jako sv</w:t>
      </w:r>
      <w:r>
        <w:rPr>
          <w:rStyle w:val="Hyperlink2"/>
          <w:rFonts w:ascii="Times New Roman" w:hAnsi="Times New Roman"/>
          <w:lang w:val="fr-FR"/>
        </w:rPr>
        <w:t xml:space="preserve">é </w:t>
      </w:r>
      <w:r>
        <w:rPr>
          <w:rStyle w:val="Hyperlink2"/>
          <w:rFonts w:ascii="Times New Roman" w:hAnsi="Times New Roman"/>
        </w:rPr>
        <w:t>obchodní tajemství, ani jin</w:t>
      </w:r>
      <w:r>
        <w:rPr>
          <w:rStyle w:val="Hyperlink2"/>
          <w:rFonts w:ascii="Times New Roman" w:hAnsi="Times New Roman"/>
          <w:lang w:val="fr-FR"/>
        </w:rPr>
        <w:t xml:space="preserve">é </w:t>
      </w:r>
      <w:r>
        <w:rPr>
          <w:rStyle w:val="Hyperlink2"/>
          <w:rFonts w:ascii="Times New Roman" w:hAnsi="Times New Roman"/>
        </w:rPr>
        <w:t>informace, kter</w:t>
      </w:r>
      <w:r>
        <w:rPr>
          <w:rStyle w:val="Hyperlink2"/>
          <w:rFonts w:ascii="Times New Roman" w:hAnsi="Times New Roman"/>
          <w:lang w:val="fr-FR"/>
        </w:rPr>
        <w:t xml:space="preserve">é </w:t>
      </w:r>
      <w:r>
        <w:rPr>
          <w:rStyle w:val="Hyperlink2"/>
          <w:rFonts w:ascii="Times New Roman" w:hAnsi="Times New Roman"/>
        </w:rPr>
        <w:t>vyžadují zvláštní způsob ochrany. Toto ujednání platí i pro případn</w:t>
      </w:r>
      <w:r>
        <w:rPr>
          <w:rStyle w:val="Hyperlink2"/>
          <w:rFonts w:ascii="Times New Roman" w:hAnsi="Times New Roman"/>
          <w:lang w:val="fr-FR"/>
        </w:rPr>
        <w:t xml:space="preserve">é </w:t>
      </w:r>
      <w:r>
        <w:rPr>
          <w:rStyle w:val="Hyperlink2"/>
          <w:rFonts w:ascii="Times New Roman" w:hAnsi="Times New Roman"/>
        </w:rPr>
        <w:t>změny (dodatky) t</w:t>
      </w:r>
      <w:r>
        <w:rPr>
          <w:rStyle w:val="Hyperlink2"/>
          <w:rFonts w:ascii="Times New Roman" w:hAnsi="Times New Roman"/>
          <w:lang w:val="fr-FR"/>
        </w:rPr>
        <w:t>é</w:t>
      </w:r>
      <w:r>
        <w:rPr>
          <w:rStyle w:val="Hyperlink2"/>
          <w:rFonts w:ascii="Times New Roman" w:hAnsi="Times New Roman"/>
        </w:rPr>
        <w:t>to Smlouvy.</w:t>
      </w:r>
    </w:p>
    <w:p>
      <w:pPr>
        <w:pStyle w:val="VchozA"/>
        <w:widowControl w:val="false"/>
        <w:numPr>
          <w:ilvl w:val="1"/>
          <w:numId w:val="127"/>
        </w:numPr>
        <w:spacing w:before="0" w:after="200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Tato Smlouva je vyhotovena ve dvou stejnopisech, z </w:t>
      </w:r>
      <w:r>
        <w:rPr>
          <w:rStyle w:val="Hyperlink0"/>
          <w:rFonts w:ascii="Times New Roman" w:hAnsi="Times New Roman"/>
          <w:lang w:val="de-DE"/>
        </w:rPr>
        <w:t>nich</w:t>
      </w:r>
      <w:r>
        <w:rPr>
          <w:rStyle w:val="Hyperlink0"/>
          <w:rFonts w:ascii="Times New Roman" w:hAnsi="Times New Roman"/>
        </w:rPr>
        <w:t>ž každá ze smluvních stran obdrží po jednom vyhotovení.</w:t>
      </w:r>
    </w:p>
    <w:p>
      <w:pPr>
        <w:pStyle w:val="VchozA"/>
        <w:widowControl w:val="false"/>
        <w:numPr>
          <w:ilvl w:val="1"/>
          <w:numId w:val="128"/>
        </w:numPr>
        <w:spacing w:before="0" w:after="120"/>
        <w:jc w:val="both"/>
        <w:rPr>
          <w:rFonts w:ascii="Times New Roman" w:hAnsi="Times New Roman"/>
          <w:lang w:val="nl-NL"/>
        </w:rPr>
      </w:pPr>
      <w:r>
        <w:rPr>
          <w:rStyle w:val="Hyperlink0"/>
          <w:rFonts w:ascii="Times New Roman" w:hAnsi="Times New Roman"/>
          <w:lang w:val="nl-NL"/>
        </w:rPr>
        <w:t>Ned</w:t>
      </w:r>
      <w:r>
        <w:rPr>
          <w:rStyle w:val="Hyperlink0"/>
          <w:rFonts w:ascii="Times New Roman" w:hAnsi="Times New Roman"/>
        </w:rPr>
        <w:t>ílnou součástí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Smlouvy jsou následující přílohy:</w:t>
      </w:r>
    </w:p>
    <w:p>
      <w:pPr>
        <w:pStyle w:val="VchozA"/>
        <w:widowControl w:val="false"/>
        <w:numPr>
          <w:ilvl w:val="0"/>
          <w:numId w:val="9"/>
        </w:numPr>
        <w:spacing w:before="0" w:after="200"/>
        <w:jc w:val="both"/>
        <w:rPr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>Příloha č</w:t>
      </w:r>
      <w:r>
        <w:rPr>
          <w:rStyle w:val="Hyperlink0"/>
          <w:rFonts w:ascii="Times New Roman" w:hAnsi="Times New Roman"/>
          <w:lang w:val="de-DE"/>
        </w:rPr>
        <w:t>. 1:</w:t>
        <w:tab/>
        <w:t>M</w:t>
      </w:r>
      <w:r>
        <w:rPr>
          <w:rStyle w:val="Hyperlink0"/>
          <w:rFonts w:ascii="Times New Roman" w:hAnsi="Times New Roman"/>
        </w:rPr>
        <w:t>í</w:t>
      </w:r>
      <w:r>
        <w:rPr>
          <w:rStyle w:val="Hyperlink0"/>
          <w:rFonts w:ascii="Times New Roman" w:hAnsi="Times New Roman"/>
          <w:lang w:val="it-IT"/>
        </w:rPr>
        <w:t>sto prov</w:t>
      </w:r>
      <w:r>
        <w:rPr>
          <w:rStyle w:val="Hyperlink0"/>
          <w:rFonts w:ascii="Times New Roman" w:hAnsi="Times New Roman"/>
        </w:rPr>
        <w:t>ádění Energetick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ho monitoringu</w:t>
      </w:r>
    </w:p>
    <w:p>
      <w:pPr>
        <w:pStyle w:val="VchozA"/>
        <w:widowControl w:val="false"/>
        <w:spacing w:before="0" w:after="20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20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20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20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Style w:val="Dn"/>
          <w:rFonts w:ascii="Times New Roman" w:hAnsi="Times New Roman"/>
        </w:rPr>
        <w:t>Za Objednatele:</w:t>
        <w:tab/>
        <w:tab/>
        <w:tab/>
        <w:tab/>
        <w:tab/>
        <w:tab/>
        <w:t>Za Poskytovatele:</w:t>
      </w:r>
    </w:p>
    <w:p>
      <w:pPr>
        <w:pStyle w:val="VchozA"/>
        <w:widowControl w:val="false"/>
        <w:spacing w:before="0" w:after="20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Style w:val="Dn"/>
          <w:rFonts w:ascii="Times New Roman" w:hAnsi="Times New Roman"/>
        </w:rPr>
        <w:t>V Klatovech ……………</w:t>
        <w:tab/>
        <w:tab/>
        <w:tab/>
        <w:tab/>
        <w:t>V Praze, dne …………..</w:t>
      </w:r>
    </w:p>
    <w:p>
      <w:pPr>
        <w:pStyle w:val="VchozA"/>
        <w:widowControl w:val="false"/>
        <w:spacing w:before="0" w:after="200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200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200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rPr>
          <w:rStyle w:val="Dn"/>
          <w:rFonts w:ascii="Times New Roman" w:hAnsi="Times New Roman" w:eastAsia="Times New Roman" w:cs="Times New Roman"/>
        </w:rPr>
      </w:pPr>
      <w:r>
        <w:rPr>
          <w:rStyle w:val="Dn"/>
          <w:rFonts w:ascii="Times New Roman" w:hAnsi="Times New Roman"/>
        </w:rPr>
        <w:t>………………………………</w:t>
      </w:r>
      <w:r>
        <w:rPr>
          <w:rStyle w:val="Dn"/>
          <w:rFonts w:ascii="Times New Roman" w:hAnsi="Times New Roman"/>
        </w:rPr>
        <w:tab/>
        <w:tab/>
        <w:tab/>
        <w:tab/>
        <w:t>………………………………</w:t>
      </w:r>
    </w:p>
    <w:p>
      <w:pPr>
        <w:pStyle w:val="VchozA"/>
        <w:widowControl w:val="false"/>
        <w:rPr>
          <w:rStyle w:val="Dn"/>
          <w:rFonts w:ascii="Times New Roman" w:hAnsi="Times New Roman" w:eastAsia="Times New Roman" w:cs="Times New Roman"/>
        </w:rPr>
      </w:pPr>
      <w:r>
        <w:rPr>
          <w:rStyle w:val="Dn"/>
          <w:rFonts w:ascii="Times New Roman" w:hAnsi="Times New Roman"/>
        </w:rPr>
        <w:t>VOŠ a SZŠ Klatovy</w:t>
      </w:r>
      <w:r>
        <w:rPr>
          <w:rStyle w:val="Dn"/>
          <w:rFonts w:eastAsia="Times New Roman" w:cs="Times New Roman" w:ascii="Times New Roman" w:hAnsi="Times New Roman"/>
        </w:rPr>
        <w:tab/>
        <w:tab/>
        <w:tab/>
        <w:tab/>
        <w:tab/>
      </w:r>
      <w:r>
        <w:rPr>
          <w:rStyle w:val="Dn"/>
          <w:rFonts w:ascii="Times New Roman" w:hAnsi="Times New Roman"/>
          <w:lang w:val="pt-PT"/>
        </w:rPr>
        <w:t>Data-Ing, s.r.o.</w:t>
      </w:r>
    </w:p>
    <w:p>
      <w:pPr>
        <w:pStyle w:val="VchozA"/>
        <w:widowControl w:val="false"/>
        <w:rPr>
          <w:rStyle w:val="Dn"/>
          <w:rFonts w:ascii="Times New Roman" w:hAnsi="Times New Roman" w:eastAsia="Times New Roman" w:cs="Times New Roman"/>
        </w:rPr>
      </w:pPr>
      <w:r>
        <w:rPr>
          <w:rStyle w:val="Dn"/>
          <w:rFonts w:ascii="Times New Roman" w:hAnsi="Times New Roman"/>
        </w:rPr>
        <w:t>Ing. Soňa Rabušicová, ředitelka</w:t>
        <w:tab/>
        <w:tab/>
        <w:tab/>
      </w:r>
      <w:r>
        <w:rPr>
          <w:rStyle w:val="Dn"/>
          <w:rFonts w:eastAsia="Times New Roman" w:cs="Times New Roman" w:ascii="Times New Roman" w:hAnsi="Times New Roman"/>
        </w:rPr>
        <w:tab/>
        <w:t>Lenka Kazeck</w:t>
      </w:r>
      <w:r>
        <w:rPr>
          <w:rStyle w:val="Dn"/>
          <w:rFonts w:ascii="Times New Roman" w:hAnsi="Times New Roman"/>
        </w:rPr>
        <w:t>á, jednatelka</w:t>
      </w:r>
    </w:p>
    <w:p>
      <w:pPr>
        <w:pStyle w:val="VchozA"/>
        <w:widowControl w:val="false"/>
        <w:rPr>
          <w:rStyle w:val="Dn"/>
          <w:rFonts w:ascii="Times New Roman" w:hAnsi="Times New Roman" w:eastAsia="Times New Roman" w:cs="Times New Roman"/>
        </w:rPr>
      </w:pPr>
      <w:r>
        <w:rPr>
          <w:rStyle w:val="Dn"/>
          <w:rFonts w:eastAsia="Times New Roman" w:cs="Times New Roman" w:ascii="Times New Roman" w:hAnsi="Times New Roman"/>
        </w:rPr>
        <w:tab/>
        <w:tab/>
        <w:t xml:space="preserve">             </w:t>
      </w:r>
    </w:p>
    <w:p>
      <w:pPr>
        <w:pStyle w:val="VchozA"/>
        <w:widowControl w:val="false"/>
        <w:spacing w:before="0" w:after="200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2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2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2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2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2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widowControl w:val="false"/>
        <w:spacing w:before="0" w:after="20"/>
        <w:jc w:val="both"/>
        <w:rPr>
          <w:rStyle w:val="Dn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VchozA"/>
        <w:spacing w:lineRule="auto" w:line="259" w:before="0" w:after="160"/>
        <w:rPr/>
      </w:pPr>
      <w:r>
        <w:rPr/>
      </w:r>
      <w:r>
        <w:br w:type="page"/>
      </w:r>
    </w:p>
    <w:p>
      <w:pPr>
        <w:pStyle w:val="VchozA"/>
        <w:widowControl w:val="false"/>
        <w:spacing w:before="0" w:after="20"/>
        <w:jc w:val="center"/>
        <w:rPr>
          <w:rStyle w:val="Dn"/>
          <w:rFonts w:ascii="Times New Roman" w:hAnsi="Times New Roman" w:eastAsia="Times New Roman" w:cs="Times New Roman"/>
          <w:b/>
          <w:b/>
          <w:bCs/>
        </w:rPr>
      </w:pPr>
      <w:r>
        <w:rPr>
          <w:rStyle w:val="Dn"/>
          <w:rFonts w:ascii="Times New Roman" w:hAnsi="Times New Roman"/>
          <w:b/>
          <w:bCs/>
        </w:rPr>
        <w:t>Příloha č. 1</w:t>
      </w:r>
    </w:p>
    <w:p>
      <w:pPr>
        <w:pStyle w:val="VchozA"/>
        <w:widowControl w:val="false"/>
        <w:spacing w:before="0" w:after="20"/>
        <w:jc w:val="center"/>
        <w:rPr>
          <w:rStyle w:val="Dn"/>
          <w:rFonts w:ascii="Times New Roman" w:hAnsi="Times New Roman" w:eastAsia="Times New Roman" w:cs="Times New Roman"/>
          <w:b/>
          <w:b/>
          <w:bCs/>
        </w:rPr>
      </w:pPr>
      <w:r>
        <w:rPr>
          <w:rStyle w:val="Dn"/>
          <w:rFonts w:ascii="Times New Roman" w:hAnsi="Times New Roman"/>
          <w:b/>
          <w:bCs/>
        </w:rPr>
        <w:t>Mí</w:t>
      </w:r>
      <w:r>
        <w:rPr>
          <w:rStyle w:val="Dn"/>
          <w:rFonts w:ascii="Times New Roman" w:hAnsi="Times New Roman"/>
          <w:b/>
          <w:bCs/>
          <w:lang w:val="it-IT"/>
        </w:rPr>
        <w:t>sto prov</w:t>
      </w:r>
      <w:r>
        <w:rPr>
          <w:rStyle w:val="Dn"/>
          <w:rFonts w:ascii="Times New Roman" w:hAnsi="Times New Roman"/>
          <w:b/>
          <w:bCs/>
        </w:rPr>
        <w:t>ádění Energetick</w:t>
      </w:r>
      <w:r>
        <w:rPr>
          <w:rStyle w:val="Dn"/>
          <w:rFonts w:ascii="Times New Roman" w:hAnsi="Times New Roman"/>
          <w:b/>
          <w:bCs/>
          <w:lang w:val="fr-FR"/>
        </w:rPr>
        <w:t>é</w:t>
      </w:r>
      <w:r>
        <w:rPr>
          <w:rStyle w:val="Dn"/>
          <w:rFonts w:ascii="Times New Roman" w:hAnsi="Times New Roman"/>
          <w:b/>
          <w:bCs/>
        </w:rPr>
        <w:t>ho monitoringu</w:t>
      </w:r>
    </w:p>
    <w:p>
      <w:pPr>
        <w:pStyle w:val="VchozA"/>
        <w:widowControl w:val="false"/>
        <w:spacing w:before="0" w:after="20"/>
        <w:jc w:val="center"/>
        <w:rPr>
          <w:rStyle w:val="Dn"/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tbl>
      <w:tblPr>
        <w:tblStyle w:val="TableNormal"/>
        <w:tblW w:w="9614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3287"/>
        <w:gridCol w:w="3163"/>
        <w:gridCol w:w="3164"/>
      </w:tblGrid>
      <w:tr>
        <w:trPr>
          <w:trHeight w:val="251" w:hRule="atLeast"/>
        </w:trPr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cs-CZ" w:eastAsia="zh-CN" w:bidi="hi-IN"/>
              </w:rPr>
              <w:t xml:space="preserve">Název objektu 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cs-CZ" w:eastAsia="zh-CN" w:bidi="hi-IN"/>
              </w:rPr>
              <w:t>Adresa objektu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b/>
                <w:bCs/>
                <w:kern w:val="2"/>
                <w:lang w:val="cs-CZ" w:eastAsia="zh-CN" w:bidi="hi-IN"/>
              </w:rPr>
              <w:t>Poznámka</w:t>
            </w:r>
          </w:p>
        </w:tc>
      </w:tr>
      <w:tr>
        <w:trPr>
          <w:trHeight w:val="995" w:hRule="atLeast"/>
        </w:trPr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BEBEB" w:val="clear"/>
          </w:tcPr>
          <w:p>
            <w:pPr>
              <w:pStyle w:val="VchozA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uppressAutoHyphens w:val="true"/>
              <w:spacing w:before="0" w:after="20"/>
              <w:jc w:val="center"/>
              <w:rPr/>
            </w:pPr>
            <w:r>
              <w:rPr>
                <w:rStyle w:val="Dn"/>
                <w:rFonts w:eastAsia="Arial Unicode MS" w:ascii="Times New Roman" w:hAnsi="Times New Roman"/>
                <w:b w:val="false"/>
                <w:bCs w:val="false"/>
                <w:kern w:val="0"/>
                <w:sz w:val="18"/>
                <w:szCs w:val="18"/>
                <w:lang w:val="cs-CZ" w:eastAsia="zh-CN" w:bidi="hi-IN"/>
              </w:rPr>
              <w:t>Vyšší odborná škola, Obchodní akademie, Střední zdravotnická škola a Jazyková škola s právem SJZ, Klatovy, Plánická 196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BEBEB" w:val="clear"/>
          </w:tcPr>
          <w:p>
            <w:pPr>
              <w:pStyle w:val="VchozA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uppressAutoHyphens w:val="true"/>
              <w:spacing w:before="0" w:after="2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Style w:val="Dn"/>
                <w:rFonts w:eastAsia="Arial Unicode MS" w:ascii="Times New Roman" w:hAnsi="Times New Roman"/>
                <w:kern w:val="0"/>
                <w:sz w:val="20"/>
                <w:szCs w:val="20"/>
                <w:lang w:val="cs-CZ" w:eastAsia="zh-CN" w:bidi="hi-IN"/>
              </w:rPr>
              <w:t>Plánická 196, 339 01 Klatovy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BEBEB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</w:rPr>
            </w:pPr>
            <w:r>
              <w:rPr>
                <w:rFonts w:eastAsia="Arial Unicode MS" w:cs="Times New Roman"/>
                <w:kern w:val="0"/>
              </w:rPr>
            </w:r>
          </w:p>
        </w:tc>
      </w:tr>
    </w:tbl>
    <w:p>
      <w:pPr>
        <w:pStyle w:val="VchozA"/>
        <w:widowControl w:val="false"/>
        <w:spacing w:before="0" w:after="20"/>
        <w:jc w:val="center"/>
        <w:rPr>
          <w:rStyle w:val="Dn"/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VchozA"/>
        <w:widowControl w:val="false"/>
        <w:spacing w:before="0" w:after="20"/>
        <w:jc w:val="center"/>
        <w:rPr>
          <w:rStyle w:val="Dn"/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tbl>
      <w:tblPr>
        <w:tblStyle w:val="TableNormal"/>
        <w:tblW w:w="9594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4088"/>
        <w:gridCol w:w="5505"/>
      </w:tblGrid>
      <w:tr>
        <w:trPr>
          <w:trHeight w:val="251" w:hRule="atLeast"/>
        </w:trPr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cs-CZ" w:eastAsia="zh-CN" w:bidi="hi-IN"/>
              </w:rPr>
              <w:t>Monitorovan</w:t>
            </w: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fr-FR" w:eastAsia="zh-CN" w:bidi="hi-IN"/>
              </w:rPr>
              <w:t xml:space="preserve">é </w:t>
            </w: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cs-CZ" w:eastAsia="zh-CN" w:bidi="hi-IN"/>
              </w:rPr>
              <w:t>měřidlo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VchozA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cs-CZ" w:eastAsia="zh-CN" w:bidi="hi-IN"/>
              </w:rPr>
              <w:t xml:space="preserve">Další </w:t>
            </w:r>
            <w:r>
              <w:rPr>
                <w:rStyle w:val="Dn"/>
                <w:rFonts w:eastAsia="Arial Unicode MS" w:ascii="Times New Roman" w:hAnsi="Times New Roman"/>
                <w:b/>
                <w:bCs/>
                <w:kern w:val="0"/>
                <w:lang w:val="it-IT" w:eastAsia="zh-CN" w:bidi="hi-IN"/>
              </w:rPr>
              <w:t>senzory</w:t>
            </w:r>
          </w:p>
        </w:tc>
      </w:tr>
      <w:tr>
        <w:trPr>
          <w:trHeight w:val="995" w:hRule="atLeast"/>
        </w:trPr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BEBEB" w:val="clear"/>
          </w:tcPr>
          <w:p>
            <w:pPr>
              <w:pStyle w:val="VchozA"/>
              <w:widowControl w:val="false"/>
              <w:suppressAutoHyphens w:val="true"/>
              <w:spacing w:before="0" w:after="0"/>
              <w:jc w:val="center"/>
              <w:rPr>
                <w:rStyle w:val="Dn"/>
                <w:rFonts w:ascii="Times New Roman" w:hAnsi="Times New Roman" w:eastAsia="Times New Roman" w:cs="Times New Roman"/>
              </w:rPr>
            </w:pPr>
            <w:r>
              <w:rPr>
                <w:rStyle w:val="Dn"/>
                <w:rFonts w:ascii="Times New Roman" w:hAnsi="Times New Roman"/>
                <w:kern w:val="0"/>
                <w:lang w:val="da-DK" w:eastAsia="zh-CN" w:bidi="hi-IN"/>
              </w:rPr>
              <w:t>1x faktura</w:t>
            </w:r>
            <w:r>
              <w:rPr>
                <w:rStyle w:val="Dn"/>
                <w:rFonts w:ascii="Times New Roman" w:hAnsi="Times New Roman"/>
                <w:kern w:val="0"/>
                <w:lang w:val="cs-CZ" w:eastAsia="zh-CN" w:bidi="hi-IN"/>
              </w:rPr>
              <w:t>ční elektroměr</w:t>
            </w:r>
          </w:p>
          <w:p>
            <w:pPr>
              <w:pStyle w:val="VchozA"/>
              <w:widowControl w:val="false"/>
              <w:suppressAutoHyphens w:val="true"/>
              <w:spacing w:before="0" w:after="0"/>
              <w:jc w:val="center"/>
              <w:rPr>
                <w:rStyle w:val="Dn"/>
                <w:rFonts w:ascii="Times New Roman" w:hAnsi="Times New Roman" w:eastAsia="Times New Roman" w:cs="Times New Roman"/>
              </w:rPr>
            </w:pPr>
            <w:r>
              <w:rPr>
                <w:rStyle w:val="Dn"/>
                <w:rFonts w:ascii="Times New Roman" w:hAnsi="Times New Roman"/>
                <w:kern w:val="0"/>
                <w:lang w:val="da-DK" w:eastAsia="zh-CN" w:bidi="hi-IN"/>
              </w:rPr>
              <w:t>1x faktura</w:t>
            </w:r>
            <w:r>
              <w:rPr>
                <w:rStyle w:val="Dn"/>
                <w:rFonts w:ascii="Times New Roman" w:hAnsi="Times New Roman"/>
                <w:kern w:val="0"/>
                <w:lang w:val="cs-CZ" w:eastAsia="zh-CN" w:bidi="hi-IN"/>
              </w:rPr>
              <w:t>čn</w:t>
            </w:r>
            <w:r>
              <w:rPr>
                <w:rStyle w:val="Dn"/>
                <w:rFonts w:ascii="Times New Roman" w:hAnsi="Times New Roman"/>
                <w:kern w:val="0"/>
                <w:lang w:val="cs-CZ" w:eastAsia="zh-CN" w:bidi="hi-IN"/>
              </w:rPr>
              <w:t>í plynoměr</w:t>
            </w:r>
          </w:p>
          <w:p>
            <w:pPr>
              <w:pStyle w:val="VchozA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Style w:val="Dn"/>
                <w:rFonts w:eastAsia="Arial Unicode MS" w:ascii="Times New Roman" w:hAnsi="Times New Roman"/>
                <w:kern w:val="0"/>
                <w:lang w:val="da-DK" w:eastAsia="zh-CN" w:bidi="hi-IN"/>
              </w:rPr>
              <w:t>1x faktura</w:t>
            </w:r>
            <w:r>
              <w:rPr>
                <w:rStyle w:val="Dn"/>
                <w:rFonts w:eastAsia="Arial Unicode MS" w:ascii="Times New Roman" w:hAnsi="Times New Roman"/>
                <w:kern w:val="0"/>
                <w:lang w:val="cs-CZ" w:eastAsia="zh-CN" w:bidi="hi-IN"/>
              </w:rPr>
              <w:t>ční vodoměr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BEBEB" w:val="clear"/>
          </w:tcPr>
          <w:p>
            <w:pPr>
              <w:pStyle w:val="VchozA"/>
              <w:widowControl w:val="false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uppressAutoHyphens w:val="true"/>
              <w:spacing w:before="0" w:after="0"/>
              <w:jc w:val="center"/>
              <w:rPr>
                <w:rStyle w:val="Dn"/>
                <w:rFonts w:ascii="Times New Roman" w:hAnsi="Times New Roman" w:eastAsia="Times New Roman" w:cs="Times New Roman"/>
              </w:rPr>
            </w:pPr>
            <w:r>
              <w:rPr>
                <w:rStyle w:val="Dn"/>
                <w:rFonts w:ascii="Times New Roman" w:hAnsi="Times New Roman"/>
                <w:kern w:val="0"/>
                <w:lang w:val="cs-CZ" w:eastAsia="zh-CN" w:bidi="hi-IN"/>
              </w:rPr>
              <w:t>6x teplotní čidlo  s vlhkoměrem</w:t>
            </w:r>
          </w:p>
        </w:tc>
      </w:tr>
    </w:tbl>
    <w:p>
      <w:pPr>
        <w:pStyle w:val="VchozA"/>
        <w:widowControl w:val="false"/>
        <w:spacing w:before="0" w:after="20"/>
        <w:jc w:val="center"/>
        <w:rPr>
          <w:rStyle w:val="Dn"/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VchozA"/>
        <w:widowControl w:val="false"/>
        <w:spacing w:before="0" w:after="20"/>
        <w:jc w:val="center"/>
        <w:rPr/>
      </w:pPr>
      <w:r>
        <w:rPr/>
      </w:r>
    </w:p>
    <w:p>
      <w:pPr>
        <w:pStyle w:val="VchozA"/>
        <w:widowControl w:val="false"/>
        <w:spacing w:before="0" w:after="20"/>
        <w:jc w:val="center"/>
        <w:rPr/>
      </w:pPr>
      <w:r>
        <w:rPr/>
      </w:r>
    </w:p>
    <w:p>
      <w:pPr>
        <w:pStyle w:val="VchozA"/>
        <w:widowControl w:val="false"/>
        <w:spacing w:before="0" w:after="20"/>
        <w:jc w:val="center"/>
        <w:rPr>
          <w:rStyle w:val="Dn"/>
          <w:rFonts w:ascii="Helvetica" w:hAnsi="Helvetica" w:eastAsia="Helvetica" w:cs="Helvetica"/>
        </w:rPr>
      </w:pPr>
      <w:r>
        <w:rPr/>
      </w:r>
    </w:p>
    <w:p>
      <w:pPr>
        <w:pStyle w:val="VchozA"/>
        <w:widowControl w:val="false"/>
        <w:spacing w:before="0" w:after="20"/>
        <w:jc w:val="center"/>
        <w:rPr/>
      </w:pPr>
      <w:r>
        <w:rPr/>
      </w:r>
    </w:p>
    <w:p>
      <w:pPr>
        <w:pStyle w:val="VchozA"/>
        <w:widowControl w:val="false"/>
        <w:spacing w:before="0" w:after="20"/>
        <w:jc w:val="center"/>
        <w:rPr/>
      </w:pPr>
      <w:r>
        <w:rPr/>
      </w:r>
    </w:p>
    <w:p>
      <w:pPr>
        <w:pStyle w:val="VchozA"/>
        <w:widowControl w:val="false"/>
        <w:spacing w:before="0" w:after="20"/>
        <w:jc w:val="center"/>
        <w:rPr/>
      </w:pPr>
      <w:r>
        <w:rPr/>
      </w:r>
    </w:p>
    <w:p>
      <w:pPr>
        <w:pStyle w:val="VchozA"/>
        <w:widowControl w:val="false"/>
        <w:spacing w:before="0" w:after="20"/>
        <w:jc w:val="center"/>
        <w:rPr/>
      </w:pPr>
      <w:r>
        <w:rPr/>
      </w:r>
    </w:p>
    <w:p>
      <w:pPr>
        <w:pStyle w:val="VchozA"/>
        <w:widowControl w:val="false"/>
        <w:spacing w:before="0" w:after="20"/>
        <w:jc w:val="center"/>
        <w:rPr/>
      </w:pPr>
      <w:r>
        <w:rPr/>
      </w:r>
    </w:p>
    <w:p>
      <w:pPr>
        <w:pStyle w:val="VchozA"/>
        <w:widowControl w:val="false"/>
        <w:spacing w:before="0" w:after="20"/>
        <w:jc w:val="center"/>
        <w:rPr/>
      </w:pPr>
      <w:r>
        <w:rPr/>
      </w:r>
    </w:p>
    <w:p>
      <w:pPr>
        <w:pStyle w:val="VchozA"/>
        <w:widowControl w:val="false"/>
        <w:spacing w:before="0" w:after="20"/>
        <w:jc w:val="center"/>
        <w:rPr/>
      </w:pPr>
      <w:r>
        <w:rPr/>
      </w:r>
    </w:p>
    <w:p>
      <w:pPr>
        <w:pStyle w:val="VchozA"/>
        <w:widowControl w:val="false"/>
        <w:spacing w:before="0" w:after="20"/>
        <w:jc w:val="center"/>
        <w:rPr/>
      </w:pPr>
      <w:r>
        <w:rPr/>
      </w:r>
    </w:p>
    <w:p>
      <w:pPr>
        <w:pStyle w:val="VchozA"/>
        <w:widowControl w:val="false"/>
        <w:spacing w:before="0" w:after="20"/>
        <w:jc w:val="center"/>
        <w:rPr/>
      </w:pPr>
      <w:r>
        <w:rPr/>
      </w:r>
    </w:p>
    <w:p>
      <w:pPr>
        <w:pStyle w:val="VchozA"/>
        <w:widowControl w:val="false"/>
        <w:spacing w:before="0" w:after="20"/>
        <w:jc w:val="center"/>
        <w:rPr/>
      </w:pPr>
      <w:r>
        <w:rPr/>
      </w:r>
    </w:p>
    <w:p>
      <w:pPr>
        <w:pStyle w:val="VchozA"/>
        <w:widowControl w:val="false"/>
        <w:spacing w:before="0" w:after="20"/>
        <w:jc w:val="center"/>
        <w:rPr/>
      </w:pPr>
      <w:r>
        <w:rPr/>
      </w:r>
    </w:p>
    <w:p>
      <w:pPr>
        <w:pStyle w:val="VchozA"/>
        <w:widowControl w:val="false"/>
        <w:spacing w:before="0" w:after="20"/>
        <w:jc w:val="center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Helvetica Neue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a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azpat"/>
      <w:rPr/>
    </w:pPr>
    <w:r>
      <w:rPr/>
      <mc:AlternateContent>
        <mc:Choice Requires="wps">
          <w:drawing>
            <wp:anchor behindDoc="1" distT="6350" distB="6350" distL="6350" distR="6350" simplePos="0" locked="0" layoutInCell="0" allowOverlap="1" relativeHeight="1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770" cy="10694670"/>
              <wp:effectExtent l="0" t="0" r="0" b="0"/>
              <wp:wrapNone/>
              <wp:docPr id="1" name="officeArt object" descr="Obdélník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120" cy="106941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szCs w:val="24"/>
        <w:bCs/>
        <w:w w:val="100"/>
        <w:emboss w:val="false"/>
        <w:imprint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szCs w:val="24"/>
        <w:bCs/>
        <w:w w:val="100"/>
        <w:emboss w:val="false"/>
        <w:imprint w:val="false"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6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szCs w:val="24"/>
        <w:bCs/>
        <w:w w:val="100"/>
        <w:emboss w:val="false"/>
        <w:imprint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szCs w:val="24"/>
        <w:bCs/>
        <w:w w:val="100"/>
        <w:emboss w:val="false"/>
        <w:imprint w:val="false"/>
        <w:color w:val="00000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30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szCs w:val="24"/>
        <w:bCs/>
        <w:w w:val="100"/>
        <w:emboss w:val="false"/>
        <w:imprint w:val="false"/>
        <w:color w:val="00000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0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szCs w:val="24"/>
        <w:bCs/>
        <w:w w:val="100"/>
        <w:emboss w:val="false"/>
        <w:imprint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szCs w:val="24"/>
        <w:bCs/>
        <w:w w:val="100"/>
        <w:emboss w:val="false"/>
        <w:imprint w:val="false"/>
        <w:color w:val="00000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46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szCs w:val="24"/>
        <w:bCs/>
        <w:w w:val="100"/>
        <w:emboss w:val="false"/>
        <w:imprint w:val="false"/>
        <w:color w:val="00000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18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szCs w:val="24"/>
        <w:bCs/>
        <w:w w:val="100"/>
        <w:emboss w:val="false"/>
        <w:imprint w:val="false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30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0" w:hanging="3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1276" w:hanging="7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2011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3.%4.%5.%6."/>
      <w:lvlJc w:val="left"/>
      <w:pPr>
        <w:tabs>
          <w:tab w:val="num" w:pos="0"/>
        </w:tabs>
        <w:ind w:left="2386" w:hanging="108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3.%4.%5.%6.%7."/>
      <w:lvlJc w:val="left"/>
      <w:pPr>
        <w:tabs>
          <w:tab w:val="num" w:pos="0"/>
        </w:tabs>
        <w:ind w:left="3121" w:hanging="14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3.%4.%5.%6.%7.%8."/>
      <w:lvlJc w:val="left"/>
      <w:pPr>
        <w:tabs>
          <w:tab w:val="num" w:pos="0"/>
        </w:tabs>
        <w:ind w:left="3496" w:hanging="14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3.%4.%5.%6.%7.%8.%9."/>
      <w:lvlJc w:val="left"/>
      <w:pPr>
        <w:tabs>
          <w:tab w:val="num" w:pos="0"/>
        </w:tabs>
        <w:ind w:left="4231" w:hanging="18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690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10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51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064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277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490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1703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1916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2129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690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10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51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064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277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490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1703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1916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2129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2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2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2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48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01" w:hanging="48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21" w:hanging="48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641" w:hanging="48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361" w:hanging="48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081" w:hanging="48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801" w:hanging="48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521" w:hanging="48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6241" w:hanging="48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851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0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2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44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16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88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60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32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604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850" w:hanging="35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0" w:hanging="35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90" w:hanging="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10" w:hanging="35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0" w:hanging="35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50" w:hanging="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70" w:hanging="35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0" w:hanging="35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10" w:hanging="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9">
    <w:lvl w:ilvl="0">
      <w:start w:val="1"/>
      <w:numFmt w:val="bullet"/>
      <w:lvlText w:val="-"/>
      <w:lvlJc w:val="left"/>
      <w:pPr>
        <w:tabs>
          <w:tab w:val="num" w:pos="380"/>
        </w:tabs>
        <w:ind w:left="720" w:hanging="36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color w:val="000000"/>
      </w:rPr>
    </w:lvl>
    <w:lvl w:ilvl="1">
      <w:start w:val="1"/>
      <w:numFmt w:val="bullet"/>
      <w:lvlText w:val="o"/>
      <w:lvlJc w:val="left"/>
      <w:pPr>
        <w:tabs>
          <w:tab w:val="num" w:pos="380"/>
        </w:tabs>
        <w:ind w:left="1440" w:hanging="36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color w:val="000000"/>
      </w:rPr>
    </w:lvl>
    <w:lvl w:ilvl="2">
      <w:start w:val="1"/>
      <w:numFmt w:val="bullet"/>
      <w:lvlText w:val="▪"/>
      <w:lvlJc w:val="left"/>
      <w:pPr>
        <w:tabs>
          <w:tab w:val="num" w:pos="380"/>
        </w:tabs>
        <w:ind w:left="2160" w:hanging="36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color w:val="000000"/>
      </w:rPr>
    </w:lvl>
    <w:lvl w:ilvl="3">
      <w:start w:val="1"/>
      <w:numFmt w:val="bullet"/>
      <w:lvlText w:val="•"/>
      <w:lvlJc w:val="left"/>
      <w:pPr>
        <w:tabs>
          <w:tab w:val="num" w:pos="380"/>
        </w:tabs>
        <w:ind w:left="2880" w:hanging="36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color w:val="000000"/>
      </w:rPr>
    </w:lvl>
    <w:lvl w:ilvl="4">
      <w:start w:val="1"/>
      <w:numFmt w:val="bullet"/>
      <w:lvlText w:val="o"/>
      <w:lvlJc w:val="left"/>
      <w:pPr>
        <w:tabs>
          <w:tab w:val="num" w:pos="380"/>
        </w:tabs>
        <w:ind w:left="3600" w:hanging="36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color w:val="000000"/>
      </w:rPr>
    </w:lvl>
    <w:lvl w:ilvl="5">
      <w:start w:val="1"/>
      <w:numFmt w:val="bullet"/>
      <w:lvlText w:val="▪"/>
      <w:lvlJc w:val="left"/>
      <w:pPr>
        <w:tabs>
          <w:tab w:val="num" w:pos="380"/>
        </w:tabs>
        <w:ind w:left="4320" w:hanging="36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color w:val="000000"/>
      </w:rPr>
    </w:lvl>
    <w:lvl w:ilvl="6">
      <w:start w:val="1"/>
      <w:numFmt w:val="bullet"/>
      <w:lvlText w:val="•"/>
      <w:lvlJc w:val="left"/>
      <w:pPr>
        <w:tabs>
          <w:tab w:val="num" w:pos="380"/>
        </w:tabs>
        <w:ind w:left="5040" w:hanging="36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color w:val="000000"/>
      </w:rPr>
    </w:lvl>
    <w:lvl w:ilvl="7">
      <w:start w:val="1"/>
      <w:numFmt w:val="bullet"/>
      <w:lvlText w:val="o"/>
      <w:lvlJc w:val="left"/>
      <w:pPr>
        <w:tabs>
          <w:tab w:val="num" w:pos="380"/>
        </w:tabs>
        <w:ind w:left="5760" w:hanging="36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color w:val="000000"/>
      </w:rPr>
    </w:lvl>
    <w:lvl w:ilvl="8">
      <w:start w:val="1"/>
      <w:numFmt w:val="bullet"/>
      <w:lvlText w:val="▪"/>
      <w:lvlJc w:val="left"/>
      <w:pPr>
        <w:tabs>
          <w:tab w:val="num" w:pos="380"/>
        </w:tabs>
        <w:ind w:left="6480" w:hanging="360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color w:val="000000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93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393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393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393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393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393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393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393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18">
    <w:lvl w:ilvl="0">
      <w:start w:val="1"/>
      <w:numFmt w:val="lowerLetter"/>
      <w:lvlText w:val="%1)"/>
      <w:lvlJc w:val="left"/>
      <w:pPr>
        <w:tabs>
          <w:tab w:val="num" w:pos="0"/>
        </w:tabs>
        <w:ind w:left="690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10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932" w:hanging="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1064"/>
        </w:tabs>
        <w:ind w:left="1145" w:hanging="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lowerLetter"/>
      <w:lvlText w:val="%5)"/>
      <w:lvlJc w:val="left"/>
      <w:pPr>
        <w:tabs>
          <w:tab w:val="num" w:pos="1277"/>
        </w:tabs>
        <w:ind w:left="1358" w:hanging="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lowerLetter"/>
      <w:lvlText w:val="%6)"/>
      <w:lvlJc w:val="left"/>
      <w:pPr>
        <w:tabs>
          <w:tab w:val="num" w:pos="1490"/>
        </w:tabs>
        <w:ind w:left="1571" w:hanging="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lowerLetter"/>
      <w:lvlText w:val="%7)"/>
      <w:lvlJc w:val="left"/>
      <w:pPr>
        <w:tabs>
          <w:tab w:val="num" w:pos="1703"/>
        </w:tabs>
        <w:ind w:left="1784" w:hanging="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lowerLetter"/>
      <w:lvlText w:val="%8)"/>
      <w:lvlJc w:val="left"/>
      <w:pPr>
        <w:tabs>
          <w:tab w:val="num" w:pos="1916"/>
        </w:tabs>
        <w:ind w:left="1997" w:hanging="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lowerLetter"/>
      <w:lvlText w:val="%9)"/>
      <w:lvlJc w:val="left"/>
      <w:pPr>
        <w:tabs>
          <w:tab w:val="num" w:pos="2129"/>
        </w:tabs>
        <w:ind w:left="2210" w:hanging="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19">
    <w:lvl w:ilvl="0">
      <w:start w:val="1"/>
      <w:numFmt w:val="lowerLetter"/>
      <w:lvlText w:val="%1)"/>
      <w:lvlJc w:val="left"/>
      <w:pPr>
        <w:tabs>
          <w:tab w:val="num" w:pos="0"/>
        </w:tabs>
        <w:ind w:left="690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10" w:hanging="3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932" w:hanging="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1064"/>
        </w:tabs>
        <w:ind w:left="1145" w:hanging="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lowerLetter"/>
      <w:lvlText w:val="%5)"/>
      <w:lvlJc w:val="left"/>
      <w:pPr>
        <w:tabs>
          <w:tab w:val="num" w:pos="1277"/>
        </w:tabs>
        <w:ind w:left="1358" w:hanging="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lowerLetter"/>
      <w:lvlText w:val="%6)"/>
      <w:lvlJc w:val="left"/>
      <w:pPr>
        <w:tabs>
          <w:tab w:val="num" w:pos="1490"/>
        </w:tabs>
        <w:ind w:left="1571" w:hanging="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lowerLetter"/>
      <w:lvlText w:val="%7)"/>
      <w:lvlJc w:val="left"/>
      <w:pPr>
        <w:tabs>
          <w:tab w:val="num" w:pos="1703"/>
        </w:tabs>
        <w:ind w:left="1784" w:hanging="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lowerLetter"/>
      <w:lvlText w:val="%8)"/>
      <w:lvlJc w:val="left"/>
      <w:pPr>
        <w:tabs>
          <w:tab w:val="num" w:pos="1916"/>
        </w:tabs>
        <w:ind w:left="1997" w:hanging="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lowerLetter"/>
      <w:lvlText w:val="%9)"/>
      <w:lvlJc w:val="left"/>
      <w:pPr>
        <w:tabs>
          <w:tab w:val="num" w:pos="2129"/>
        </w:tabs>
        <w:ind w:left="2210" w:hanging="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393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393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393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67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485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7" w:hanging="9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235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7" w:hanging="1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1985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7" w:hanging="164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67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485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7" w:hanging="9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235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7" w:hanging="1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1985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7" w:hanging="164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67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485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7" w:hanging="9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235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7" w:hanging="1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1985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7" w:hanging="164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567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485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7" w:hanging="9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235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7" w:hanging="1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1985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7" w:hanging="164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67" w:hanging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485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7" w:hanging="9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1235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7" w:hanging="1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1985" w:hanging="1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7" w:hanging="164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801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536"/>
        </w:tabs>
        <w:ind w:left="1852" w:hanging="110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71"/>
        </w:tabs>
        <w:ind w:left="2587" w:hanging="14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646"/>
        </w:tabs>
        <w:ind w:left="2962" w:hanging="14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381"/>
        </w:tabs>
        <w:ind w:left="3697" w:hanging="182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756"/>
        </w:tabs>
        <w:ind w:left="4072" w:hanging="182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491"/>
        </w:tabs>
        <w:ind w:left="4807" w:hanging="218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2"/>
      <w:numFmt w:val="decimal"/>
      <w:suff w:val="nothing"/>
      <w:lvlText w:val="%1.%2.%3."/>
      <w:lvlJc w:val="left"/>
      <w:pPr>
        <w:tabs>
          <w:tab w:val="num" w:pos="0"/>
        </w:tabs>
        <w:ind w:left="801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536"/>
        </w:tabs>
        <w:ind w:left="1852" w:hanging="110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71"/>
        </w:tabs>
        <w:ind w:left="2587" w:hanging="14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646"/>
        </w:tabs>
        <w:ind w:left="2962" w:hanging="14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381"/>
        </w:tabs>
        <w:ind w:left="3697" w:hanging="182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756"/>
        </w:tabs>
        <w:ind w:left="4072" w:hanging="182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491"/>
        </w:tabs>
        <w:ind w:left="4807" w:hanging="218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32">
    <w:lvl w:ilvl="0">
      <w:start w:val="4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33">
    <w:lvl w:ilvl="0">
      <w:start w:val="4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34">
    <w:lvl w:ilvl="0">
      <w:start w:val="4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35">
    <w:lvl w:ilvl="0">
      <w:start w:val="4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36">
    <w:lvl w:ilvl="0">
      <w:start w:val="4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37">
    <w:lvl w:ilvl="0">
      <w:start w:val="4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38">
    <w:lvl w:ilvl="0">
      <w:start w:val="4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39">
    <w:lvl w:ilvl="0">
      <w:start w:val="4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40">
    <w:lvl w:ilvl="0">
      <w:start w:val="4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41">
    <w:lvl w:ilvl="0">
      <w:start w:val="4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42">
    <w:lvl w:ilvl="0">
      <w:start w:val="4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0" w:hanging="78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5" w:hanging="78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0" w:hanging="114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5" w:hanging="114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0" w:hanging="150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5" w:hanging="150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0" w:hanging="186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44">
    <w:lvl w:ilvl="0">
      <w:start w:val="6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45">
    <w:lvl w:ilvl="0">
      <w:start w:val="4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46">
    <w:lvl w:ilvl="0">
      <w:start w:val="4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47">
    <w:lvl w:ilvl="0">
      <w:start w:val="4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0" w:hanging="78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5" w:hanging="78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0" w:hanging="114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5" w:hanging="114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0" w:hanging="150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5" w:hanging="150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0" w:hanging="186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49">
    <w:lvl w:ilvl="0">
      <w:start w:val="1"/>
      <w:numFmt w:val="lowerLetter"/>
      <w:lvlText w:val="%1)"/>
      <w:lvlJc w:val="left"/>
      <w:pPr>
        <w:tabs>
          <w:tab w:val="num" w:pos="0"/>
        </w:tabs>
        <w:ind w:left="851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82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02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422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142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862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582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302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6022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50">
    <w:lvl w:ilvl="0">
      <w:start w:val="1"/>
      <w:numFmt w:val="lowerLetter"/>
      <w:lvlText w:val="%1)"/>
      <w:lvlJc w:val="left"/>
      <w:pPr>
        <w:tabs>
          <w:tab w:val="num" w:pos="0"/>
        </w:tabs>
        <w:ind w:left="851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82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02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422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142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862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582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302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6022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51">
    <w:lvl w:ilvl="0">
      <w:start w:val="1"/>
      <w:numFmt w:val="lowerLetter"/>
      <w:lvlText w:val="%1)"/>
      <w:lvlJc w:val="left"/>
      <w:pPr>
        <w:tabs>
          <w:tab w:val="num" w:pos="0"/>
        </w:tabs>
        <w:ind w:left="851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82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02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422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142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862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582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302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6022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52">
    <w:lvl w:ilvl="0">
      <w:start w:val="1"/>
      <w:numFmt w:val="lowerLetter"/>
      <w:lvlText w:val="%1)"/>
      <w:lvlJc w:val="left"/>
      <w:pPr>
        <w:tabs>
          <w:tab w:val="num" w:pos="0"/>
        </w:tabs>
        <w:ind w:left="851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82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02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422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142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862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582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302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6022" w:hanging="2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53"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54">
    <w:lvl w:ilvl="0">
      <w:start w:val="4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55">
    <w:lvl w:ilvl="0">
      <w:start w:val="7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56">
    <w:lvl w:ilvl="0">
      <w:start w:val="4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57">
    <w:lvl w:ilvl="0">
      <w:start w:val="4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58">
    <w:lvl w:ilvl="0">
      <w:start w:val="4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59"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0" w:hanging="78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5" w:hanging="78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0" w:hanging="114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5" w:hanging="114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0" w:hanging="150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5" w:hanging="150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0" w:hanging="186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60">
    <w:lvl w:ilvl="0">
      <w:start w:val="1"/>
      <w:numFmt w:val="lowerLetter"/>
      <w:lvlText w:val="%1)"/>
      <w:lvlJc w:val="left"/>
      <w:pPr>
        <w:tabs>
          <w:tab w:val="num" w:pos="0"/>
        </w:tabs>
        <w:ind w:left="851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1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91" w:hanging="2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11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1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51" w:hanging="2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71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1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11" w:hanging="2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61">
    <w:lvl w:ilvl="0">
      <w:start w:val="8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62">
    <w:lvl w:ilvl="0">
      <w:start w:val="4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63">
    <w:lvl w:ilvl="0">
      <w:start w:val="4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64">
    <w:lvl w:ilvl="0">
      <w:start w:val="4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65">
    <w:lvl w:ilvl="0">
      <w:start w:val="4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66">
    <w:lvl w:ilvl="0">
      <w:start w:val="4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67">
    <w:lvl w:ilvl="0">
      <w:start w:val="4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1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6" w:hanging="7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1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6" w:hanging="114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6" w:hanging="15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1" w:hanging="186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68"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0" w:hanging="78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5" w:hanging="78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0" w:hanging="114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5" w:hanging="114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0" w:hanging="150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55" w:hanging="150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90" w:hanging="186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szCs w:val="24"/>
        <w:w w:val="100"/>
        <w:emboss w:val="false"/>
        <w:imprint w:val="false"/>
        <w:color w:val="000000"/>
      </w:rPr>
    </w:lvl>
  </w:abstractNum>
  <w:abstractNum w:abstractNumId="6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93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71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93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72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93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7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93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74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93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75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93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7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93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77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93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78">
    <w:abstractNumId w:val="3"/>
    <w:lvlOverride w:ilvl="2">
      <w:lvl w:ilvl="2">
        <w:start w:val="1"/>
        <w:numFmt w:val="lowerLetter"/>
        <w:lvlText w:val="%3)"/>
        <w:lvlJc w:val="left"/>
        <w:pPr>
          <w:tabs>
            <w:tab w:val="num" w:pos="851"/>
          </w:tabs>
          <w:ind w:left="932" w:hanging="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064"/>
          </w:tabs>
          <w:ind w:left="1145" w:hanging="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277"/>
          </w:tabs>
          <w:ind w:left="1358" w:hanging="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1490"/>
          </w:tabs>
          <w:ind w:left="1571" w:hanging="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num" w:pos="1703"/>
          </w:tabs>
          <w:ind w:left="1784" w:hanging="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916"/>
          </w:tabs>
          <w:ind w:left="1997" w:hanging="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num" w:pos="2129"/>
          </w:tabs>
          <w:ind w:left="2210" w:hanging="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79">
    <w:abstractNumId w:val="4"/>
    <w:lvlOverride w:ilvl="2">
      <w:lvl w:ilvl="2">
        <w:start w:val="1"/>
        <w:numFmt w:val="lowerLetter"/>
        <w:lvlText w:val="%3)"/>
        <w:lvlJc w:val="left"/>
        <w:pPr>
          <w:tabs>
            <w:tab w:val="num" w:pos="851"/>
          </w:tabs>
          <w:ind w:left="932" w:hanging="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064"/>
          </w:tabs>
          <w:ind w:left="1145" w:hanging="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277"/>
          </w:tabs>
          <w:ind w:left="1358" w:hanging="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1490"/>
          </w:tabs>
          <w:ind w:left="1571" w:hanging="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num" w:pos="1703"/>
          </w:tabs>
          <w:ind w:left="1784" w:hanging="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916"/>
          </w:tabs>
          <w:ind w:left="1997" w:hanging="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num" w:pos="2129"/>
          </w:tabs>
          <w:ind w:left="2210" w:hanging="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80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8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81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9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82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93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8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93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84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93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85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567" w:hanging="56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num" w:pos="0"/>
          </w:tabs>
          <w:ind w:left="485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677" w:hanging="92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num" w:pos="0"/>
          </w:tabs>
          <w:ind w:left="1235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2787" w:hanging="128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num" w:pos="0"/>
          </w:tabs>
          <w:ind w:left="1985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3897" w:hanging="164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8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567" w:hanging="56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num" w:pos="0"/>
          </w:tabs>
          <w:ind w:left="485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677" w:hanging="92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num" w:pos="0"/>
          </w:tabs>
          <w:ind w:left="1235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2787" w:hanging="128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num" w:pos="0"/>
          </w:tabs>
          <w:ind w:left="1985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3897" w:hanging="164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87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567" w:hanging="56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num" w:pos="0"/>
          </w:tabs>
          <w:ind w:left="485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677" w:hanging="92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num" w:pos="0"/>
          </w:tabs>
          <w:ind w:left="1235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2787" w:hanging="128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num" w:pos="0"/>
          </w:tabs>
          <w:ind w:left="1985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3897" w:hanging="164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88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0"/>
          </w:tabs>
          <w:ind w:left="567" w:hanging="56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num" w:pos="0"/>
          </w:tabs>
          <w:ind w:left="485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677" w:hanging="92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num" w:pos="0"/>
          </w:tabs>
          <w:ind w:left="1235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2787" w:hanging="128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num" w:pos="0"/>
          </w:tabs>
          <w:ind w:left="1985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3897" w:hanging="164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89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2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567" w:hanging="56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num" w:pos="0"/>
          </w:tabs>
          <w:ind w:left="485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677" w:hanging="92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num" w:pos="0"/>
          </w:tabs>
          <w:ind w:left="1235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2787" w:hanging="128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num" w:pos="0"/>
          </w:tabs>
          <w:ind w:left="1985" w:hanging="1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3897" w:hanging="164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90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num" w:pos="0"/>
          </w:tabs>
          <w:ind w:left="801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536"/>
          </w:tabs>
          <w:ind w:left="1852" w:hanging="110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71"/>
          </w:tabs>
          <w:ind w:left="2587" w:hanging="14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646"/>
          </w:tabs>
          <w:ind w:left="2962" w:hanging="14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381"/>
          </w:tabs>
          <w:ind w:left="3697" w:hanging="182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56"/>
          </w:tabs>
          <w:ind w:left="4072" w:hanging="182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491"/>
          </w:tabs>
          <w:ind w:left="4807" w:hanging="218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91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2"/>
        <w:numFmt w:val="decimal"/>
        <w:suff w:val="nothing"/>
        <w:lvlText w:val="%1.%2.%3."/>
        <w:lvlJc w:val="left"/>
        <w:pPr>
          <w:tabs>
            <w:tab w:val="num" w:pos="0"/>
          </w:tabs>
          <w:ind w:left="801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536"/>
          </w:tabs>
          <w:ind w:left="1852" w:hanging="110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71"/>
          </w:tabs>
          <w:ind w:left="2587" w:hanging="14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646"/>
          </w:tabs>
          <w:ind w:left="2962" w:hanging="14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381"/>
          </w:tabs>
          <w:ind w:left="3697" w:hanging="182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56"/>
          </w:tabs>
          <w:ind w:left="4072" w:hanging="182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491"/>
          </w:tabs>
          <w:ind w:left="4807" w:hanging="218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92">
    <w:abstractNumId w:val="2"/>
    <w:lvlOverride w:ilvl="0">
      <w:lvl w:ilvl="0">
        <w:start w:val="4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93">
    <w:abstractNumId w:val="2"/>
    <w:lvlOverride w:ilvl="0">
      <w:lvl w:ilvl="0">
        <w:start w:val="4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94">
    <w:abstractNumId w:val="2"/>
    <w:lvlOverride w:ilvl="0">
      <w:lvl w:ilvl="0">
        <w:start w:val="4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95">
    <w:abstractNumId w:val="2"/>
    <w:lvlOverride w:ilvl="0">
      <w:lvl w:ilvl="0">
        <w:start w:val="4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96">
    <w:abstractNumId w:val="2"/>
    <w:lvlOverride w:ilvl="0">
      <w:lvl w:ilvl="0">
        <w:start w:val="4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97">
    <w:abstractNumId w:val="2"/>
    <w:lvlOverride w:ilvl="0">
      <w:lvl w:ilvl="0">
        <w:start w:val="4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98">
    <w:abstractNumId w:val="2"/>
    <w:lvlOverride w:ilvl="0">
      <w:lvl w:ilvl="0">
        <w:start w:val="4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99">
    <w:abstractNumId w:val="2"/>
    <w:lvlOverride w:ilvl="0">
      <w:lvl w:ilvl="0">
        <w:start w:val="4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100">
    <w:abstractNumId w:val="2"/>
    <w:lvlOverride w:ilvl="0">
      <w:lvl w:ilvl="0">
        <w:start w:val="4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101">
    <w:abstractNumId w:val="2"/>
    <w:lvlOverride w:ilvl="0">
      <w:lvl w:ilvl="0">
        <w:start w:val="4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102">
    <w:abstractNumId w:val="2"/>
    <w:lvlOverride w:ilvl="0">
      <w:lvl w:ilvl="0">
        <w:start w:val="4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10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0" w:hanging="78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5" w:hanging="78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0" w:hanging="114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5" w:hanging="114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0" w:hanging="150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5" w:hanging="150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0" w:hanging="186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104">
    <w:abstractNumId w:val="2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105">
    <w:abstractNumId w:val="2"/>
    <w:lvlOverride w:ilvl="0">
      <w:lvl w:ilvl="0">
        <w:start w:val="4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106">
    <w:abstractNumId w:val="2"/>
    <w:lvlOverride w:ilvl="0">
      <w:lvl w:ilvl="0">
        <w:start w:val="4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107">
    <w:abstractNumId w:val="2"/>
    <w:lvlOverride w:ilvl="0">
      <w:lvl w:ilvl="0">
        <w:start w:val="4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108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0" w:hanging="78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5" w:hanging="78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0" w:hanging="114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5" w:hanging="114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0" w:hanging="150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5" w:hanging="150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0" w:hanging="186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109">
    <w:abstractNumId w:val="7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851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982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0"/>
          </w:tabs>
          <w:ind w:left="1702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0"/>
          </w:tabs>
          <w:ind w:left="2422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0"/>
          </w:tabs>
          <w:ind w:left="3142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0"/>
          </w:tabs>
          <w:ind w:left="3862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num" w:pos="0"/>
          </w:tabs>
          <w:ind w:left="4582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0"/>
          </w:tabs>
          <w:ind w:left="5302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num" w:pos="0"/>
          </w:tabs>
          <w:ind w:left="6022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110">
    <w:abstractNumId w:val="7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851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982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0"/>
          </w:tabs>
          <w:ind w:left="1702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0"/>
          </w:tabs>
          <w:ind w:left="2422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0"/>
          </w:tabs>
          <w:ind w:left="3142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0"/>
          </w:tabs>
          <w:ind w:left="3862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num" w:pos="0"/>
          </w:tabs>
          <w:ind w:left="4582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0"/>
          </w:tabs>
          <w:ind w:left="5302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num" w:pos="0"/>
          </w:tabs>
          <w:ind w:left="6022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111">
    <w:abstractNumId w:val="7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851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982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0"/>
          </w:tabs>
          <w:ind w:left="1702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0"/>
          </w:tabs>
          <w:ind w:left="2422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0"/>
          </w:tabs>
          <w:ind w:left="3142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0"/>
          </w:tabs>
          <w:ind w:left="3862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num" w:pos="0"/>
          </w:tabs>
          <w:ind w:left="4582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0"/>
          </w:tabs>
          <w:ind w:left="5302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num" w:pos="0"/>
          </w:tabs>
          <w:ind w:left="6022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112">
    <w:abstractNumId w:val="7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851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982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0"/>
          </w:tabs>
          <w:ind w:left="1702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0"/>
          </w:tabs>
          <w:ind w:left="2422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0"/>
          </w:tabs>
          <w:ind w:left="3142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0"/>
          </w:tabs>
          <w:ind w:left="3862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num" w:pos="0"/>
          </w:tabs>
          <w:ind w:left="4582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0"/>
          </w:tabs>
          <w:ind w:left="5302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num" w:pos="0"/>
          </w:tabs>
          <w:ind w:left="6022" w:hanging="2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11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5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114">
    <w:abstractNumId w:val="2"/>
    <w:lvlOverride w:ilvl="0">
      <w:lvl w:ilvl="0">
        <w:start w:val="4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115">
    <w:abstractNumId w:val="2"/>
    <w:lvlOverride w:ilvl="0">
      <w:lvl w:ilvl="0">
        <w:start w:val="7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116">
    <w:abstractNumId w:val="2"/>
    <w:lvlOverride w:ilvl="0">
      <w:lvl w:ilvl="0">
        <w:start w:val="4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117">
    <w:abstractNumId w:val="2"/>
    <w:lvlOverride w:ilvl="0">
      <w:lvl w:ilvl="0">
        <w:start w:val="4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118">
    <w:abstractNumId w:val="2"/>
    <w:lvlOverride w:ilvl="0">
      <w:lvl w:ilvl="0">
        <w:start w:val="4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119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0" w:hanging="78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5" w:hanging="78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0" w:hanging="114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5" w:hanging="114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0" w:hanging="150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5" w:hanging="150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0" w:hanging="186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120">
    <w:abstractNumId w:val="8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851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571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2291" w:hanging="29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3011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731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451" w:hanging="29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171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891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611" w:hanging="29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121">
    <w:abstractNumId w:val="2"/>
    <w:lvlOverride w:ilvl="0">
      <w:lvl w:ilvl="0">
        <w:start w:val="8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122">
    <w:abstractNumId w:val="2"/>
    <w:lvlOverride w:ilvl="0">
      <w:lvl w:ilvl="0">
        <w:start w:val="4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123">
    <w:abstractNumId w:val="2"/>
    <w:lvlOverride w:ilvl="0">
      <w:lvl w:ilvl="0">
        <w:start w:val="4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124">
    <w:abstractNumId w:val="2"/>
    <w:lvlOverride w:ilvl="0">
      <w:lvl w:ilvl="0">
        <w:start w:val="4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125">
    <w:abstractNumId w:val="2"/>
    <w:lvlOverride w:ilvl="0">
      <w:lvl w:ilvl="0">
        <w:start w:val="4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126">
    <w:abstractNumId w:val="2"/>
    <w:lvlOverride w:ilvl="0">
      <w:lvl w:ilvl="0">
        <w:start w:val="4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127">
    <w:abstractNumId w:val="2"/>
    <w:lvlOverride w:ilvl="0">
      <w:lvl w:ilvl="0">
        <w:start w:val="4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1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6" w:hanging="78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1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6" w:hanging="114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1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6" w:hanging="150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1" w:hanging="186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  <w:num w:numId="128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426" w:hanging="42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42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160" w:hanging="78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535" w:hanging="78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70" w:hanging="114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645" w:hanging="114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380" w:hanging="150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55" w:hanging="150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490" w:hanging="186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kern w:val="0"/>
          <w:szCs w:val="24"/>
          <w:w w:val="100"/>
          <w:emboss w:val="false"/>
          <w:imprint w:val="false"/>
          <w:color w:val="000000"/>
        </w:r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u w:val="none" w:color="FFFFFF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 w:customStyle="1">
    <w:name w:val="Internetový odkaz"/>
    <w:rPr>
      <w:u w:val="single" w:color="FFFFFF"/>
    </w:rPr>
  </w:style>
  <w:style w:type="character" w:styleId="Dn" w:customStyle="1">
    <w:name w:val="Žádný"/>
    <w:qFormat/>
    <w:rPr/>
  </w:style>
  <w:style w:type="character" w:styleId="Hyperlink0" w:customStyle="1">
    <w:name w:val="Hyperlink.0"/>
    <w:basedOn w:val="Dn"/>
    <w:qFormat/>
    <w:rPr>
      <w:outline w:val="false"/>
      <w:color w:val="000000"/>
      <w:u w:val="none" w:color="000000"/>
    </w:rPr>
  </w:style>
  <w:style w:type="character" w:styleId="Hyperlink1" w:customStyle="1">
    <w:name w:val="Hyperlink.1"/>
    <w:basedOn w:val="Dn"/>
    <w:qFormat/>
    <w:rPr>
      <w:rFonts w:ascii="Helvetica Neue" w:hAnsi="Helvetica Neue" w:eastAsia="Helvetica Neue" w:cs="Helvetica Neue"/>
      <w:outline w:val="false"/>
      <w:color w:val="000000"/>
      <w:u w:val="none" w:color="000000"/>
    </w:rPr>
  </w:style>
  <w:style w:type="character" w:styleId="Hyperlink2" w:customStyle="1">
    <w:name w:val="Hyperlink.2"/>
    <w:basedOn w:val="Dn"/>
    <w:qFormat/>
    <w:rPr>
      <w:u w:val="none" w:color="000000"/>
    </w:rPr>
  </w:style>
  <w:style w:type="character" w:styleId="Hyperlink3" w:customStyle="1">
    <w:name w:val="Hyperlink.3"/>
    <w:basedOn w:val="Dn"/>
    <w:qFormat/>
    <w:rPr>
      <w:rFonts w:ascii="Times New Roman" w:hAnsi="Times New Roman" w:eastAsia="Times New Roman" w:cs="Times New Roman"/>
      <w:outline w:val="false"/>
      <w:color w:val="0563C1"/>
      <w:kern w:val="2"/>
      <w:u w:val="single" w:color="0563C1"/>
      <w:shd w:fill="auto" w:val="clear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Zhlavazpat" w:customStyle="1">
    <w:name w:val="Záhlaví a zápatí"/>
    <w:qFormat/>
    <w:pPr>
      <w:widowControl/>
      <w:tabs>
        <w:tab w:val="clear" w:pos="720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cs-CZ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VchozA" w:customStyle="1">
    <w:name w:val="Výchozí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2"/>
      <w:szCs w:val="22"/>
      <w:u w:val="none" w:color="000000"/>
      <w:lang w:val="cs-CZ" w:eastAsia="zh-CN" w:bidi="hi-IN"/>
    </w:rPr>
  </w:style>
  <w:style w:type="paragraph" w:styleId="Text" w:customStyle="1">
    <w:name w:val="Text"/>
    <w:qFormat/>
    <w:pPr>
      <w:widowControl/>
      <w:suppressAutoHyphens w:val="true"/>
      <w:bidi w:val="0"/>
      <w:spacing w:before="0" w:after="0"/>
      <w:jc w:val="left"/>
    </w:pPr>
    <w:rPr>
      <w:rFonts w:eastAsia="Times New Roman" w:ascii="Times New Roman" w:hAnsi="Times New Roman" w:cs="Times New Roman"/>
      <w:color w:val="000000"/>
      <w:kern w:val="0"/>
      <w:sz w:val="24"/>
      <w:szCs w:val="24"/>
      <w:u w:val="none" w:color="000000"/>
      <w:lang w:val="cs-CZ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qFormat/>
    <w:pPr>
      <w:widowControl/>
      <w:suppressAutoHyphens w:val="true"/>
      <w:bidi w:val="0"/>
      <w:spacing w:before="0" w:after="0"/>
      <w:ind w:left="720" w:hanging="0"/>
      <w:jc w:val="left"/>
    </w:pPr>
    <w:rPr>
      <w:rFonts w:eastAsia="Times New Roman" w:ascii="Times New Roman" w:hAnsi="Times New Roman" w:cs="Times New Roman"/>
      <w:color w:val="000000"/>
      <w:kern w:val="0"/>
      <w:sz w:val="24"/>
      <w:szCs w:val="24"/>
      <w:u w:val="none" w:color="000000"/>
      <w:lang w:val="en-US" w:eastAsia="zh-CN" w:bidi="hi-IN"/>
    </w:rPr>
  </w:style>
  <w:style w:type="paragraph" w:styleId="Zhlavazpat1" w:customStyle="1">
    <w:name w:val="Záhlaví a zápatí"/>
    <w:basedOn w:val="Normal"/>
    <w:qFormat/>
    <w:pPr/>
    <w:rPr/>
  </w:style>
  <w:style w:type="paragraph" w:styleId="Zhlav">
    <w:name w:val="Header"/>
    <w:basedOn w:val="Zhlavazpat1"/>
    <w:pPr/>
    <w:rPr/>
  </w:style>
  <w:style w:type="paragraph" w:styleId="Zpat">
    <w:name w:val="Footer"/>
    <w:basedOn w:val="Zhlavazpat1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Importovanstyl1" w:customStyle="1">
    <w:name w:val="Importovaný styl 1"/>
    <w:qFormat/>
  </w:style>
  <w:style w:type="numbering" w:styleId="Importovanstyl2" w:customStyle="1">
    <w:name w:val="Importovaný styl 2"/>
    <w:qFormat/>
  </w:style>
  <w:style w:type="numbering" w:styleId="Importovanstyl3" w:customStyle="1">
    <w:name w:val="Importovaný styl 3"/>
    <w:qFormat/>
  </w:style>
  <w:style w:type="numbering" w:styleId="Importovanstyl4" w:customStyle="1">
    <w:name w:val="Importovaný styl 4"/>
    <w:qFormat/>
  </w:style>
  <w:style w:type="numbering" w:styleId="Importovanstyl5" w:customStyle="1">
    <w:name w:val="Importovaný styl 5"/>
    <w:qFormat/>
  </w:style>
  <w:style w:type="numbering" w:styleId="Importovanstyl6" w:customStyle="1">
    <w:name w:val="Importovaný styl 6"/>
    <w:qFormat/>
  </w:style>
  <w:style w:type="numbering" w:styleId="Importovanstyl7" w:customStyle="1">
    <w:name w:val="Importovaný styl 7"/>
    <w:qFormat/>
  </w:style>
  <w:style w:type="numbering" w:styleId="Importovanstyl8" w:customStyle="1">
    <w:name w:val="Importovaný styl 8"/>
    <w:qFormat/>
  </w:style>
  <w:style w:type="numbering" w:styleId="Importovanstyl9" w:customStyle="1">
    <w:name w:val="Importovaný styl 9"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enka.kazecka@data-ing.cz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LibreOffice/7.1.6.2$Windows_X86_64 LibreOffice_project/0e133318fcee89abacd6a7d077e292f1145735c3</Application>
  <AppVersion>15.0000</AppVersion>
  <Pages>9</Pages>
  <Words>2309</Words>
  <Characters>14510</Characters>
  <CharactersWithSpaces>16612</CharactersWithSpaces>
  <Paragraphs>218</Paragraphs>
  <Company>VOS, OA, SZS a JS Klatovy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2022-09-13T08:31:00Z</dcterms:created>
  <dc:creator/>
  <dc:description/>
  <dc:language>cs-CZ</dc:language>
  <cp:lastModifiedBy/>
  <dcterms:modified xsi:type="dcterms:W3CDTF">2022-09-13T16:00:42Z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