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AE37533"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724500" w:rsidRDefault="00795E5C" w:rsidP="002E6559">
      <w:pPr>
        <w:spacing w:line="240" w:lineRule="atLeast"/>
        <w:jc w:val="both"/>
        <w:outlineLvl w:val="0"/>
        <w:rPr>
          <w:rFonts w:ascii="Times New Roman" w:hAnsi="Times New Roman"/>
          <w:b/>
          <w:bCs/>
          <w:sz w:val="22"/>
          <w:szCs w:val="22"/>
        </w:rPr>
      </w:pPr>
      <w:r w:rsidRPr="00724500">
        <w:rPr>
          <w:rFonts w:ascii="Times New Roman" w:hAnsi="Times New Roman"/>
          <w:b/>
          <w:bCs/>
          <w:sz w:val="22"/>
          <w:szCs w:val="22"/>
        </w:rPr>
        <w:t>Statutární město Ostrava</w:t>
      </w:r>
    </w:p>
    <w:p w14:paraId="40E909B3" w14:textId="77777777" w:rsidR="00795E5C" w:rsidRPr="00724500" w:rsidRDefault="00795E5C" w:rsidP="002E6559">
      <w:pPr>
        <w:spacing w:line="240" w:lineRule="atLeast"/>
        <w:jc w:val="both"/>
        <w:outlineLvl w:val="0"/>
        <w:rPr>
          <w:rFonts w:ascii="Times New Roman" w:hAnsi="Times New Roman"/>
          <w:bCs/>
          <w:sz w:val="22"/>
          <w:szCs w:val="22"/>
        </w:rPr>
      </w:pPr>
      <w:r w:rsidRPr="00724500">
        <w:rPr>
          <w:rFonts w:ascii="Times New Roman" w:hAnsi="Times New Roman"/>
          <w:bCs/>
          <w:sz w:val="22"/>
          <w:szCs w:val="22"/>
        </w:rPr>
        <w:t xml:space="preserve">Prokešovo náměstí </w:t>
      </w:r>
      <w:r w:rsidR="000728AE" w:rsidRPr="00724500">
        <w:rPr>
          <w:rFonts w:ascii="Times New Roman" w:hAnsi="Times New Roman"/>
          <w:bCs/>
          <w:sz w:val="22"/>
          <w:szCs w:val="22"/>
        </w:rPr>
        <w:t>1803/</w:t>
      </w:r>
      <w:r w:rsidRPr="00724500">
        <w:rPr>
          <w:rFonts w:ascii="Times New Roman" w:hAnsi="Times New Roman"/>
          <w:bCs/>
          <w:sz w:val="22"/>
          <w:szCs w:val="22"/>
        </w:rPr>
        <w:t xml:space="preserve">8, 729 30 Ostrava </w:t>
      </w:r>
    </w:p>
    <w:p w14:paraId="4725F982" w14:textId="275637C2" w:rsidR="002B14EB" w:rsidRPr="00724500" w:rsidRDefault="002B14EB" w:rsidP="00795E5C">
      <w:pPr>
        <w:spacing w:line="240" w:lineRule="atLeast"/>
        <w:jc w:val="both"/>
        <w:rPr>
          <w:rFonts w:ascii="Times New Roman" w:hAnsi="Times New Roman"/>
          <w:bCs/>
          <w:sz w:val="22"/>
          <w:szCs w:val="22"/>
        </w:rPr>
      </w:pPr>
      <w:r w:rsidRPr="00724500">
        <w:rPr>
          <w:rFonts w:ascii="Times New Roman" w:hAnsi="Times New Roman"/>
          <w:bCs/>
          <w:sz w:val="22"/>
          <w:szCs w:val="22"/>
        </w:rPr>
        <w:t>zastoupeno</w:t>
      </w:r>
      <w:r w:rsidR="00795E5C" w:rsidRPr="00724500">
        <w:rPr>
          <w:rFonts w:ascii="Times New Roman" w:hAnsi="Times New Roman"/>
          <w:bCs/>
          <w:sz w:val="22"/>
          <w:szCs w:val="22"/>
        </w:rPr>
        <w:t xml:space="preserve"> </w:t>
      </w:r>
      <w:r w:rsidR="00724500" w:rsidRPr="00724500">
        <w:rPr>
          <w:rFonts w:ascii="Times New Roman" w:hAnsi="Times New Roman"/>
          <w:bCs/>
          <w:sz w:val="22"/>
          <w:szCs w:val="22"/>
        </w:rPr>
        <w:t>Mgr. Andreou Hoffmannovou, Ph.D.</w:t>
      </w:r>
      <w:r w:rsidRPr="00724500">
        <w:rPr>
          <w:rFonts w:ascii="Times New Roman" w:hAnsi="Times New Roman"/>
          <w:bCs/>
          <w:sz w:val="22"/>
          <w:szCs w:val="22"/>
        </w:rPr>
        <w:t xml:space="preserve">  </w:t>
      </w:r>
      <w:r w:rsidR="00795E5C" w:rsidRPr="00724500">
        <w:rPr>
          <w:rFonts w:ascii="Times New Roman" w:hAnsi="Times New Roman"/>
          <w:bCs/>
          <w:sz w:val="22"/>
          <w:szCs w:val="22"/>
        </w:rPr>
        <w:t xml:space="preserve"> </w:t>
      </w:r>
    </w:p>
    <w:p w14:paraId="16E1D622" w14:textId="249AF832" w:rsidR="00795E5C" w:rsidRPr="00724500" w:rsidRDefault="000728AE" w:rsidP="00795E5C">
      <w:pPr>
        <w:spacing w:line="240" w:lineRule="atLeast"/>
        <w:jc w:val="both"/>
        <w:rPr>
          <w:rFonts w:ascii="Times New Roman" w:hAnsi="Times New Roman"/>
          <w:bCs/>
          <w:sz w:val="22"/>
          <w:szCs w:val="22"/>
        </w:rPr>
      </w:pPr>
      <w:r w:rsidRPr="00724500">
        <w:rPr>
          <w:rFonts w:ascii="Times New Roman" w:hAnsi="Times New Roman"/>
          <w:bCs/>
          <w:sz w:val="22"/>
          <w:szCs w:val="22"/>
        </w:rPr>
        <w:t>funkce</w:t>
      </w:r>
      <w:r w:rsidR="00724500" w:rsidRPr="00724500">
        <w:rPr>
          <w:rFonts w:ascii="Times New Roman" w:hAnsi="Times New Roman"/>
          <w:bCs/>
          <w:sz w:val="22"/>
          <w:szCs w:val="22"/>
        </w:rPr>
        <w:t xml:space="preserve"> náměstky</w:t>
      </w:r>
      <w:r w:rsidR="00724500">
        <w:rPr>
          <w:rFonts w:ascii="Times New Roman" w:hAnsi="Times New Roman"/>
          <w:bCs/>
          <w:sz w:val="22"/>
          <w:szCs w:val="22"/>
        </w:rPr>
        <w:t>ně</w:t>
      </w:r>
      <w:r w:rsidR="00724500" w:rsidRPr="00724500">
        <w:rPr>
          <w:rFonts w:ascii="Times New Roman" w:hAnsi="Times New Roman"/>
          <w:bCs/>
          <w:sz w:val="22"/>
          <w:szCs w:val="22"/>
        </w:rPr>
        <w:t xml:space="preserve"> primátora</w:t>
      </w:r>
    </w:p>
    <w:p w14:paraId="12F4F873" w14:textId="77777777"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724500"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724500" w:rsidRDefault="004D1482" w:rsidP="005A0252">
      <w:pPr>
        <w:tabs>
          <w:tab w:val="left" w:pos="1701"/>
          <w:tab w:val="left" w:pos="5040"/>
          <w:tab w:val="left" w:pos="6521"/>
        </w:tabs>
        <w:outlineLvl w:val="0"/>
        <w:rPr>
          <w:rFonts w:cs="Arial"/>
          <w:bCs/>
          <w:kern w:val="24"/>
        </w:rPr>
      </w:pPr>
      <w:r w:rsidRPr="00724500">
        <w:rPr>
          <w:rFonts w:cs="Arial"/>
        </w:rPr>
        <w:t>IČ</w:t>
      </w:r>
      <w:r w:rsidR="007E2466" w:rsidRPr="00724500">
        <w:rPr>
          <w:rFonts w:cs="Arial"/>
        </w:rPr>
        <w:t>O</w:t>
      </w:r>
      <w:r w:rsidRPr="00724500">
        <w:rPr>
          <w:rFonts w:cs="Arial"/>
        </w:rPr>
        <w:t>:</w:t>
      </w:r>
      <w:r w:rsidR="00553F5A" w:rsidRPr="00724500">
        <w:rPr>
          <w:rFonts w:ascii="Times New Roman" w:hAnsi="Times New Roman"/>
        </w:rPr>
        <w:t xml:space="preserve"> </w:t>
      </w:r>
      <w:r w:rsidR="003377FE" w:rsidRPr="00724500">
        <w:rPr>
          <w:rFonts w:ascii="Times New Roman" w:hAnsi="Times New Roman"/>
        </w:rPr>
        <w:tab/>
      </w:r>
      <w:r w:rsidRPr="00724500">
        <w:rPr>
          <w:rFonts w:ascii="Times New Roman" w:hAnsi="Times New Roman"/>
          <w:sz w:val="22"/>
          <w:szCs w:val="22"/>
        </w:rPr>
        <w:t>00845451</w:t>
      </w:r>
    </w:p>
    <w:p w14:paraId="34C44FCD" w14:textId="1C2B90A1" w:rsidR="004D1482" w:rsidRPr="00724500" w:rsidRDefault="004D1482" w:rsidP="005A0252">
      <w:pPr>
        <w:tabs>
          <w:tab w:val="left" w:pos="1701"/>
          <w:tab w:val="left" w:pos="5040"/>
          <w:tab w:val="left" w:pos="6521"/>
        </w:tabs>
        <w:rPr>
          <w:rFonts w:ascii="Times New Roman" w:hAnsi="Times New Roman"/>
          <w:sz w:val="22"/>
          <w:szCs w:val="22"/>
        </w:rPr>
      </w:pPr>
      <w:r w:rsidRPr="00724500">
        <w:rPr>
          <w:rFonts w:cs="Arial"/>
        </w:rPr>
        <w:t>DIČ:</w:t>
      </w:r>
      <w:r w:rsidR="00553F5A" w:rsidRPr="00724500">
        <w:rPr>
          <w:rFonts w:cs="Arial"/>
        </w:rPr>
        <w:t xml:space="preserve"> </w:t>
      </w:r>
      <w:r w:rsidR="003377FE" w:rsidRPr="00724500">
        <w:rPr>
          <w:rFonts w:cs="Arial"/>
        </w:rPr>
        <w:tab/>
      </w:r>
      <w:r w:rsidRPr="00724500">
        <w:rPr>
          <w:rFonts w:ascii="Times New Roman" w:hAnsi="Times New Roman"/>
          <w:sz w:val="22"/>
          <w:szCs w:val="22"/>
        </w:rPr>
        <w:t>CZ00845451 (plátce DPH)</w:t>
      </w:r>
    </w:p>
    <w:p w14:paraId="3FCE7712" w14:textId="481ACF14" w:rsidR="004D1482" w:rsidRPr="00724500" w:rsidRDefault="005A0252" w:rsidP="005A0252">
      <w:pPr>
        <w:tabs>
          <w:tab w:val="left" w:pos="1701"/>
          <w:tab w:val="left" w:pos="5040"/>
          <w:tab w:val="left" w:pos="6521"/>
        </w:tabs>
        <w:rPr>
          <w:rFonts w:cs="Arial"/>
        </w:rPr>
      </w:pPr>
      <w:r w:rsidRPr="00724500">
        <w:rPr>
          <w:rFonts w:cs="Arial"/>
        </w:rPr>
        <w:t>Bankovní spojení</w:t>
      </w:r>
      <w:r w:rsidR="004D1482" w:rsidRPr="00724500">
        <w:rPr>
          <w:rFonts w:cs="Arial"/>
        </w:rPr>
        <w:t>:</w:t>
      </w:r>
      <w:r w:rsidR="00553F5A" w:rsidRPr="00724500">
        <w:rPr>
          <w:rFonts w:cs="Arial"/>
        </w:rPr>
        <w:t xml:space="preserve"> </w:t>
      </w:r>
      <w:r w:rsidR="003377FE" w:rsidRPr="00724500">
        <w:rPr>
          <w:rFonts w:cs="Arial"/>
        </w:rPr>
        <w:tab/>
      </w:r>
      <w:r w:rsidR="00553F5A" w:rsidRPr="00724500">
        <w:rPr>
          <w:rFonts w:ascii="Times New Roman" w:hAnsi="Times New Roman"/>
          <w:sz w:val="22"/>
          <w:szCs w:val="22"/>
        </w:rPr>
        <w:t>Č</w:t>
      </w:r>
      <w:r w:rsidR="004D1482" w:rsidRPr="00724500">
        <w:rPr>
          <w:rFonts w:ascii="Times New Roman" w:hAnsi="Times New Roman"/>
          <w:sz w:val="22"/>
          <w:szCs w:val="22"/>
        </w:rPr>
        <w:t>eská spořitelna</w:t>
      </w:r>
      <w:r w:rsidR="00733AE1" w:rsidRPr="00724500">
        <w:rPr>
          <w:rFonts w:ascii="Times New Roman" w:hAnsi="Times New Roman"/>
          <w:sz w:val="22"/>
          <w:szCs w:val="22"/>
        </w:rPr>
        <w:t>,</w:t>
      </w:r>
      <w:r w:rsidR="004D1482" w:rsidRPr="00724500">
        <w:rPr>
          <w:rFonts w:ascii="Times New Roman" w:hAnsi="Times New Roman"/>
          <w:sz w:val="22"/>
          <w:szCs w:val="22"/>
        </w:rPr>
        <w:t xml:space="preserve"> a.</w:t>
      </w:r>
      <w:r w:rsidR="00677D0C" w:rsidRPr="00724500">
        <w:rPr>
          <w:rFonts w:ascii="Times New Roman" w:hAnsi="Times New Roman"/>
          <w:sz w:val="22"/>
          <w:szCs w:val="22"/>
        </w:rPr>
        <w:t xml:space="preserve"> </w:t>
      </w:r>
      <w:r w:rsidR="004D1482" w:rsidRPr="00724500">
        <w:rPr>
          <w:rFonts w:ascii="Times New Roman" w:hAnsi="Times New Roman"/>
          <w:sz w:val="22"/>
          <w:szCs w:val="22"/>
        </w:rPr>
        <w:t>s.,</w:t>
      </w:r>
      <w:r w:rsidR="003377FE" w:rsidRPr="00724500">
        <w:rPr>
          <w:rFonts w:cs="Arial"/>
        </w:rPr>
        <w:tab/>
      </w:r>
      <w:r w:rsidR="004D1482" w:rsidRPr="00724500">
        <w:rPr>
          <w:rFonts w:ascii="Times New Roman" w:hAnsi="Times New Roman"/>
          <w:sz w:val="22"/>
          <w:szCs w:val="22"/>
        </w:rPr>
        <w:t>okresní pobočka Ostrava</w:t>
      </w:r>
    </w:p>
    <w:p w14:paraId="5593676F" w14:textId="77777777" w:rsidR="00306CE5" w:rsidRDefault="00553F5A" w:rsidP="005A0252">
      <w:pPr>
        <w:tabs>
          <w:tab w:val="left" w:pos="1701"/>
          <w:tab w:val="left" w:pos="5040"/>
          <w:tab w:val="left" w:pos="6521"/>
        </w:tabs>
        <w:rPr>
          <w:rFonts w:ascii="Times New Roman" w:hAnsi="Times New Roman"/>
          <w:sz w:val="22"/>
          <w:szCs w:val="22"/>
        </w:rPr>
      </w:pPr>
      <w:r w:rsidRPr="00724500">
        <w:rPr>
          <w:rFonts w:cs="Arial"/>
        </w:rPr>
        <w:t>Č</w:t>
      </w:r>
      <w:r w:rsidR="004D1482" w:rsidRPr="00724500">
        <w:rPr>
          <w:rFonts w:cs="Arial"/>
        </w:rPr>
        <w:t>íslo účtu:</w:t>
      </w:r>
      <w:r w:rsidRPr="00724500">
        <w:rPr>
          <w:rFonts w:cs="Arial"/>
        </w:rPr>
        <w:t xml:space="preserve"> </w:t>
      </w:r>
      <w:r w:rsidR="003377FE" w:rsidRPr="00724500">
        <w:rPr>
          <w:rFonts w:cs="Arial"/>
        </w:rPr>
        <w:tab/>
      </w:r>
      <w:r w:rsidR="00710E93" w:rsidRPr="00724500">
        <w:rPr>
          <w:rFonts w:ascii="Times New Roman" w:hAnsi="Times New Roman"/>
          <w:sz w:val="22"/>
          <w:szCs w:val="22"/>
        </w:rPr>
        <w:t>27</w:t>
      </w:r>
      <w:r w:rsidR="004D1482" w:rsidRPr="00724500">
        <w:rPr>
          <w:rFonts w:ascii="Times New Roman" w:hAnsi="Times New Roman"/>
          <w:sz w:val="22"/>
          <w:szCs w:val="22"/>
        </w:rPr>
        <w:t>-1649297309/0800</w:t>
      </w:r>
    </w:p>
    <w:p w14:paraId="6EBABF5C" w14:textId="15734B74" w:rsidR="004D1482" w:rsidRPr="00283031" w:rsidRDefault="004D1482" w:rsidP="005A0252">
      <w:pPr>
        <w:tabs>
          <w:tab w:val="left" w:pos="1701"/>
          <w:tab w:val="left" w:pos="5040"/>
          <w:tab w:val="left" w:pos="6521"/>
        </w:tabs>
        <w:rPr>
          <w:rFonts w:cs="Arial"/>
          <w:highlight w:val="yellow"/>
        </w:rPr>
      </w:pPr>
    </w:p>
    <w:p w14:paraId="3A9E72CF" w14:textId="2BE0D206" w:rsidR="003377FE" w:rsidRPr="004A50AA"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6BA742AB" w14:textId="152C7763" w:rsidR="004D1482" w:rsidRPr="004A50AA" w:rsidRDefault="003377FE" w:rsidP="003377FE">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poskytovatel</w:t>
      </w:r>
      <w:r w:rsidR="000728AE">
        <w:rPr>
          <w:rFonts w:ascii="Times New Roman" w:hAnsi="Times New Roman"/>
          <w:b/>
          <w:sz w:val="22"/>
          <w:szCs w:val="22"/>
        </w:rPr>
        <w:t>“</w:t>
      </w:r>
      <w:r w:rsidRPr="004A50AA">
        <w:rPr>
          <w:rFonts w:ascii="Times New Roman" w:hAnsi="Times New Roman"/>
          <w:sz w:val="22"/>
          <w:szCs w:val="22"/>
        </w:rPr>
        <w:tab/>
      </w:r>
    </w:p>
    <w:p w14:paraId="3A96D352" w14:textId="77777777" w:rsidR="00FE0184" w:rsidRDefault="00FE0184" w:rsidP="00EE1A76">
      <w:pPr>
        <w:tabs>
          <w:tab w:val="left" w:pos="0"/>
          <w:tab w:val="left" w:pos="4706"/>
          <w:tab w:val="left" w:pos="4990"/>
          <w:tab w:val="left" w:pos="9639"/>
        </w:tabs>
        <w:rPr>
          <w:rFonts w:ascii="Times New Roman" w:hAnsi="Times New Roman"/>
          <w:b/>
          <w:sz w:val="22"/>
          <w:szCs w:val="22"/>
        </w:rPr>
      </w:pPr>
    </w:p>
    <w:p w14:paraId="60B61B0C" w14:textId="49E0E8F4" w:rsidR="00EE1A76" w:rsidRPr="004A50AA" w:rsidRDefault="00C1298B" w:rsidP="00EE1A76">
      <w:pPr>
        <w:tabs>
          <w:tab w:val="left" w:pos="0"/>
          <w:tab w:val="left" w:pos="4706"/>
          <w:tab w:val="left" w:pos="4990"/>
          <w:tab w:val="left" w:pos="9639"/>
        </w:tabs>
        <w:rPr>
          <w:rFonts w:ascii="Times New Roman" w:hAnsi="Times New Roman"/>
          <w:b/>
          <w:sz w:val="22"/>
          <w:szCs w:val="22"/>
        </w:rPr>
      </w:pPr>
      <w:r>
        <w:rPr>
          <w:rFonts w:ascii="Times New Roman" w:hAnsi="Times New Roman"/>
          <w:b/>
          <w:sz w:val="22"/>
          <w:szCs w:val="22"/>
        </w:rPr>
        <w:t xml:space="preserve">Sportovní klub </w:t>
      </w:r>
      <w:proofErr w:type="spellStart"/>
      <w:r>
        <w:rPr>
          <w:rFonts w:ascii="Times New Roman" w:hAnsi="Times New Roman"/>
          <w:b/>
          <w:sz w:val="22"/>
          <w:szCs w:val="22"/>
        </w:rPr>
        <w:t>Kletné</w:t>
      </w:r>
      <w:proofErr w:type="spellEnd"/>
      <w:r w:rsidR="00316D9F" w:rsidRPr="00316D9F">
        <w:rPr>
          <w:rFonts w:ascii="Times New Roman" w:hAnsi="Times New Roman"/>
          <w:b/>
          <w:sz w:val="22"/>
          <w:szCs w:val="22"/>
        </w:rPr>
        <w:t xml:space="preserve">, </w:t>
      </w:r>
      <w:r>
        <w:rPr>
          <w:rFonts w:ascii="Times New Roman" w:hAnsi="Times New Roman"/>
          <w:b/>
          <w:sz w:val="22"/>
          <w:szCs w:val="22"/>
        </w:rPr>
        <w:t>z</w:t>
      </w:r>
      <w:r w:rsidR="00316D9F" w:rsidRPr="00316D9F">
        <w:rPr>
          <w:rFonts w:ascii="Times New Roman" w:hAnsi="Times New Roman"/>
          <w:b/>
          <w:sz w:val="22"/>
          <w:szCs w:val="22"/>
        </w:rPr>
        <w:t>.s.</w:t>
      </w:r>
    </w:p>
    <w:p w14:paraId="702E1F17" w14:textId="35172EAD" w:rsidR="00EB7C2F" w:rsidRDefault="00DD0495" w:rsidP="00EB7C2F">
      <w:pPr>
        <w:tabs>
          <w:tab w:val="left" w:pos="0"/>
          <w:tab w:val="left" w:pos="4706"/>
          <w:tab w:val="left" w:pos="4990"/>
          <w:tab w:val="left" w:pos="9639"/>
        </w:tabs>
        <w:rPr>
          <w:rFonts w:ascii="Times New Roman" w:hAnsi="Times New Roman"/>
          <w:sz w:val="22"/>
          <w:szCs w:val="22"/>
        </w:rPr>
      </w:pPr>
      <w:proofErr w:type="spellStart"/>
      <w:r>
        <w:rPr>
          <w:rFonts w:ascii="Times New Roman" w:hAnsi="Times New Roman"/>
          <w:sz w:val="22"/>
          <w:szCs w:val="22"/>
        </w:rPr>
        <w:t>Kletné</w:t>
      </w:r>
      <w:proofErr w:type="spellEnd"/>
      <w:r>
        <w:rPr>
          <w:rFonts w:ascii="Times New Roman" w:hAnsi="Times New Roman"/>
          <w:sz w:val="22"/>
          <w:szCs w:val="22"/>
        </w:rPr>
        <w:t xml:space="preserve"> </w:t>
      </w:r>
      <w:r w:rsidR="00316D9F" w:rsidRPr="00316D9F">
        <w:rPr>
          <w:rFonts w:ascii="Times New Roman" w:hAnsi="Times New Roman"/>
          <w:sz w:val="22"/>
          <w:szCs w:val="22"/>
        </w:rPr>
        <w:t>3</w:t>
      </w:r>
      <w:r>
        <w:rPr>
          <w:rFonts w:ascii="Times New Roman" w:hAnsi="Times New Roman"/>
          <w:sz w:val="22"/>
          <w:szCs w:val="22"/>
        </w:rPr>
        <w:t>7</w:t>
      </w:r>
      <w:r w:rsidR="005D2A59">
        <w:rPr>
          <w:rFonts w:ascii="Times New Roman" w:hAnsi="Times New Roman"/>
          <w:sz w:val="22"/>
          <w:szCs w:val="22"/>
        </w:rPr>
        <w:t xml:space="preserve">, </w:t>
      </w:r>
      <w:r>
        <w:rPr>
          <w:rFonts w:ascii="Times New Roman" w:hAnsi="Times New Roman"/>
          <w:sz w:val="22"/>
          <w:szCs w:val="22"/>
        </w:rPr>
        <w:t>742</w:t>
      </w:r>
      <w:r w:rsidR="005D2A59">
        <w:rPr>
          <w:rFonts w:ascii="Times New Roman" w:hAnsi="Times New Roman"/>
          <w:sz w:val="22"/>
          <w:szCs w:val="22"/>
        </w:rPr>
        <w:t xml:space="preserve"> 0</w:t>
      </w:r>
      <w:r>
        <w:rPr>
          <w:rFonts w:ascii="Times New Roman" w:hAnsi="Times New Roman"/>
          <w:sz w:val="22"/>
          <w:szCs w:val="22"/>
        </w:rPr>
        <w:t>1</w:t>
      </w:r>
      <w:r w:rsidR="005D2A59">
        <w:rPr>
          <w:rFonts w:ascii="Times New Roman" w:hAnsi="Times New Roman"/>
          <w:sz w:val="22"/>
          <w:szCs w:val="22"/>
        </w:rPr>
        <w:t xml:space="preserve"> </w:t>
      </w:r>
      <w:r>
        <w:rPr>
          <w:rFonts w:ascii="Times New Roman" w:hAnsi="Times New Roman"/>
          <w:sz w:val="22"/>
          <w:szCs w:val="22"/>
        </w:rPr>
        <w:t>Suchdol nad Odrou</w:t>
      </w:r>
      <w:r w:rsidR="00615202">
        <w:rPr>
          <w:rFonts w:ascii="Times New Roman" w:hAnsi="Times New Roman"/>
          <w:sz w:val="22"/>
          <w:szCs w:val="22"/>
        </w:rPr>
        <w:t xml:space="preserve"> </w:t>
      </w:r>
    </w:p>
    <w:p w14:paraId="6C3D8604" w14:textId="302E209A" w:rsidR="00EE1A76" w:rsidRPr="004A50AA" w:rsidRDefault="00731F5C"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 xml:space="preserve">Zastoupen </w:t>
      </w:r>
      <w:r w:rsidR="00DD0495">
        <w:rPr>
          <w:rFonts w:ascii="Times New Roman" w:hAnsi="Times New Roman"/>
          <w:sz w:val="22"/>
          <w:szCs w:val="22"/>
        </w:rPr>
        <w:t>Radovanem Šťastným</w:t>
      </w:r>
    </w:p>
    <w:p w14:paraId="346BB76F" w14:textId="1D97B621" w:rsidR="00EB7C2F" w:rsidRPr="00724500" w:rsidRDefault="00731F5C" w:rsidP="00921EE2">
      <w:pPr>
        <w:tabs>
          <w:tab w:val="left" w:pos="0"/>
          <w:tab w:val="left" w:pos="9639"/>
        </w:tabs>
        <w:rPr>
          <w:rFonts w:ascii="Times New Roman" w:hAnsi="Times New Roman"/>
          <w:sz w:val="22"/>
          <w:szCs w:val="22"/>
        </w:rPr>
      </w:pPr>
      <w:r>
        <w:rPr>
          <w:rFonts w:ascii="Times New Roman" w:hAnsi="Times New Roman"/>
          <w:sz w:val="22"/>
          <w:szCs w:val="22"/>
        </w:rPr>
        <w:t>Funkc</w:t>
      </w:r>
      <w:r w:rsidR="009C090C">
        <w:rPr>
          <w:rFonts w:ascii="Times New Roman" w:hAnsi="Times New Roman"/>
          <w:sz w:val="22"/>
          <w:szCs w:val="22"/>
        </w:rPr>
        <w:t xml:space="preserve">e </w:t>
      </w:r>
      <w:r w:rsidR="00927A9F">
        <w:rPr>
          <w:rFonts w:ascii="Times New Roman" w:hAnsi="Times New Roman"/>
          <w:sz w:val="22"/>
          <w:szCs w:val="22"/>
        </w:rPr>
        <w:t>předseda</w:t>
      </w:r>
    </w:p>
    <w:p w14:paraId="03EB03DA" w14:textId="77777777" w:rsidR="00731F5C" w:rsidRDefault="00731F5C" w:rsidP="0024107D">
      <w:pPr>
        <w:pStyle w:val="Bezmezer"/>
      </w:pPr>
    </w:p>
    <w:p w14:paraId="09B968FE" w14:textId="77777777" w:rsidR="00731F5C" w:rsidRDefault="00731F5C" w:rsidP="0024107D">
      <w:pPr>
        <w:pStyle w:val="Bezmezer"/>
      </w:pPr>
    </w:p>
    <w:p w14:paraId="0902046C" w14:textId="69FF7F09" w:rsidR="007E21D7" w:rsidRPr="00724500" w:rsidRDefault="007E21D7" w:rsidP="0024107D">
      <w:pPr>
        <w:pStyle w:val="Bezmezer"/>
      </w:pPr>
      <w:r w:rsidRPr="00724500">
        <w:tab/>
      </w:r>
    </w:p>
    <w:p w14:paraId="2D705477" w14:textId="77777777" w:rsidR="007E21D7" w:rsidRPr="00724500"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496519AB" w14:textId="5FF003D8" w:rsidR="00EB7C2F" w:rsidRPr="00FE0184" w:rsidRDefault="00EB7C2F" w:rsidP="00921EE2">
      <w:pPr>
        <w:tabs>
          <w:tab w:val="left" w:pos="1680"/>
          <w:tab w:val="left" w:pos="5040"/>
          <w:tab w:val="left" w:pos="6521"/>
        </w:tabs>
        <w:rPr>
          <w:rFonts w:ascii="Times New Roman" w:hAnsi="Times New Roman"/>
          <w:bCs/>
          <w:kern w:val="24"/>
          <w:sz w:val="22"/>
          <w:szCs w:val="22"/>
        </w:rPr>
      </w:pPr>
      <w:r w:rsidRPr="00CF4ECB">
        <w:rPr>
          <w:rFonts w:cs="Arial"/>
        </w:rPr>
        <w:t>IČ</w:t>
      </w:r>
      <w:r w:rsidR="007E2466" w:rsidRPr="00CF4ECB">
        <w:rPr>
          <w:rFonts w:cs="Arial"/>
        </w:rPr>
        <w:t>O</w:t>
      </w:r>
      <w:r w:rsidRPr="00CF4ECB">
        <w:rPr>
          <w:rFonts w:cs="Arial"/>
        </w:rPr>
        <w:t>:</w:t>
      </w:r>
      <w:r w:rsidRPr="00CF4ECB">
        <w:rPr>
          <w:rFonts w:cs="Arial"/>
        </w:rPr>
        <w:tab/>
      </w:r>
      <w:r w:rsidR="00B254B6" w:rsidRPr="00B254B6">
        <w:rPr>
          <w:rFonts w:ascii="Times New Roman" w:hAnsi="Times New Roman"/>
          <w:sz w:val="22"/>
          <w:szCs w:val="22"/>
        </w:rPr>
        <w:t>09571221</w:t>
      </w:r>
    </w:p>
    <w:p w14:paraId="4696970D" w14:textId="352B939A" w:rsidR="00EB7C2F" w:rsidRPr="00CF4ECB" w:rsidRDefault="00EB7C2F" w:rsidP="00921EE2">
      <w:pPr>
        <w:tabs>
          <w:tab w:val="left" w:pos="1694"/>
          <w:tab w:val="left" w:pos="5040"/>
          <w:tab w:val="left" w:pos="6521"/>
        </w:tabs>
        <w:rPr>
          <w:rFonts w:ascii="Times New Roman" w:hAnsi="Times New Roman"/>
          <w:sz w:val="22"/>
          <w:szCs w:val="22"/>
        </w:rPr>
      </w:pPr>
      <w:r w:rsidRPr="00CF4ECB">
        <w:rPr>
          <w:rFonts w:cs="Arial"/>
        </w:rPr>
        <w:t>DIČ:</w:t>
      </w:r>
      <w:r w:rsidR="00C26CD7" w:rsidRPr="00CF4ECB">
        <w:rPr>
          <w:rFonts w:cs="Arial"/>
        </w:rPr>
        <w:tab/>
      </w:r>
      <w:r w:rsidRPr="00CF4ECB">
        <w:rPr>
          <w:rFonts w:ascii="Times New Roman" w:hAnsi="Times New Roman"/>
          <w:sz w:val="22"/>
          <w:szCs w:val="22"/>
        </w:rPr>
        <w:t>(</w:t>
      </w:r>
      <w:r w:rsidR="00B254B6">
        <w:rPr>
          <w:rFonts w:ascii="Times New Roman" w:hAnsi="Times New Roman"/>
          <w:sz w:val="22"/>
          <w:szCs w:val="22"/>
        </w:rPr>
        <w:t xml:space="preserve">není </w:t>
      </w:r>
      <w:r w:rsidR="00C26CD7" w:rsidRPr="00CF4ECB">
        <w:rPr>
          <w:rFonts w:ascii="Times New Roman" w:hAnsi="Times New Roman"/>
          <w:sz w:val="22"/>
          <w:szCs w:val="22"/>
        </w:rPr>
        <w:t>plátce</w:t>
      </w:r>
      <w:r w:rsidR="00382D6A" w:rsidRPr="00CF4ECB">
        <w:rPr>
          <w:rFonts w:ascii="Times New Roman" w:hAnsi="Times New Roman"/>
          <w:sz w:val="22"/>
          <w:szCs w:val="22"/>
        </w:rPr>
        <w:t xml:space="preserve"> </w:t>
      </w:r>
      <w:r w:rsidRPr="00CF4ECB">
        <w:rPr>
          <w:rFonts w:ascii="Times New Roman" w:hAnsi="Times New Roman"/>
          <w:sz w:val="22"/>
          <w:szCs w:val="22"/>
        </w:rPr>
        <w:t xml:space="preserve">DPH) </w:t>
      </w:r>
    </w:p>
    <w:p w14:paraId="1A2DB713" w14:textId="0FBAA19B" w:rsidR="00EB7C2F" w:rsidRPr="00FE0184" w:rsidRDefault="005A0252" w:rsidP="00921EE2">
      <w:pPr>
        <w:tabs>
          <w:tab w:val="left" w:pos="1701"/>
          <w:tab w:val="left" w:pos="5040"/>
          <w:tab w:val="left" w:pos="6521"/>
        </w:tabs>
        <w:rPr>
          <w:rFonts w:ascii="Times New Roman" w:hAnsi="Times New Roman"/>
          <w:sz w:val="22"/>
          <w:szCs w:val="22"/>
        </w:rPr>
      </w:pPr>
      <w:r w:rsidRPr="00CF4ECB">
        <w:rPr>
          <w:rFonts w:cs="Arial"/>
        </w:rPr>
        <w:t>Bankovní spojení:</w:t>
      </w:r>
      <w:r w:rsidR="00EB7C2F" w:rsidRPr="00CF4ECB">
        <w:rPr>
          <w:rFonts w:cs="Arial"/>
        </w:rPr>
        <w:tab/>
      </w:r>
      <w:r w:rsidR="00B254B6">
        <w:rPr>
          <w:rFonts w:cs="Arial"/>
        </w:rPr>
        <w:t>ČSOB</w:t>
      </w:r>
      <w:r w:rsidR="004D3D08" w:rsidRPr="004D3D08">
        <w:rPr>
          <w:rFonts w:ascii="Times New Roman" w:hAnsi="Times New Roman"/>
          <w:sz w:val="22"/>
          <w:szCs w:val="22"/>
        </w:rPr>
        <w:t>, a.s.</w:t>
      </w:r>
    </w:p>
    <w:p w14:paraId="5B66BEF1" w14:textId="77777777" w:rsidR="00731F5C" w:rsidRDefault="00731F5C" w:rsidP="005A0252">
      <w:pPr>
        <w:tabs>
          <w:tab w:val="left" w:pos="1701"/>
          <w:tab w:val="left" w:pos="5040"/>
          <w:tab w:val="left" w:pos="6521"/>
        </w:tabs>
        <w:rPr>
          <w:rFonts w:cs="Arial"/>
        </w:rPr>
      </w:pPr>
    </w:p>
    <w:p w14:paraId="17C20C4E" w14:textId="5F3CFA33" w:rsidR="00EB7C2F" w:rsidRPr="004A50AA" w:rsidRDefault="00EB7C2F" w:rsidP="005A0252">
      <w:pPr>
        <w:tabs>
          <w:tab w:val="left" w:pos="1701"/>
          <w:tab w:val="left" w:pos="5040"/>
          <w:tab w:val="left" w:pos="6521"/>
        </w:tabs>
        <w:rPr>
          <w:rFonts w:ascii="Times New Roman" w:hAnsi="Times New Roman"/>
          <w:sz w:val="22"/>
          <w:szCs w:val="22"/>
        </w:rPr>
      </w:pPr>
      <w:r w:rsidRPr="00724500">
        <w:rPr>
          <w:rFonts w:cs="Arial"/>
        </w:rPr>
        <w:t xml:space="preserve">Číslo účtu: </w:t>
      </w:r>
      <w:r w:rsidRPr="00724500">
        <w:rPr>
          <w:rFonts w:cs="Arial"/>
        </w:rPr>
        <w:tab/>
      </w:r>
      <w:r w:rsidR="00380AAC">
        <w:rPr>
          <w:rFonts w:cs="Arial"/>
        </w:rPr>
        <w:t>xxxxxxxxxxxxxx</w:t>
      </w:r>
    </w:p>
    <w:p w14:paraId="24496B6B" w14:textId="77777777" w:rsidR="00731F5C" w:rsidRDefault="00731F5C"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0FB816A5" w:rsidR="007E21D7" w:rsidRPr="004A50AA"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příjemce</w:t>
      </w:r>
      <w:r w:rsidR="000728AE">
        <w:rPr>
          <w:rFonts w:ascii="Times New Roman" w:hAnsi="Times New Roman"/>
          <w:b/>
          <w:sz w:val="22"/>
          <w:szCs w:val="22"/>
        </w:rPr>
        <w:t>“</w:t>
      </w:r>
      <w:r w:rsidRPr="004A50AA">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03BC52B9" w14:textId="64CE16B9" w:rsidR="00913690" w:rsidRPr="00C91F68" w:rsidRDefault="0032696F" w:rsidP="000873F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C91F68">
        <w:rPr>
          <w:rFonts w:ascii="Times New Roman" w:hAnsi="Times New Roman"/>
          <w:sz w:val="22"/>
          <w:szCs w:val="22"/>
        </w:rPr>
        <w:t xml:space="preserve">Příjemce prohlašuje, že k datu podpisu této smlouvy není podnikem v obtížích v souladu s čl. </w:t>
      </w:r>
      <w:r w:rsidR="006858B5" w:rsidRPr="00C91F68">
        <w:rPr>
          <w:rFonts w:ascii="Times New Roman" w:hAnsi="Times New Roman"/>
          <w:sz w:val="22"/>
          <w:szCs w:val="22"/>
        </w:rPr>
        <w:t>2</w:t>
      </w:r>
      <w:r w:rsidRPr="00C91F68">
        <w:rPr>
          <w:rFonts w:ascii="Times New Roman" w:hAnsi="Times New Roman"/>
          <w:sz w:val="22"/>
          <w:szCs w:val="22"/>
        </w:rPr>
        <w:t xml:space="preserve"> odst. 18 Nařízení Komise (EU) č. 651/2014 ze dne 17. 6. 2014, kterým se v souladu s články 107 a 108 </w:t>
      </w:r>
      <w:r w:rsidR="00913690" w:rsidRPr="00C91F68">
        <w:rPr>
          <w:rFonts w:ascii="Times New Roman" w:hAnsi="Times New Roman"/>
          <w:sz w:val="22"/>
          <w:szCs w:val="22"/>
        </w:rPr>
        <w:t>Smlouvy o fungování Evropské unie prohlašují určité kategorie podpory za slučitelné s vnitřním trhem</w:t>
      </w:r>
      <w:r w:rsidR="00C2751D">
        <w:rPr>
          <w:rFonts w:ascii="Times New Roman" w:hAnsi="Times New Roman"/>
          <w:sz w:val="22"/>
          <w:szCs w:val="22"/>
        </w:rPr>
        <w:t>,</w:t>
      </w:r>
      <w:r w:rsidR="00913690" w:rsidRPr="00C91F68">
        <w:rPr>
          <w:rFonts w:ascii="Times New Roman" w:hAnsi="Times New Roman"/>
          <w:sz w:val="22"/>
          <w:szCs w:val="22"/>
        </w:rPr>
        <w:t xml:space="preserve"> a nařízením Komise (EU) 2020/972 ze dne 2. 7. 2020, kterým se mění nařízení (EU) č. 1407/2013, pokud jde o jeho prodloužení</w:t>
      </w:r>
      <w:r w:rsidR="00C2751D">
        <w:rPr>
          <w:rFonts w:ascii="Times New Roman" w:hAnsi="Times New Roman"/>
          <w:sz w:val="22"/>
          <w:szCs w:val="22"/>
        </w:rPr>
        <w:t>,</w:t>
      </w:r>
      <w:r w:rsidR="00913690" w:rsidRPr="00C91F68">
        <w:rPr>
          <w:rFonts w:ascii="Times New Roman" w:hAnsi="Times New Roman"/>
          <w:sz w:val="22"/>
          <w:szCs w:val="22"/>
        </w:rPr>
        <w:t xml:space="preserve"> a nařízení (EU) č. 651/2014, pokud jde o jeho prodloužení a příslušné úpravy</w:t>
      </w:r>
      <w:r w:rsidR="00C91F68">
        <w:rPr>
          <w:rFonts w:ascii="Times New Roman" w:hAnsi="Times New Roman"/>
          <w:sz w:val="22"/>
          <w:szCs w:val="22"/>
        </w:rPr>
        <w:t>.</w:t>
      </w:r>
    </w:p>
    <w:p w14:paraId="14FF96F0" w14:textId="77777777" w:rsidR="0084702B" w:rsidRPr="0008725A" w:rsidRDefault="0084702B" w:rsidP="00870B01">
      <w:pPr>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51493F8E" w14:textId="77777777" w:rsidR="00E23133" w:rsidRDefault="00E23133" w:rsidP="0008725A">
      <w:pPr>
        <w:pStyle w:val="JVS2"/>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57CFB08A" w:rsidR="0061273B"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podle této smlouvy poskytuje </w:t>
      </w:r>
      <w:r w:rsidRPr="004F492C">
        <w:rPr>
          <w:rFonts w:ascii="Times New Roman" w:hAnsi="Times New Roman"/>
          <w:sz w:val="22"/>
          <w:szCs w:val="22"/>
        </w:rPr>
        <w:t xml:space="preserve">příjemci </w:t>
      </w:r>
      <w:r w:rsidR="00EA1D6A" w:rsidRPr="0051285F">
        <w:rPr>
          <w:rFonts w:ascii="Times New Roman" w:hAnsi="Times New Roman"/>
          <w:sz w:val="22"/>
          <w:szCs w:val="22"/>
        </w:rPr>
        <w:t xml:space="preserve">neinvestiční účelovou </w:t>
      </w:r>
      <w:r w:rsidRPr="0051285F">
        <w:rPr>
          <w:rFonts w:ascii="Times New Roman" w:hAnsi="Times New Roman"/>
          <w:sz w:val="22"/>
          <w:szCs w:val="22"/>
        </w:rPr>
        <w:t>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6225E5B5" w14:textId="77777777" w:rsidR="00226A30" w:rsidRPr="004A50AA" w:rsidRDefault="00226A30" w:rsidP="002B385F">
      <w:pPr>
        <w:tabs>
          <w:tab w:val="left" w:pos="0"/>
          <w:tab w:val="left" w:leader="underscore" w:pos="4706"/>
          <w:tab w:val="left" w:pos="4990"/>
          <w:tab w:val="left" w:leader="underscore" w:pos="9639"/>
        </w:tabs>
        <w:jc w:val="both"/>
        <w:rPr>
          <w:rFonts w:ascii="Times New Roman" w:hAnsi="Times New Roman"/>
          <w:sz w:val="22"/>
          <w:szCs w:val="22"/>
        </w:rPr>
      </w:pPr>
    </w:p>
    <w:p w14:paraId="54EC8C30" w14:textId="046435A6" w:rsidR="00FF2F69"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projektu: </w:t>
      </w:r>
      <w:r w:rsidR="00B84974" w:rsidRPr="00B84974">
        <w:rPr>
          <w:rFonts w:ascii="Times New Roman" w:hAnsi="Times New Roman"/>
          <w:b/>
          <w:sz w:val="22"/>
          <w:szCs w:val="22"/>
        </w:rPr>
        <w:t>UEC Evropský pohár v cyklokrosu Ostrava 2022</w:t>
      </w:r>
    </w:p>
    <w:p w14:paraId="1BC3853D" w14:textId="77777777" w:rsidR="00226A30" w:rsidRDefault="00226A3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12EE2AAE" w14:textId="67975C18" w:rsidR="00976090" w:rsidRDefault="00C35974" w:rsidP="00B84974">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w:t>
      </w:r>
      <w:r w:rsidR="00B84974">
        <w:rPr>
          <w:rFonts w:ascii="Times New Roman" w:hAnsi="Times New Roman"/>
          <w:sz w:val="22"/>
          <w:szCs w:val="22"/>
        </w:rPr>
        <w:t>oplatky U</w:t>
      </w:r>
      <w:r w:rsidR="00C43066">
        <w:rPr>
          <w:rFonts w:ascii="Times New Roman" w:hAnsi="Times New Roman"/>
          <w:sz w:val="22"/>
          <w:szCs w:val="22"/>
        </w:rPr>
        <w:t>E</w:t>
      </w:r>
      <w:r w:rsidR="00B84974">
        <w:rPr>
          <w:rFonts w:ascii="Times New Roman" w:hAnsi="Times New Roman"/>
          <w:sz w:val="22"/>
          <w:szCs w:val="22"/>
        </w:rPr>
        <w:t xml:space="preserve">C </w:t>
      </w:r>
    </w:p>
    <w:p w14:paraId="36C2AA55" w14:textId="4030F12E" w:rsidR="00B84974" w:rsidRDefault="00B84974" w:rsidP="00B84974">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proofErr w:type="spellStart"/>
      <w:r>
        <w:rPr>
          <w:rFonts w:ascii="Times New Roman" w:hAnsi="Times New Roman"/>
          <w:sz w:val="22"/>
          <w:szCs w:val="22"/>
        </w:rPr>
        <w:t>Prize</w:t>
      </w:r>
      <w:proofErr w:type="spellEnd"/>
      <w:r>
        <w:rPr>
          <w:rFonts w:ascii="Times New Roman" w:hAnsi="Times New Roman"/>
          <w:sz w:val="22"/>
          <w:szCs w:val="22"/>
        </w:rPr>
        <w:t xml:space="preserve"> </w:t>
      </w:r>
      <w:proofErr w:type="spellStart"/>
      <w:r>
        <w:rPr>
          <w:rFonts w:ascii="Times New Roman" w:hAnsi="Times New Roman"/>
          <w:sz w:val="22"/>
          <w:szCs w:val="22"/>
        </w:rPr>
        <w:t>money</w:t>
      </w:r>
      <w:proofErr w:type="spellEnd"/>
    </w:p>
    <w:p w14:paraId="30A14675" w14:textId="26967A67" w:rsidR="00B84974" w:rsidRDefault="00B84974" w:rsidP="00B84974">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Pojištění</w:t>
      </w:r>
    </w:p>
    <w:p w14:paraId="75E28BF8" w14:textId="05E0048F" w:rsidR="00B84974" w:rsidRDefault="00B84974" w:rsidP="00B84974">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Technické zajištění závodu (zábory komunikací, povinné technické zajištění okruhu, výsledkový servis, přemostění trati, mobilní WC, stanové zázemí, značení trati, depo, a další…)</w:t>
      </w:r>
    </w:p>
    <w:p w14:paraId="5BFD66A8" w14:textId="2D90F145" w:rsidR="00B84974" w:rsidRDefault="00B84974" w:rsidP="00B84974">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Pronájem DOV</w:t>
      </w:r>
    </w:p>
    <w:p w14:paraId="02C0466E" w14:textId="5AD3EE3B" w:rsidR="00B84974" w:rsidRDefault="00B84974" w:rsidP="00B249A3">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Personální zajištění závodu (produkce, moderátoři, rozhodčí, fotografové, řidič, grafik</w:t>
      </w:r>
      <w:r w:rsidR="00B249A3">
        <w:rPr>
          <w:rFonts w:ascii="Times New Roman" w:hAnsi="Times New Roman"/>
          <w:sz w:val="22"/>
          <w:szCs w:val="22"/>
        </w:rPr>
        <w:t xml:space="preserve"> a další)</w:t>
      </w:r>
    </w:p>
    <w:p w14:paraId="0F6728A0" w14:textId="54AA31C2" w:rsidR="00B249A3" w:rsidRDefault="00B249A3" w:rsidP="00B249A3">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Marketing (TV přenos, bannery, promo kampaň, správa sociálních sítí a webu, video)</w:t>
      </w:r>
    </w:p>
    <w:p w14:paraId="2043C455" w14:textId="59872354" w:rsidR="00B249A3" w:rsidRDefault="00B249A3" w:rsidP="00B249A3">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Ubytování</w:t>
      </w:r>
    </w:p>
    <w:p w14:paraId="3063439B" w14:textId="399060B6" w:rsidR="00B249A3" w:rsidRDefault="00B249A3" w:rsidP="00B249A3">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Stravování</w:t>
      </w:r>
    </w:p>
    <w:p w14:paraId="72DAEB7F" w14:textId="7D55817A" w:rsidR="00B249A3" w:rsidRDefault="006D1EE9" w:rsidP="00B249A3">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proofErr w:type="spellStart"/>
      <w:r>
        <w:rPr>
          <w:rFonts w:ascii="Times New Roman" w:hAnsi="Times New Roman"/>
          <w:sz w:val="22"/>
          <w:szCs w:val="22"/>
        </w:rPr>
        <w:t>Antidoping</w:t>
      </w:r>
      <w:proofErr w:type="spellEnd"/>
    </w:p>
    <w:p w14:paraId="54552C1E" w14:textId="4675F033" w:rsidR="00AF5AAA" w:rsidRDefault="00AF5AAA" w:rsidP="00B249A3">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Doprava</w:t>
      </w:r>
    </w:p>
    <w:p w14:paraId="3B9FE382" w14:textId="403340FF" w:rsidR="00AF5AAA" w:rsidRPr="00AF5AAA" w:rsidRDefault="00AF5AAA" w:rsidP="00AF5AAA">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Elektroservis, spotřeba energií</w:t>
      </w:r>
    </w:p>
    <w:p w14:paraId="7E768C00" w14:textId="77777777" w:rsidR="00976090" w:rsidRDefault="00976090" w:rsidP="00096B44">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4C0888D7" w:rsidR="00FD58DC" w:rsidRPr="00096B44" w:rsidRDefault="00FD58DC" w:rsidP="00096B44">
      <w:pPr>
        <w:tabs>
          <w:tab w:val="left" w:pos="0"/>
          <w:tab w:val="left" w:leader="underscore" w:pos="4706"/>
          <w:tab w:val="left" w:pos="4990"/>
          <w:tab w:val="left" w:leader="underscore" w:pos="9639"/>
        </w:tabs>
        <w:jc w:val="both"/>
        <w:rPr>
          <w:rFonts w:ascii="Times New Roman" w:hAnsi="Times New Roman"/>
          <w:sz w:val="22"/>
          <w:szCs w:val="22"/>
        </w:rPr>
      </w:pPr>
      <w:r w:rsidRPr="00096B44">
        <w:rPr>
          <w:rFonts w:ascii="Times New Roman" w:hAnsi="Times New Roman"/>
          <w:sz w:val="22"/>
          <w:szCs w:val="22"/>
        </w:rPr>
        <w:t xml:space="preserve">Příjemce je </w:t>
      </w:r>
      <w:r w:rsidRPr="00096B44">
        <w:rPr>
          <w:rFonts w:ascii="Times New Roman" w:hAnsi="Times New Roman"/>
          <w:iCs/>
          <w:sz w:val="22"/>
          <w:szCs w:val="22"/>
        </w:rPr>
        <w:t>oprávněn čerpat</w:t>
      </w:r>
      <w:r w:rsidRPr="00096B44">
        <w:rPr>
          <w:rFonts w:ascii="Times New Roman" w:hAnsi="Times New Roman"/>
          <w:i/>
          <w:sz w:val="22"/>
          <w:szCs w:val="22"/>
        </w:rPr>
        <w:t xml:space="preserve"> </w:t>
      </w:r>
      <w:r w:rsidRPr="00096B44">
        <w:rPr>
          <w:rFonts w:ascii="Times New Roman" w:hAnsi="Times New Roman"/>
          <w:sz w:val="22"/>
          <w:szCs w:val="22"/>
        </w:rPr>
        <w:t>ke stejnému účelu peněžní prostředky z jiných zdrojů.</w:t>
      </w:r>
    </w:p>
    <w:p w14:paraId="605D4D78" w14:textId="34B4E71A" w:rsidR="00976090" w:rsidRDefault="0097609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1B12ADE2" w14:textId="77777777" w:rsidR="00C43066" w:rsidRDefault="00C43066"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69BB4D31" w14:textId="72A5DEB2"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3D7518C7"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uznatelných nákladů prokazatelně souvisejících s realizací účelu dotace, </w:t>
      </w:r>
      <w:r w:rsidRPr="002421BF">
        <w:rPr>
          <w:rFonts w:ascii="Times New Roman" w:hAnsi="Times New Roman"/>
          <w:sz w:val="22"/>
          <w:szCs w:val="22"/>
        </w:rPr>
        <w:t>a to v době od</w:t>
      </w:r>
      <w:r w:rsidR="00372919" w:rsidRPr="002421BF">
        <w:rPr>
          <w:rFonts w:ascii="Times New Roman" w:hAnsi="Times New Roman"/>
          <w:sz w:val="22"/>
          <w:szCs w:val="22"/>
        </w:rPr>
        <w:t xml:space="preserve"> </w:t>
      </w:r>
      <w:r w:rsidR="005D2A59">
        <w:rPr>
          <w:rFonts w:ascii="Times New Roman" w:hAnsi="Times New Roman"/>
          <w:b/>
          <w:bCs/>
          <w:sz w:val="22"/>
          <w:szCs w:val="22"/>
        </w:rPr>
        <w:t xml:space="preserve">1. </w:t>
      </w:r>
      <w:r w:rsidR="00976090">
        <w:rPr>
          <w:rFonts w:ascii="Times New Roman" w:hAnsi="Times New Roman"/>
          <w:b/>
          <w:bCs/>
          <w:sz w:val="22"/>
          <w:szCs w:val="22"/>
        </w:rPr>
        <w:t>8</w:t>
      </w:r>
      <w:r w:rsidR="005D2A59">
        <w:rPr>
          <w:rFonts w:ascii="Times New Roman" w:hAnsi="Times New Roman"/>
          <w:b/>
          <w:bCs/>
          <w:sz w:val="22"/>
          <w:szCs w:val="22"/>
        </w:rPr>
        <w:t>. 202</w:t>
      </w:r>
      <w:r w:rsidR="008F7A73">
        <w:rPr>
          <w:rFonts w:ascii="Times New Roman" w:hAnsi="Times New Roman"/>
          <w:b/>
          <w:bCs/>
          <w:sz w:val="22"/>
          <w:szCs w:val="22"/>
        </w:rPr>
        <w:t>2</w:t>
      </w:r>
      <w:r w:rsidRPr="002421BF">
        <w:rPr>
          <w:rFonts w:ascii="Times New Roman" w:hAnsi="Times New Roman"/>
          <w:sz w:val="22"/>
          <w:szCs w:val="22"/>
        </w:rPr>
        <w:t xml:space="preserve"> do</w:t>
      </w:r>
      <w:r w:rsidR="008D4812" w:rsidRPr="002421BF">
        <w:rPr>
          <w:rFonts w:ascii="Times New Roman" w:hAnsi="Times New Roman"/>
          <w:sz w:val="22"/>
          <w:szCs w:val="22"/>
        </w:rPr>
        <w:t xml:space="preserve"> </w:t>
      </w:r>
      <w:r w:rsidR="00C43066" w:rsidRPr="00C43066">
        <w:rPr>
          <w:rFonts w:ascii="Times New Roman" w:hAnsi="Times New Roman"/>
          <w:b/>
          <w:bCs/>
          <w:sz w:val="22"/>
          <w:szCs w:val="22"/>
        </w:rPr>
        <w:t>28</w:t>
      </w:r>
      <w:r w:rsidR="005D2A59" w:rsidRPr="00C43066">
        <w:rPr>
          <w:rFonts w:ascii="Times New Roman" w:hAnsi="Times New Roman"/>
          <w:b/>
          <w:bCs/>
          <w:sz w:val="22"/>
          <w:szCs w:val="22"/>
        </w:rPr>
        <w:t>.</w:t>
      </w:r>
      <w:r w:rsidR="005D2A59">
        <w:rPr>
          <w:rFonts w:ascii="Times New Roman" w:hAnsi="Times New Roman"/>
          <w:b/>
          <w:bCs/>
          <w:sz w:val="22"/>
          <w:szCs w:val="22"/>
        </w:rPr>
        <w:t xml:space="preserve"> </w:t>
      </w:r>
      <w:r w:rsidR="00976090">
        <w:rPr>
          <w:rFonts w:ascii="Times New Roman" w:hAnsi="Times New Roman"/>
          <w:b/>
          <w:bCs/>
          <w:sz w:val="22"/>
          <w:szCs w:val="22"/>
        </w:rPr>
        <w:t>2</w:t>
      </w:r>
      <w:r w:rsidR="005D2A59">
        <w:rPr>
          <w:rFonts w:ascii="Times New Roman" w:hAnsi="Times New Roman"/>
          <w:b/>
          <w:bCs/>
          <w:sz w:val="22"/>
          <w:szCs w:val="22"/>
        </w:rPr>
        <w:t>. 202</w:t>
      </w:r>
      <w:r w:rsidR="00C43066">
        <w:rPr>
          <w:rFonts w:ascii="Times New Roman" w:hAnsi="Times New Roman"/>
          <w:b/>
          <w:bCs/>
          <w:sz w:val="22"/>
          <w:szCs w:val="22"/>
        </w:rPr>
        <w:t>3</w:t>
      </w:r>
      <w:r w:rsidR="005D2A59">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57478BBE"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982DFA" w:rsidRPr="00982DFA">
        <w:rPr>
          <w:rFonts w:ascii="Times New Roman" w:hAnsi="Times New Roman"/>
          <w:b/>
          <w:bCs/>
          <w:sz w:val="22"/>
          <w:szCs w:val="22"/>
        </w:rPr>
        <w:t>1</w:t>
      </w:r>
      <w:r w:rsidR="00976090" w:rsidRPr="00976090">
        <w:rPr>
          <w:rFonts w:ascii="Times New Roman" w:hAnsi="Times New Roman"/>
          <w:b/>
          <w:bCs/>
          <w:sz w:val="22"/>
          <w:szCs w:val="22"/>
        </w:rPr>
        <w:t xml:space="preserve"> 0</w:t>
      </w:r>
      <w:r w:rsidR="00105728" w:rsidRPr="00105728">
        <w:rPr>
          <w:rFonts w:ascii="Times New Roman" w:hAnsi="Times New Roman"/>
          <w:b/>
          <w:bCs/>
          <w:sz w:val="22"/>
          <w:szCs w:val="22"/>
        </w:rPr>
        <w:t>00 000</w:t>
      </w:r>
      <w:r w:rsidRPr="00105728">
        <w:rPr>
          <w:rFonts w:ascii="Times New Roman" w:hAnsi="Times New Roman"/>
          <w:b/>
          <w:bCs/>
          <w:sz w:val="22"/>
          <w:szCs w:val="22"/>
        </w:rPr>
        <w:t>,- Kč</w:t>
      </w:r>
      <w:r w:rsidRPr="00217FF5">
        <w:rPr>
          <w:rFonts w:ascii="Times New Roman" w:hAnsi="Times New Roman"/>
          <w:sz w:val="22"/>
          <w:szCs w:val="22"/>
        </w:rPr>
        <w:t xml:space="preserve"> (slovy: </w:t>
      </w:r>
      <w:r w:rsidR="00982DFA">
        <w:rPr>
          <w:rFonts w:ascii="Times New Roman" w:hAnsi="Times New Roman"/>
          <w:b/>
          <w:bCs/>
          <w:sz w:val="22"/>
          <w:szCs w:val="22"/>
        </w:rPr>
        <w:t>jeden</w:t>
      </w:r>
      <w:r w:rsidR="00105728" w:rsidRPr="00105728">
        <w:rPr>
          <w:rFonts w:ascii="Times New Roman" w:hAnsi="Times New Roman"/>
          <w:b/>
          <w:bCs/>
          <w:sz w:val="22"/>
          <w:szCs w:val="22"/>
        </w:rPr>
        <w:t xml:space="preserve"> milion</w:t>
      </w:r>
      <w:r w:rsidR="009819F4">
        <w:rPr>
          <w:rFonts w:ascii="Times New Roman" w:hAnsi="Times New Roman"/>
          <w:b/>
          <w:bCs/>
          <w:sz w:val="22"/>
          <w:szCs w:val="22"/>
        </w:rPr>
        <w:t xml:space="preserve"> </w:t>
      </w:r>
      <w:r w:rsidRPr="00105728">
        <w:rPr>
          <w:rFonts w:ascii="Times New Roman" w:hAnsi="Times New Roman"/>
          <w:b/>
          <w:bCs/>
          <w:sz w:val="22"/>
          <w:szCs w:val="22"/>
        </w:rPr>
        <w:t>korun českých</w:t>
      </w:r>
      <w:r w:rsidRPr="00217FF5">
        <w:rPr>
          <w:rFonts w:ascii="Times New Roman" w:hAnsi="Times New Roman"/>
          <w:sz w:val="22"/>
          <w:szCs w:val="22"/>
        </w:rPr>
        <w:t>).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4370088"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realizace projektu </w:t>
      </w:r>
      <w:r w:rsidR="00795E5C" w:rsidRPr="002421BF">
        <w:rPr>
          <w:rFonts w:ascii="Times New Roman" w:hAnsi="Times New Roman"/>
          <w:b/>
          <w:sz w:val="22"/>
          <w:szCs w:val="22"/>
        </w:rPr>
        <w:t>od</w:t>
      </w:r>
      <w:r w:rsidR="00272F5F" w:rsidRPr="002421BF">
        <w:rPr>
          <w:rFonts w:ascii="Times New Roman" w:hAnsi="Times New Roman"/>
          <w:b/>
          <w:sz w:val="22"/>
          <w:szCs w:val="22"/>
        </w:rPr>
        <w:t xml:space="preserve"> </w:t>
      </w:r>
      <w:r w:rsidR="00837E0E">
        <w:rPr>
          <w:rFonts w:ascii="Times New Roman" w:hAnsi="Times New Roman"/>
          <w:b/>
          <w:sz w:val="22"/>
          <w:szCs w:val="22"/>
        </w:rPr>
        <w:t xml:space="preserve">1. </w:t>
      </w:r>
      <w:r w:rsidR="006127CC">
        <w:rPr>
          <w:rFonts w:ascii="Times New Roman" w:hAnsi="Times New Roman"/>
          <w:b/>
          <w:sz w:val="22"/>
          <w:szCs w:val="22"/>
        </w:rPr>
        <w:t>8</w:t>
      </w:r>
      <w:r w:rsidR="00837E0E">
        <w:rPr>
          <w:rFonts w:ascii="Times New Roman" w:hAnsi="Times New Roman"/>
          <w:b/>
          <w:sz w:val="22"/>
          <w:szCs w:val="22"/>
        </w:rPr>
        <w:t>. 202</w:t>
      </w:r>
      <w:r w:rsidR="008F7A73">
        <w:rPr>
          <w:rFonts w:ascii="Times New Roman" w:hAnsi="Times New Roman"/>
          <w:b/>
          <w:sz w:val="22"/>
          <w:szCs w:val="22"/>
        </w:rPr>
        <w:t>2</w:t>
      </w:r>
      <w:r w:rsidR="00795E5C" w:rsidRPr="002421BF">
        <w:rPr>
          <w:rFonts w:ascii="Times New Roman" w:hAnsi="Times New Roman"/>
          <w:b/>
          <w:sz w:val="22"/>
          <w:szCs w:val="22"/>
        </w:rPr>
        <w:t xml:space="preserve"> do </w:t>
      </w:r>
      <w:r w:rsidR="00982DFA">
        <w:rPr>
          <w:rFonts w:ascii="Times New Roman" w:hAnsi="Times New Roman"/>
          <w:b/>
          <w:sz w:val="22"/>
          <w:szCs w:val="22"/>
        </w:rPr>
        <w:t>28</w:t>
      </w:r>
      <w:r w:rsidR="00217FF5">
        <w:rPr>
          <w:rFonts w:ascii="Times New Roman" w:hAnsi="Times New Roman"/>
          <w:b/>
          <w:sz w:val="22"/>
          <w:szCs w:val="22"/>
        </w:rPr>
        <w:t>.</w:t>
      </w:r>
      <w:r w:rsidR="00837E0E">
        <w:rPr>
          <w:rFonts w:ascii="Times New Roman" w:hAnsi="Times New Roman"/>
          <w:b/>
          <w:sz w:val="22"/>
          <w:szCs w:val="22"/>
        </w:rPr>
        <w:t xml:space="preserve"> </w:t>
      </w:r>
      <w:r w:rsidR="006127CC">
        <w:rPr>
          <w:rFonts w:ascii="Times New Roman" w:hAnsi="Times New Roman"/>
          <w:b/>
          <w:sz w:val="22"/>
          <w:szCs w:val="22"/>
        </w:rPr>
        <w:t>2</w:t>
      </w:r>
      <w:r w:rsidR="00837E0E">
        <w:rPr>
          <w:rFonts w:ascii="Times New Roman" w:hAnsi="Times New Roman"/>
          <w:b/>
          <w:sz w:val="22"/>
          <w:szCs w:val="22"/>
        </w:rPr>
        <w:t>. 202</w:t>
      </w:r>
      <w:r w:rsidR="00982DFA">
        <w:rPr>
          <w:rFonts w:ascii="Times New Roman" w:hAnsi="Times New Roman"/>
          <w:b/>
          <w:sz w:val="22"/>
          <w:szCs w:val="22"/>
        </w:rPr>
        <w:t>3</w:t>
      </w:r>
      <w:r w:rsidR="00217FF5">
        <w:rPr>
          <w:rFonts w:ascii="Times New Roman" w:hAnsi="Times New Roman"/>
          <w:b/>
          <w:sz w:val="22"/>
          <w:szCs w:val="22"/>
        </w:rPr>
        <w:t xml:space="preserve"> </w:t>
      </w:r>
      <w:r w:rsidR="00217FF5" w:rsidRPr="00217FF5">
        <w:rPr>
          <w:rFonts w:ascii="Times New Roman" w:hAnsi="Times New Roman"/>
          <w:bCs/>
          <w:sz w:val="22"/>
          <w:szCs w:val="22"/>
        </w:rPr>
        <w:t>a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531E023B"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 xml:space="preserve">c) </w:t>
      </w:r>
      <w:r w:rsidRPr="00213D76">
        <w:rPr>
          <w:rFonts w:ascii="Times New Roman" w:hAnsi="Times New Roman"/>
          <w:sz w:val="22"/>
        </w:rPr>
        <w:t xml:space="preserve">vznikl na základě účetního dokladu v minimální výši </w:t>
      </w:r>
      <w:r w:rsidRPr="0051285F">
        <w:rPr>
          <w:rFonts w:ascii="Times New Roman" w:hAnsi="Times New Roman"/>
          <w:sz w:val="22"/>
        </w:rPr>
        <w:t xml:space="preserve">1 000 </w:t>
      </w:r>
      <w:r w:rsidRPr="0051285F">
        <w:rPr>
          <w:rFonts w:ascii="Times New Roman" w:hAnsi="Times New Roman"/>
          <w:iCs/>
          <w:sz w:val="22"/>
        </w:rPr>
        <w:t>Kč</w:t>
      </w:r>
      <w:r w:rsidRPr="00635D37">
        <w:rPr>
          <w:rFonts w:ascii="Times New Roman" w:hAnsi="Times New Roman"/>
          <w:iCs/>
          <w:sz w:val="22"/>
        </w:rPr>
        <w:t>;</w:t>
      </w:r>
    </w:p>
    <w:p w14:paraId="3F421AE1" w14:textId="50A7087F"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C2751D" w:rsidRPr="00635D37">
        <w:rPr>
          <w:rFonts w:ascii="Times New Roman" w:hAnsi="Times New Roman"/>
          <w:iCs/>
          <w:sz w:val="22"/>
        </w:rPr>
        <w:t>;</w:t>
      </w:r>
    </w:p>
    <w:p w14:paraId="660DF989" w14:textId="32FDD0F2"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C2751D" w:rsidRPr="00635D37">
        <w:rPr>
          <w:rFonts w:ascii="Times New Roman" w:hAnsi="Times New Roman"/>
          <w:iCs/>
          <w:sz w:val="22"/>
        </w:rPr>
        <w:t>;</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772CF8F1"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 xml:space="preserve">od </w:t>
      </w:r>
      <w:r w:rsidR="00837E0E">
        <w:rPr>
          <w:rFonts w:ascii="Times New Roman" w:hAnsi="Times New Roman"/>
          <w:sz w:val="22"/>
          <w:szCs w:val="22"/>
        </w:rPr>
        <w:t xml:space="preserve">1. </w:t>
      </w:r>
      <w:r w:rsidR="006127CC">
        <w:rPr>
          <w:rFonts w:ascii="Times New Roman" w:hAnsi="Times New Roman"/>
          <w:sz w:val="22"/>
          <w:szCs w:val="22"/>
        </w:rPr>
        <w:t>8</w:t>
      </w:r>
      <w:r w:rsidR="00837E0E">
        <w:rPr>
          <w:rFonts w:ascii="Times New Roman" w:hAnsi="Times New Roman"/>
          <w:sz w:val="22"/>
          <w:szCs w:val="22"/>
        </w:rPr>
        <w:t>. 202</w:t>
      </w:r>
      <w:r w:rsidR="008F7A73">
        <w:rPr>
          <w:rFonts w:ascii="Times New Roman" w:hAnsi="Times New Roman"/>
          <w:sz w:val="22"/>
          <w:szCs w:val="22"/>
        </w:rPr>
        <w:t>2</w:t>
      </w:r>
      <w:r w:rsidRPr="004A50AA">
        <w:rPr>
          <w:rFonts w:ascii="Times New Roman" w:hAnsi="Times New Roman"/>
          <w:sz w:val="22"/>
          <w:szCs w:val="22"/>
        </w:rPr>
        <w:t xml:space="preserve"> v rozsahu uznatelných nákl</w:t>
      </w:r>
      <w:r>
        <w:rPr>
          <w:rFonts w:ascii="Times New Roman" w:hAnsi="Times New Roman"/>
          <w:sz w:val="22"/>
          <w:szCs w:val="22"/>
        </w:rPr>
        <w:t>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platby</w:t>
      </w:r>
      <w:r w:rsidRPr="00FA6AF3">
        <w:rPr>
          <w:b/>
          <w:bCs/>
          <w:sz w:val="22"/>
          <w:szCs w:val="22"/>
        </w:rPr>
        <w:t xml:space="preserve"> </w:t>
      </w:r>
      <w:r w:rsidRPr="005B1112">
        <w:rPr>
          <w:sz w:val="22"/>
          <w:szCs w:val="22"/>
        </w:rPr>
        <w:t>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leasing</w:t>
      </w:r>
      <w:r w:rsidRPr="005B1112">
        <w:rPr>
          <w:sz w:val="22"/>
          <w:szCs w:val="22"/>
        </w:rPr>
        <w:t xml:space="preserve">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sml</w:t>
      </w:r>
      <w:r w:rsidRPr="00800CD4">
        <w:rPr>
          <w:sz w:val="22"/>
          <w:szCs w:val="22"/>
        </w:rPr>
        <w:t>uvní pokuty, penále, úroky z prodlení či jakékoliv jiné zákonné či smluvní majetkové sankce;</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dary;</w:t>
      </w:r>
      <w:r w:rsidRPr="00800CD4">
        <w:rPr>
          <w:sz w:val="22"/>
          <w:szCs w:val="22"/>
        </w:rPr>
        <w:t xml:space="preserve"> odpisy z majetku; dárkové poukazy, šeky;</w:t>
      </w:r>
    </w:p>
    <w:p w14:paraId="660B0701" w14:textId="080C975C" w:rsidR="00501B1D"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fina</w:t>
      </w:r>
      <w:r w:rsidRPr="005B1112">
        <w:rPr>
          <w:sz w:val="22"/>
          <w:szCs w:val="22"/>
        </w:rPr>
        <w:t>nční příspěvek zaměstnavatele na stravování zaměstnanců (včetně stravenek);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náklady</w:t>
      </w:r>
      <w:r w:rsidRPr="005B1112">
        <w:rPr>
          <w:sz w:val="22"/>
          <w:szCs w:val="22"/>
        </w:rPr>
        <w:t xml:space="preserve">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náklady</w:t>
      </w:r>
      <w:r w:rsidRPr="005B1112">
        <w:rPr>
          <w:sz w:val="22"/>
          <w:szCs w:val="22"/>
        </w:rPr>
        <w:t>,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lastRenderedPageBreak/>
        <w:t>odměny</w:t>
      </w:r>
      <w:r w:rsidRPr="00213FA1">
        <w:rPr>
          <w:sz w:val="22"/>
          <w:szCs w:val="22"/>
        </w:rPr>
        <w:t xml:space="preserve"> statutárnímu orgánu či členům statutárního orgánu za výkon jejich funkce</w:t>
      </w:r>
      <w:r w:rsidRPr="00D61B06">
        <w:rPr>
          <w:sz w:val="22"/>
          <w:szCs w:val="22"/>
        </w:rPr>
        <w:t>;</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33075F85"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t>Výdaj na úhradu zálohové faktury,</w:t>
      </w:r>
      <w:r w:rsidRPr="00817333">
        <w:rPr>
          <w:rFonts w:ascii="Times New Roman" w:hAnsi="Times New Roman"/>
          <w:color w:val="FF0000"/>
          <w:sz w:val="22"/>
          <w:szCs w:val="22"/>
        </w:rPr>
        <w:t xml:space="preserve"> </w:t>
      </w:r>
      <w:r w:rsidRPr="002C04D2">
        <w:rPr>
          <w:rFonts w:ascii="Times New Roman" w:hAnsi="Times New Roman"/>
          <w:iCs/>
          <w:sz w:val="22"/>
          <w:szCs w:val="22"/>
        </w:rPr>
        <w:t>která nebude do termínu konečného čerpání dotace vyúčtována</w:t>
      </w:r>
      <w:r w:rsidR="002C04D2">
        <w:rPr>
          <w:rFonts w:ascii="Times New Roman" w:hAnsi="Times New Roman"/>
          <w:iCs/>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12B77790"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w:t>
      </w:r>
      <w:bookmarkStart w:id="0" w:name="_Hlk89680891"/>
      <w:r w:rsidRPr="00585EF5">
        <w:rPr>
          <w:rFonts w:ascii="Times New Roman" w:hAnsi="Times New Roman"/>
          <w:sz w:val="22"/>
          <w:szCs w:val="22"/>
        </w:rPr>
        <w:t xml:space="preserve">Tento závazek zaniká uplynutím </w:t>
      </w:r>
      <w:r w:rsidR="004F492C">
        <w:rPr>
          <w:rFonts w:ascii="Times New Roman" w:hAnsi="Times New Roman"/>
          <w:sz w:val="22"/>
          <w:szCs w:val="22"/>
        </w:rPr>
        <w:t>3</w:t>
      </w:r>
      <w:r w:rsidRPr="0051285F">
        <w:rPr>
          <w:rFonts w:ascii="Times New Roman" w:hAnsi="Times New Roman"/>
          <w:sz w:val="22"/>
          <w:szCs w:val="22"/>
        </w:rPr>
        <w:t xml:space="preserve"> let</w:t>
      </w:r>
      <w:bookmarkEnd w:id="0"/>
      <w:r w:rsidRPr="00585EF5">
        <w:rPr>
          <w:rFonts w:ascii="Times New Roman" w:hAnsi="Times New Roman"/>
          <w:sz w:val="22"/>
          <w:szCs w:val="22"/>
        </w:rPr>
        <w:t xml:space="preserve">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4CC9ADDC" w14:textId="77777777" w:rsidR="00883B70" w:rsidRDefault="007C27DC" w:rsidP="00883B70">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701FB0E7" w14:textId="77777777" w:rsidR="00883B70" w:rsidRDefault="00883B70" w:rsidP="00883B70">
      <w:pPr>
        <w:pStyle w:val="Odstavecseseznamem"/>
        <w:rPr>
          <w:rFonts w:ascii="Times New Roman" w:hAnsi="Times New Roman"/>
          <w:sz w:val="22"/>
          <w:szCs w:val="22"/>
        </w:rPr>
      </w:pPr>
    </w:p>
    <w:p w14:paraId="2DC732B6" w14:textId="506EFC16" w:rsidR="00603FFC" w:rsidRPr="00883B70" w:rsidRDefault="0046059C" w:rsidP="00883B70">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883B70">
        <w:rPr>
          <w:rFonts w:ascii="Times New Roman" w:hAnsi="Times New Roman"/>
          <w:sz w:val="22"/>
          <w:szCs w:val="22"/>
        </w:rPr>
        <w:t>V průběhu realizace účelu prokazatelným a vhodným způsobem prezentovat statutární město Ostravu, a to zejména takto:</w:t>
      </w:r>
    </w:p>
    <w:p w14:paraId="0C7EE78D" w14:textId="1ECCF6B2" w:rsidR="00AC28D2" w:rsidRDefault="00AC28D2" w:rsidP="00982DFA">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C28D2">
        <w:rPr>
          <w:rFonts w:ascii="Times New Roman" w:hAnsi="Times New Roman"/>
          <w:sz w:val="22"/>
          <w:szCs w:val="22"/>
        </w:rPr>
        <w:t>viditelně uvádět logo města na písemnostech, tiskových a outdoorových materiálech, které souvisejí s konáním turnaje na prémiovém místě (např. permanentní vstupenky, volné vstupenky, plakáty, letáky, pozvánky, bulletiny, hlavičkové papíry apod.);</w:t>
      </w:r>
      <w:r w:rsidRPr="00545D01">
        <w:rPr>
          <w:rFonts w:ascii="Times New Roman" w:hAnsi="Times New Roman"/>
          <w:sz w:val="22"/>
          <w:szCs w:val="22"/>
        </w:rPr>
        <w:t xml:space="preserve"> </w:t>
      </w:r>
    </w:p>
    <w:p w14:paraId="746D84F7"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 xml:space="preserve">umožnit celostránkovou inzerci města v oficiálním programu, pokud bude tištěn </w:t>
      </w:r>
    </w:p>
    <w:p w14:paraId="2892E581"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 xml:space="preserve">skutečnost, že je závod evropského poháru významně podpořen ze strany města prezentovat vhodným a důstojným způsobem ve všech formách mediální kampaně příjemce (tisková, rozhlasová </w:t>
      </w:r>
      <w:r w:rsidRPr="00B471B4">
        <w:rPr>
          <w:rFonts w:ascii="Times New Roman" w:hAnsi="Times New Roman"/>
          <w:sz w:val="22"/>
          <w:szCs w:val="22"/>
        </w:rPr>
        <w:lastRenderedPageBreak/>
        <w:t xml:space="preserve">inzerce, TV upoutávky, stream závodu a </w:t>
      </w:r>
      <w:proofErr w:type="gramStart"/>
      <w:r w:rsidRPr="00B471B4">
        <w:rPr>
          <w:rFonts w:ascii="Times New Roman" w:hAnsi="Times New Roman"/>
          <w:sz w:val="22"/>
          <w:szCs w:val="22"/>
        </w:rPr>
        <w:t>tréninků,</w:t>
      </w:r>
      <w:proofErr w:type="gramEnd"/>
      <w:r w:rsidRPr="00B471B4">
        <w:rPr>
          <w:rFonts w:ascii="Times New Roman" w:hAnsi="Times New Roman"/>
          <w:sz w:val="22"/>
          <w:szCs w:val="22"/>
        </w:rPr>
        <w:t xml:space="preserve"> apod.) v ČR i zahraničí a umístit v ní vhodným způsobem logo města, pokud je to možné. </w:t>
      </w:r>
    </w:p>
    <w:p w14:paraId="267B3D63"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prezentovat logo a klipy dodané městem místě konání akce na všech speciálních nosičích k této prezentaci vhodných a určených</w:t>
      </w:r>
    </w:p>
    <w:p w14:paraId="60EEC94B"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umístit bannery s logem města v areálu konání závodu na viditelném a důstojném místě o vhodné velikosti</w:t>
      </w:r>
    </w:p>
    <w:p w14:paraId="43AD2347"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umístit bannery s logem města v areálu konání závodu v prostoru startu (cíle) na viditelném a důstojném místě o vhodné velikosti</w:t>
      </w:r>
    </w:p>
    <w:p w14:paraId="642F3D3F"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 xml:space="preserve">umístit logo města na </w:t>
      </w:r>
      <w:proofErr w:type="spellStart"/>
      <w:r w:rsidRPr="00B471B4">
        <w:rPr>
          <w:rFonts w:ascii="Times New Roman" w:hAnsi="Times New Roman"/>
          <w:sz w:val="22"/>
          <w:szCs w:val="22"/>
        </w:rPr>
        <w:t>backdropu</w:t>
      </w:r>
      <w:proofErr w:type="spellEnd"/>
      <w:r w:rsidRPr="00B471B4">
        <w:rPr>
          <w:rFonts w:ascii="Times New Roman" w:hAnsi="Times New Roman"/>
          <w:sz w:val="22"/>
          <w:szCs w:val="22"/>
        </w:rPr>
        <w:t xml:space="preserve"> v mediální místnosti sloužící pro rozhovory na viditelném a důstojném místě o vhodné velikosti</w:t>
      </w:r>
    </w:p>
    <w:p w14:paraId="034D8DA8"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 xml:space="preserve">na webových stránkách, uvést, že je závod významným způsobem podpořen ze strany města, včetně loga SMO a </w:t>
      </w:r>
      <w:proofErr w:type="spellStart"/>
      <w:r w:rsidRPr="00B471B4">
        <w:rPr>
          <w:rFonts w:ascii="Times New Roman" w:hAnsi="Times New Roman"/>
          <w:sz w:val="22"/>
          <w:szCs w:val="22"/>
        </w:rPr>
        <w:t>prolinkem</w:t>
      </w:r>
      <w:proofErr w:type="spellEnd"/>
      <w:r w:rsidRPr="00B471B4">
        <w:rPr>
          <w:rFonts w:ascii="Times New Roman" w:hAnsi="Times New Roman"/>
          <w:sz w:val="22"/>
          <w:szCs w:val="22"/>
        </w:rPr>
        <w:t xml:space="preserve"> na </w:t>
      </w:r>
      <w:proofErr w:type="spellStart"/>
      <w:r w:rsidRPr="00B471B4">
        <w:rPr>
          <w:rFonts w:ascii="Times New Roman" w:hAnsi="Times New Roman"/>
          <w:sz w:val="22"/>
          <w:szCs w:val="22"/>
        </w:rPr>
        <w:t>homepage</w:t>
      </w:r>
      <w:proofErr w:type="spellEnd"/>
      <w:r w:rsidRPr="00B471B4">
        <w:rPr>
          <w:rFonts w:ascii="Times New Roman" w:hAnsi="Times New Roman"/>
          <w:sz w:val="22"/>
          <w:szCs w:val="22"/>
        </w:rPr>
        <w:t xml:space="preserve"> webových stránek města</w:t>
      </w:r>
    </w:p>
    <w:p w14:paraId="51400B7F"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 xml:space="preserve">skutečnost, že je závod významně podpořen ze strany města prezentovat ve všech formách internetové prezentace příjemce (prémiové místo mezi partnery, sociální </w:t>
      </w:r>
      <w:proofErr w:type="gramStart"/>
      <w:r w:rsidRPr="00B471B4">
        <w:rPr>
          <w:rFonts w:ascii="Times New Roman" w:hAnsi="Times New Roman"/>
          <w:sz w:val="22"/>
          <w:szCs w:val="22"/>
        </w:rPr>
        <w:t>sítě,</w:t>
      </w:r>
      <w:proofErr w:type="gramEnd"/>
      <w:r w:rsidRPr="00B471B4">
        <w:rPr>
          <w:rFonts w:ascii="Times New Roman" w:hAnsi="Times New Roman"/>
          <w:sz w:val="22"/>
          <w:szCs w:val="22"/>
        </w:rPr>
        <w:t xml:space="preserve"> apod.)</w:t>
      </w:r>
    </w:p>
    <w:p w14:paraId="2105DA16"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zajistit pozvání představitelů města na významné (mediální, příp. jiné) aktivity v rámci konání této akce, např. tiskové konference, slavnostní zahájení, slavností zakončení, předávání ocenění aj. včetně poskytnutí mediálního prostoru zvaným představitelům města</w:t>
      </w:r>
    </w:p>
    <w:p w14:paraId="788C4B64"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zajistit nutnou součinnost umožňující přítomnost představitelů města (vstup, vjezd)</w:t>
      </w:r>
    </w:p>
    <w:p w14:paraId="39352D85" w14:textId="77777777"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zajistit, povolit činnost a umožnit vstup mediálním pracovníkům města (fotografové, redaktoři)</w:t>
      </w:r>
    </w:p>
    <w:p w14:paraId="3820C901" w14:textId="77BE4F91" w:rsidR="00B471B4" w:rsidRPr="00B471B4" w:rsidRDefault="00B471B4" w:rsidP="00B471B4">
      <w:pPr>
        <w:pStyle w:val="Odstavecseseznamem"/>
        <w:numPr>
          <w:ilvl w:val="0"/>
          <w:numId w:val="1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B471B4">
        <w:rPr>
          <w:rFonts w:ascii="Times New Roman" w:hAnsi="Times New Roman"/>
          <w:sz w:val="22"/>
          <w:szCs w:val="22"/>
        </w:rPr>
        <w:t>v součinnosti s městem poskytovat v dohodnutých termínech podklady (textové i obrazové) umožňující exkluzivní mediální spolupráci; včetně personální součinnosti (rozhovory, aj.)</w:t>
      </w:r>
    </w:p>
    <w:p w14:paraId="1843D49C" w14:textId="228B7B7D" w:rsidR="003E217F" w:rsidRPr="008A1AFF" w:rsidRDefault="003E217F" w:rsidP="008A1AFF">
      <w:pPr>
        <w:tabs>
          <w:tab w:val="left" w:pos="0"/>
          <w:tab w:val="left" w:leader="underscore" w:pos="4706"/>
          <w:tab w:val="left" w:pos="4990"/>
          <w:tab w:val="left" w:leader="underscore" w:pos="9639"/>
        </w:tabs>
        <w:spacing w:before="120"/>
        <w:jc w:val="both"/>
        <w:rPr>
          <w:rFonts w:ascii="Times New Roman" w:hAnsi="Times New Roman"/>
          <w:sz w:val="22"/>
          <w:szCs w:val="22"/>
        </w:rPr>
      </w:pPr>
    </w:p>
    <w:p w14:paraId="2916E838" w14:textId="6ED76FED" w:rsidR="0030575D" w:rsidRDefault="0030575D" w:rsidP="0030575D">
      <w:pPr>
        <w:tabs>
          <w:tab w:val="left" w:leader="underscore" w:pos="9639"/>
        </w:tabs>
        <w:ind w:left="425"/>
        <w:jc w:val="both"/>
        <w:rPr>
          <w:rFonts w:ascii="Times New Roman" w:hAnsi="Times New Roman"/>
          <w:sz w:val="22"/>
          <w:szCs w:val="22"/>
        </w:rPr>
      </w:pPr>
      <w:r w:rsidRPr="00870B01">
        <w:rPr>
          <w:rFonts w:ascii="Times New Roman" w:hAnsi="Times New Roman"/>
          <w:sz w:val="22"/>
          <w:szCs w:val="22"/>
        </w:rPr>
        <w:t>V případě realizace sportovní akce se příjemce zavazuje zajistit v rámci projektu pozvání pro členy rady města, sportovní komise a delegované zaměstnance odboru školství a sportu Magistrátu města Ostravy, a to nejpozději 14 dnů před konáním akce.</w:t>
      </w:r>
    </w:p>
    <w:p w14:paraId="7FAB2428" w14:textId="54C163CA"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2693C3E3" w14:textId="77777777" w:rsidR="00C13802" w:rsidRDefault="00C13802" w:rsidP="00C13802">
      <w:pPr>
        <w:pStyle w:val="Odstavecseseznamem"/>
        <w:rPr>
          <w:rFonts w:ascii="Times New Roman" w:hAnsi="Times New Roman"/>
          <w:sz w:val="22"/>
          <w:szCs w:val="22"/>
        </w:rPr>
      </w:pPr>
    </w:p>
    <w:p w14:paraId="0DCEAF9D" w14:textId="0FC0B53B"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6EF558B8" w14:textId="77777777" w:rsidR="00232752" w:rsidRPr="004A50AA" w:rsidRDefault="00232752" w:rsidP="00870B01">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w:t>
      </w:r>
      <w:r w:rsidRPr="007B29F9">
        <w:rPr>
          <w:rFonts w:ascii="Times New Roman" w:hAnsi="Times New Roman"/>
          <w:iCs/>
          <w:sz w:val="22"/>
          <w:szCs w:val="22"/>
        </w:rPr>
        <w:lastRenderedPageBreak/>
        <w:t>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0C700DE0"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poskytovateli </w:t>
      </w:r>
      <w:r w:rsidRPr="0046059C">
        <w:rPr>
          <w:rFonts w:ascii="Times New Roman" w:hAnsi="Times New Roman"/>
          <w:b/>
          <w:bCs/>
          <w:iCs/>
          <w:sz w:val="22"/>
          <w:szCs w:val="22"/>
        </w:rPr>
        <w:t xml:space="preserve">průběžné finanční vypořádání, </w:t>
      </w:r>
      <w:r w:rsidRPr="0046059C">
        <w:rPr>
          <w:rFonts w:ascii="Times New Roman" w:hAnsi="Times New Roman"/>
          <w:bCs/>
          <w:iCs/>
          <w:sz w:val="22"/>
          <w:szCs w:val="22"/>
        </w:rPr>
        <w:t>tj. průběžné vyúčtování</w:t>
      </w:r>
      <w:r w:rsidRPr="0046059C">
        <w:rPr>
          <w:rFonts w:ascii="Times New Roman" w:hAnsi="Times New Roman"/>
          <w:iCs/>
          <w:sz w:val="22"/>
          <w:szCs w:val="22"/>
        </w:rPr>
        <w:t xml:space="preserve"> dotace </w:t>
      </w:r>
      <w:r w:rsidRPr="0046059C">
        <w:rPr>
          <w:rFonts w:ascii="Times New Roman" w:hAnsi="Times New Roman"/>
          <w:bCs/>
          <w:iCs/>
          <w:sz w:val="22"/>
          <w:szCs w:val="22"/>
        </w:rPr>
        <w:t>do</w:t>
      </w:r>
      <w:r w:rsidRPr="0046059C">
        <w:rPr>
          <w:rFonts w:ascii="Times New Roman" w:hAnsi="Times New Roman"/>
          <w:b/>
          <w:bCs/>
          <w:iCs/>
          <w:sz w:val="22"/>
          <w:szCs w:val="22"/>
        </w:rPr>
        <w:t xml:space="preserve"> </w:t>
      </w:r>
      <w:r w:rsidR="00603FFC">
        <w:rPr>
          <w:rFonts w:ascii="Times New Roman" w:hAnsi="Times New Roman"/>
          <w:b/>
          <w:bCs/>
          <w:iCs/>
          <w:sz w:val="22"/>
          <w:szCs w:val="22"/>
        </w:rPr>
        <w:t>------</w:t>
      </w:r>
      <w:r w:rsidRPr="0046059C">
        <w:rPr>
          <w:rFonts w:ascii="Times New Roman" w:hAnsi="Times New Roman"/>
          <w:b/>
          <w:iCs/>
          <w:sz w:val="22"/>
          <w:szCs w:val="22"/>
        </w:rPr>
        <w:t xml:space="preserve">, </w:t>
      </w:r>
      <w:r w:rsidRPr="0046059C">
        <w:rPr>
          <w:rFonts w:ascii="Times New Roman" w:hAnsi="Times New Roman"/>
          <w:iCs/>
          <w:sz w:val="22"/>
          <w:szCs w:val="22"/>
        </w:rPr>
        <w:t xml:space="preserve">ve výši minimálně </w:t>
      </w:r>
      <w:r w:rsidR="00603FFC">
        <w:rPr>
          <w:rFonts w:ascii="Times New Roman" w:hAnsi="Times New Roman"/>
          <w:iCs/>
          <w:sz w:val="22"/>
          <w:szCs w:val="22"/>
        </w:rPr>
        <w:t>0</w:t>
      </w:r>
      <w:r w:rsidRPr="0046059C">
        <w:rPr>
          <w:rFonts w:ascii="Times New Roman" w:hAnsi="Times New Roman"/>
          <w:iCs/>
          <w:sz w:val="22"/>
          <w:szCs w:val="22"/>
        </w:rPr>
        <w:t>% poskytnuté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1249F7F5" w:rsidR="0046059C" w:rsidRDefault="0046059C" w:rsidP="0046059C">
      <w:pPr>
        <w:numPr>
          <w:ilvl w:val="0"/>
          <w:numId w:val="3"/>
        </w:numPr>
        <w:spacing w:before="120" w:after="120"/>
        <w:ind w:left="357" w:hanging="357"/>
        <w:jc w:val="both"/>
        <w:rPr>
          <w:rFonts w:ascii="Times New Roman" w:hAnsi="Times New Roman"/>
          <w:sz w:val="22"/>
          <w:szCs w:val="22"/>
        </w:rPr>
      </w:pPr>
      <w:bookmarkStart w:id="1" w:name="_Ref519704536"/>
      <w:r>
        <w:rPr>
          <w:rFonts w:ascii="Times New Roman" w:hAnsi="Times New Roman"/>
          <w:sz w:val="22"/>
          <w:szCs w:val="22"/>
        </w:rPr>
        <w:t>P</w:t>
      </w:r>
      <w:r w:rsidRPr="007B2C85">
        <w:rPr>
          <w:rFonts w:ascii="Times New Roman" w:hAnsi="Times New Roman"/>
          <w:sz w:val="22"/>
          <w:szCs w:val="22"/>
        </w:rPr>
        <w:t xml:space="preserve">ředložit poskytovateli nejpozději </w:t>
      </w:r>
      <w:r w:rsidRPr="007B2C85">
        <w:rPr>
          <w:rFonts w:ascii="Times New Roman" w:hAnsi="Times New Roman"/>
          <w:b/>
          <w:sz w:val="22"/>
          <w:szCs w:val="22"/>
        </w:rPr>
        <w:t>do</w:t>
      </w:r>
      <w:r w:rsidRPr="00EA1E4D">
        <w:rPr>
          <w:rFonts w:ascii="Times New Roman" w:hAnsi="Times New Roman"/>
          <w:b/>
          <w:sz w:val="22"/>
          <w:szCs w:val="22"/>
        </w:rPr>
        <w:t> </w:t>
      </w:r>
      <w:r w:rsidR="00603FFC">
        <w:rPr>
          <w:rFonts w:ascii="Times New Roman" w:hAnsi="Times New Roman"/>
          <w:b/>
          <w:sz w:val="22"/>
          <w:szCs w:val="22"/>
        </w:rPr>
        <w:t>3</w:t>
      </w:r>
      <w:r w:rsidR="003004EA">
        <w:rPr>
          <w:rFonts w:ascii="Times New Roman" w:hAnsi="Times New Roman"/>
          <w:b/>
          <w:sz w:val="22"/>
          <w:szCs w:val="22"/>
        </w:rPr>
        <w:t>1</w:t>
      </w:r>
      <w:r w:rsidR="00603FFC">
        <w:rPr>
          <w:rFonts w:ascii="Times New Roman" w:hAnsi="Times New Roman"/>
          <w:b/>
          <w:sz w:val="22"/>
          <w:szCs w:val="22"/>
        </w:rPr>
        <w:t xml:space="preserve">. </w:t>
      </w:r>
      <w:r w:rsidR="00B471B4">
        <w:rPr>
          <w:rFonts w:ascii="Times New Roman" w:hAnsi="Times New Roman"/>
          <w:b/>
          <w:sz w:val="22"/>
          <w:szCs w:val="22"/>
        </w:rPr>
        <w:t>3</w:t>
      </w:r>
      <w:r w:rsidR="00603FFC">
        <w:rPr>
          <w:rFonts w:ascii="Times New Roman" w:hAnsi="Times New Roman"/>
          <w:b/>
          <w:sz w:val="22"/>
          <w:szCs w:val="22"/>
        </w:rPr>
        <w:t>. 202</w:t>
      </w:r>
      <w:r w:rsidR="003004EA">
        <w:rPr>
          <w:rFonts w:ascii="Times New Roman" w:hAnsi="Times New Roman"/>
          <w:b/>
          <w:sz w:val="22"/>
          <w:szCs w:val="22"/>
        </w:rPr>
        <w:t>3</w:t>
      </w:r>
      <w:r w:rsidR="00603FFC">
        <w:rPr>
          <w:rFonts w:ascii="Times New Roman" w:hAnsi="Times New Roman"/>
          <w:b/>
          <w:sz w:val="22"/>
          <w:szCs w:val="22"/>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w:t>
      </w:r>
      <w:proofErr w:type="gramStart"/>
      <w:r w:rsidRPr="00EA1E4D">
        <w:rPr>
          <w:rFonts w:ascii="Times New Roman" w:hAnsi="Times New Roman"/>
          <w:sz w:val="22"/>
          <w:szCs w:val="22"/>
        </w:rPr>
        <w:t>doloží</w:t>
      </w:r>
      <w:proofErr w:type="gramEnd"/>
      <w:r w:rsidRPr="00EA1E4D">
        <w:rPr>
          <w:rFonts w:ascii="Times New Roman" w:hAnsi="Times New Roman"/>
          <w:sz w:val="22"/>
          <w:szCs w:val="22"/>
        </w:rPr>
        <w:t xml:space="preserve">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w:t>
      </w:r>
      <w:proofErr w:type="gramStart"/>
      <w:r w:rsidRPr="00216B30">
        <w:rPr>
          <w:rFonts w:ascii="Times New Roman" w:hAnsi="Times New Roman"/>
          <w:sz w:val="22"/>
          <w:szCs w:val="22"/>
        </w:rPr>
        <w:t>doloží</w:t>
      </w:r>
      <w:proofErr w:type="gramEnd"/>
      <w:r w:rsidRPr="00216B30">
        <w:rPr>
          <w:rFonts w:ascii="Times New Roman" w:hAnsi="Times New Roman"/>
          <w:sz w:val="22"/>
          <w:szCs w:val="22"/>
        </w:rPr>
        <w:t xml:space="preserve">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79FA4230" w:rsidR="006A5FD4"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1"/>
    </w:p>
    <w:p w14:paraId="3CA8DB5C" w14:textId="53DDD9F4" w:rsidR="00820ECC" w:rsidRPr="0051285F" w:rsidRDefault="005F0083" w:rsidP="00820ECC">
      <w:pPr>
        <w:pStyle w:val="Odstavecseseznamem"/>
        <w:numPr>
          <w:ilvl w:val="0"/>
          <w:numId w:val="3"/>
        </w:numPr>
        <w:spacing w:before="120" w:after="120"/>
        <w:jc w:val="both"/>
        <w:rPr>
          <w:rFonts w:ascii="Times New Roman" w:hAnsi="Times New Roman"/>
          <w:sz w:val="22"/>
          <w:szCs w:val="22"/>
        </w:rPr>
      </w:pPr>
      <w:r w:rsidRPr="0051285F">
        <w:rPr>
          <w:rFonts w:ascii="Times New Roman" w:hAnsi="Times New Roman"/>
          <w:sz w:val="22"/>
          <w:szCs w:val="22"/>
        </w:rPr>
        <w:t>Součástí finančního vypořádání bude čestné prohlášení osoby oprávněné jednat za příjemce o úplnosti, správnosti a pravdivosti finančního vypořádání, včetně skutečnosti, zda příjemci byly/nebyly poskytnuty na tento projekt prostředky z jiných zdrojů a v jaké výši.</w:t>
      </w:r>
    </w:p>
    <w:p w14:paraId="47AF1120" w14:textId="7E6B0FCA" w:rsidR="005D52A0" w:rsidRDefault="005F0083" w:rsidP="005F0083">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51285F">
        <w:rPr>
          <w:rFonts w:ascii="Times New Roman" w:hAnsi="Times New Roman"/>
          <w:sz w:val="22"/>
          <w:szCs w:val="22"/>
        </w:rPr>
        <w:t xml:space="preserve">Příjemce se zavazuje vrátit nevyčerpané peněžní prostředky dotace </w:t>
      </w:r>
      <w:r w:rsidR="00856117" w:rsidRPr="0051285F">
        <w:rPr>
          <w:rFonts w:ascii="Times New Roman" w:hAnsi="Times New Roman"/>
          <w:sz w:val="22"/>
          <w:szCs w:val="22"/>
        </w:rPr>
        <w:t>zpět</w:t>
      </w:r>
      <w:r w:rsidR="005D52A0" w:rsidRPr="0051285F">
        <w:rPr>
          <w:rFonts w:ascii="Times New Roman" w:hAnsi="Times New Roman"/>
          <w:sz w:val="22"/>
          <w:szCs w:val="22"/>
        </w:rPr>
        <w:t xml:space="preserve"> na účet</w:t>
      </w:r>
      <w:r w:rsidR="005D52A0" w:rsidRPr="004A50AA">
        <w:rPr>
          <w:rFonts w:ascii="Times New Roman" w:hAnsi="Times New Roman"/>
          <w:sz w:val="22"/>
          <w:szCs w:val="22"/>
        </w:rPr>
        <w:t xml:space="preserve"> poskytovatele,</w:t>
      </w:r>
      <w:r>
        <w:rPr>
          <w:rFonts w:ascii="Times New Roman" w:hAnsi="Times New Roman"/>
          <w:sz w:val="22"/>
          <w:szCs w:val="22"/>
        </w:rPr>
        <w:t xml:space="preserve"> </w:t>
      </w:r>
      <w:r w:rsidR="005D52A0" w:rsidRPr="004A50AA">
        <w:rPr>
          <w:rFonts w:ascii="Times New Roman" w:hAnsi="Times New Roman"/>
          <w:sz w:val="22"/>
          <w:szCs w:val="22"/>
        </w:rPr>
        <w:t>vedený</w:t>
      </w:r>
      <w:r>
        <w:rPr>
          <w:rFonts w:ascii="Times New Roman" w:hAnsi="Times New Roman"/>
          <w:sz w:val="22"/>
          <w:szCs w:val="22"/>
        </w:rPr>
        <w:t xml:space="preserve"> </w:t>
      </w:r>
      <w:r w:rsidR="005D52A0"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 xml:space="preserve">písemného odůvodnění vrácení </w:t>
      </w:r>
      <w:r w:rsidR="00721A79">
        <w:rPr>
          <w:rFonts w:ascii="Times New Roman" w:hAnsi="Times New Roman"/>
          <w:sz w:val="22"/>
          <w:szCs w:val="22"/>
        </w:rPr>
        <w:t xml:space="preserve">nevyčerpané části </w:t>
      </w:r>
      <w:r w:rsidR="00756D23">
        <w:rPr>
          <w:rFonts w:ascii="Times New Roman" w:hAnsi="Times New Roman"/>
          <w:sz w:val="22"/>
          <w:szCs w:val="22"/>
        </w:rPr>
        <w:t>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77777777" w:rsidR="004A50AA" w:rsidRP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 xml:space="preserve">Pokud příjemce </w:t>
      </w:r>
      <w:proofErr w:type="gramStart"/>
      <w:r w:rsidRPr="00085CC9">
        <w:rPr>
          <w:rFonts w:ascii="Times New Roman" w:hAnsi="Times New Roman"/>
          <w:sz w:val="22"/>
          <w:szCs w:val="22"/>
        </w:rPr>
        <w:t>poruší</w:t>
      </w:r>
      <w:proofErr w:type="gramEnd"/>
      <w:r w:rsidRPr="00085CC9">
        <w:rPr>
          <w:rFonts w:ascii="Times New Roman" w:hAnsi="Times New Roman"/>
          <w:sz w:val="22"/>
          <w:szCs w:val="22"/>
        </w:rPr>
        <w:t xml:space="preserve">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17515E">
        <w:rPr>
          <w:rFonts w:ascii="Times New Roman" w:hAnsi="Times New Roman"/>
          <w:sz w:val="22"/>
          <w:szCs w:val="22"/>
        </w:rPr>
        <w:t xml:space="preserve">Smluvní </w:t>
      </w:r>
      <w:r w:rsidRPr="00085CC9">
        <w:rPr>
          <w:rFonts w:ascii="Times New Roman" w:hAnsi="Times New Roman"/>
          <w:sz w:val="22"/>
          <w:szCs w:val="22"/>
        </w:rPr>
        <w:t>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E86BC69" w:rsidR="0076108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lastRenderedPageBreak/>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1981789D" w14:textId="77777777" w:rsidR="0028240E" w:rsidRDefault="0028240E" w:rsidP="0028240E">
      <w:pPr>
        <w:pStyle w:val="Odstavecseseznamem"/>
        <w:rPr>
          <w:rFonts w:ascii="Times New Roman" w:hAnsi="Times New Roman"/>
          <w:sz w:val="22"/>
          <w:szCs w:val="22"/>
        </w:rPr>
      </w:pPr>
    </w:p>
    <w:p w14:paraId="21F6F0D2" w14:textId="2BFDE385" w:rsidR="0028240E" w:rsidRPr="0028240E" w:rsidRDefault="0028240E" w:rsidP="0028240E">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14271F">
        <w:rPr>
          <w:rFonts w:ascii="Times New Roman" w:hAnsi="Times New Roman"/>
          <w:sz w:val="22"/>
          <w:szCs w:val="22"/>
        </w:rPr>
        <w:t xml:space="preserve">Porušení povinností uvedených v odst. </w:t>
      </w:r>
      <w:r>
        <w:rPr>
          <w:rFonts w:ascii="Times New Roman" w:hAnsi="Times New Roman"/>
          <w:sz w:val="22"/>
          <w:szCs w:val="22"/>
        </w:rPr>
        <w:t xml:space="preserve">14 </w:t>
      </w:r>
      <w:r w:rsidRPr="0030575D">
        <w:rPr>
          <w:rFonts w:ascii="Times New Roman" w:hAnsi="Times New Roman"/>
          <w:iCs/>
          <w:sz w:val="22"/>
          <w:szCs w:val="22"/>
        </w:rPr>
        <w:t>a</w:t>
      </w:r>
      <w:r>
        <w:rPr>
          <w:rFonts w:ascii="Times New Roman" w:hAnsi="Times New Roman"/>
          <w:i/>
          <w:sz w:val="22"/>
          <w:szCs w:val="22"/>
        </w:rPr>
        <w:t xml:space="preserve"> </w:t>
      </w:r>
      <w:r>
        <w:rPr>
          <w:rFonts w:ascii="Times New Roman" w:hAnsi="Times New Roman"/>
          <w:iCs/>
          <w:sz w:val="22"/>
          <w:szCs w:val="22"/>
        </w:rPr>
        <w:t>15 čl</w:t>
      </w:r>
      <w:r w:rsidR="002F5E7E">
        <w:rPr>
          <w:rFonts w:ascii="Times New Roman" w:hAnsi="Times New Roman"/>
          <w:iCs/>
          <w:sz w:val="22"/>
          <w:szCs w:val="22"/>
        </w:rPr>
        <w:t>. V</w:t>
      </w:r>
      <w:r>
        <w:rPr>
          <w:rFonts w:ascii="Times New Roman" w:hAnsi="Times New Roman"/>
          <w:sz w:val="22"/>
          <w:szCs w:val="22"/>
        </w:rPr>
        <w:t>.</w:t>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Pr="00817333">
        <w:rPr>
          <w:rFonts w:ascii="Times New Roman" w:hAnsi="Times New Roman"/>
          <w:sz w:val="22"/>
          <w:szCs w:val="22"/>
        </w:rPr>
        <w:t xml:space="preserve">V případě předložení </w:t>
      </w:r>
      <w:r w:rsidRPr="00E640BB">
        <w:rPr>
          <w:rFonts w:ascii="Times New Roman" w:hAnsi="Times New Roman"/>
          <w:b/>
          <w:bCs/>
          <w:iCs/>
          <w:sz w:val="22"/>
          <w:szCs w:val="22"/>
        </w:rPr>
        <w:t>průběžného</w:t>
      </w:r>
      <w:r w:rsidRPr="00E640BB">
        <w:rPr>
          <w:rFonts w:ascii="Times New Roman" w:hAnsi="Times New Roman"/>
          <w:iCs/>
          <w:sz w:val="22"/>
          <w:szCs w:val="22"/>
        </w:rPr>
        <w:t xml:space="preserve"> nebo</w:t>
      </w:r>
      <w:r w:rsidRPr="0014271F">
        <w:rPr>
          <w:rFonts w:ascii="Times New Roman" w:hAnsi="Times New Roman"/>
          <w:i/>
          <w:sz w:val="22"/>
          <w:szCs w:val="22"/>
        </w:rPr>
        <w:t xml:space="preserve"> </w:t>
      </w:r>
      <w:r w:rsidRPr="00E640BB">
        <w:rPr>
          <w:rFonts w:ascii="Times New Roman" w:hAnsi="Times New Roman"/>
          <w:b/>
          <w:bCs/>
          <w:sz w:val="22"/>
          <w:szCs w:val="22"/>
        </w:rPr>
        <w:t>závěrečného</w:t>
      </w:r>
      <w:r>
        <w:rPr>
          <w:rFonts w:ascii="Times New Roman" w:hAnsi="Times New Roman"/>
          <w:sz w:val="22"/>
          <w:szCs w:val="22"/>
        </w:rPr>
        <w:t xml:space="preserve"> </w:t>
      </w:r>
      <w:r w:rsidRPr="00D317D7">
        <w:rPr>
          <w:rFonts w:ascii="Times New Roman" w:hAnsi="Times New Roman"/>
          <w:sz w:val="22"/>
          <w:szCs w:val="22"/>
        </w:rPr>
        <w:t xml:space="preserve">finančního vypořádání dotace dle odst. </w:t>
      </w:r>
      <w:r w:rsidR="002F5E7E">
        <w:rPr>
          <w:rFonts w:ascii="Times New Roman" w:hAnsi="Times New Roman"/>
          <w:sz w:val="22"/>
          <w:szCs w:val="22"/>
        </w:rPr>
        <w:t>14 a 15 čl. V</w:t>
      </w:r>
      <w:r>
        <w:rPr>
          <w:rFonts w:ascii="Times New Roman" w:hAnsi="Times New Roman"/>
          <w:sz w:val="22"/>
          <w:szCs w:val="22"/>
        </w:rPr>
        <w:t>.</w:t>
      </w:r>
      <w:r w:rsidRPr="00D317D7">
        <w:rPr>
          <w:rFonts w:ascii="Times New Roman" w:hAnsi="Times New Roman"/>
          <w:sz w:val="22"/>
          <w:szCs w:val="22"/>
        </w:rPr>
        <w:t xml:space="preserve"> této smlouvy po stanoveném termínu </w:t>
      </w:r>
      <w:r>
        <w:rPr>
          <w:rFonts w:ascii="Times New Roman" w:hAnsi="Times New Roman"/>
          <w:sz w:val="22"/>
          <w:szCs w:val="22"/>
        </w:rPr>
        <w:t>se o</w:t>
      </w:r>
      <w:r w:rsidRPr="00D317D7">
        <w:rPr>
          <w:rFonts w:ascii="Times New Roman" w:hAnsi="Times New Roman"/>
          <w:sz w:val="22"/>
          <w:szCs w:val="22"/>
        </w:rPr>
        <w:t>dvod</w:t>
      </w:r>
      <w:r>
        <w:rPr>
          <w:rFonts w:ascii="Times New Roman" w:hAnsi="Times New Roman"/>
          <w:sz w:val="22"/>
          <w:szCs w:val="22"/>
        </w:rPr>
        <w:t xml:space="preserve"> stanoví</w:t>
      </w:r>
      <w:r w:rsidRPr="00D317D7">
        <w:rPr>
          <w:rFonts w:ascii="Times New Roman" w:hAnsi="Times New Roman"/>
          <w:sz w:val="22"/>
          <w:szCs w:val="22"/>
        </w:rPr>
        <w:t xml:space="preserve"> </w:t>
      </w:r>
      <w:r w:rsidRPr="008322A8">
        <w:rPr>
          <w:rFonts w:ascii="Times New Roman" w:hAnsi="Times New Roman"/>
          <w:sz w:val="22"/>
          <w:szCs w:val="22"/>
        </w:rPr>
        <w:t>níže uvedeným procentním rozmezím</w:t>
      </w:r>
      <w:r w:rsidRPr="00D317D7">
        <w:rPr>
          <w:rFonts w:ascii="Times New Roman" w:hAnsi="Times New Roman"/>
          <w:sz w:val="22"/>
          <w:szCs w:val="22"/>
        </w:rPr>
        <w:t>:</w:t>
      </w:r>
    </w:p>
    <w:p w14:paraId="34DB689C" w14:textId="77777777" w:rsidR="00D669F8" w:rsidRPr="00A9338E" w:rsidRDefault="00D669F8" w:rsidP="00D669F8">
      <w:pPr>
        <w:pStyle w:val="Odstavecseseznamem"/>
        <w:ind w:left="357"/>
        <w:rPr>
          <w:rFonts w:ascii="Times New Roman" w:hAnsi="Times New Roman"/>
          <w:sz w:val="22"/>
          <w:szCs w:val="22"/>
        </w:rPr>
      </w:pPr>
      <w:r w:rsidRPr="00A9338E">
        <w:rPr>
          <w:rFonts w:ascii="Times New Roman" w:hAnsi="Times New Roman"/>
          <w:sz w:val="22"/>
          <w:szCs w:val="22"/>
        </w:rPr>
        <w:t xml:space="preserve">do 7 kalendářních dnů 5% poskytnuté dotace  </w:t>
      </w:r>
    </w:p>
    <w:p w14:paraId="6048E8BC" w14:textId="77777777" w:rsidR="00D669F8" w:rsidRPr="00A9338E" w:rsidRDefault="00D669F8" w:rsidP="00D669F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 </w:t>
      </w:r>
    </w:p>
    <w:p w14:paraId="681559BF" w14:textId="77777777" w:rsidR="00D669F8" w:rsidRPr="00A9338E" w:rsidRDefault="00D669F8" w:rsidP="00D669F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dní 20 % poskytnuté dotace</w:t>
      </w:r>
      <w:r>
        <w:rPr>
          <w:rFonts w:ascii="Times New Roman" w:hAnsi="Times New Roman"/>
          <w:sz w:val="22"/>
          <w:szCs w:val="22"/>
        </w:rPr>
        <w:t>.</w:t>
      </w:r>
    </w:p>
    <w:p w14:paraId="10125D7F" w14:textId="77777777" w:rsidR="00820ECC" w:rsidRDefault="00820ECC" w:rsidP="00D669F8">
      <w:pPr>
        <w:pStyle w:val="Odstavecseseznamem"/>
        <w:ind w:left="284"/>
        <w:jc w:val="both"/>
        <w:rPr>
          <w:rFonts w:ascii="Times New Roman" w:hAnsi="Times New Roman"/>
          <w:sz w:val="22"/>
          <w:szCs w:val="22"/>
        </w:rPr>
      </w:pPr>
    </w:p>
    <w:p w14:paraId="08B749B7" w14:textId="5646B3A3" w:rsidR="006858B5" w:rsidRDefault="00D669F8" w:rsidP="00820ECC">
      <w:pPr>
        <w:pStyle w:val="Odstavecseseznamem"/>
        <w:numPr>
          <w:ilvl w:val="0"/>
          <w:numId w:val="5"/>
        </w:numPr>
        <w:jc w:val="both"/>
        <w:rPr>
          <w:rFonts w:ascii="Times New Roman" w:hAnsi="Times New Roman"/>
          <w:sz w:val="22"/>
          <w:szCs w:val="22"/>
        </w:rPr>
      </w:pPr>
      <w:r w:rsidRPr="00A9338E">
        <w:rPr>
          <w:rFonts w:ascii="Times New Roman" w:hAnsi="Times New Roman"/>
          <w:sz w:val="22"/>
          <w:szCs w:val="22"/>
        </w:rPr>
        <w:t xml:space="preserve">Jestliže příjemce </w:t>
      </w:r>
      <w:r w:rsidRPr="0051285F">
        <w:rPr>
          <w:rFonts w:ascii="Times New Roman" w:hAnsi="Times New Roman"/>
          <w:sz w:val="22"/>
          <w:szCs w:val="22"/>
        </w:rPr>
        <w:t xml:space="preserve">dotace </w:t>
      </w:r>
      <w:proofErr w:type="gramStart"/>
      <w:r w:rsidRPr="0051285F">
        <w:rPr>
          <w:rFonts w:ascii="Times New Roman" w:hAnsi="Times New Roman"/>
          <w:sz w:val="22"/>
          <w:szCs w:val="22"/>
        </w:rPr>
        <w:t>předloží</w:t>
      </w:r>
      <w:proofErr w:type="gramEnd"/>
      <w:r w:rsidRPr="0051285F">
        <w:rPr>
          <w:rFonts w:ascii="Times New Roman" w:hAnsi="Times New Roman"/>
          <w:sz w:val="22"/>
          <w:szCs w:val="22"/>
        </w:rPr>
        <w:t xml:space="preserve"> </w:t>
      </w:r>
      <w:r w:rsidRPr="0051285F">
        <w:rPr>
          <w:rFonts w:ascii="Times New Roman" w:hAnsi="Times New Roman"/>
          <w:b/>
          <w:bCs/>
          <w:iCs/>
          <w:sz w:val="22"/>
          <w:szCs w:val="22"/>
        </w:rPr>
        <w:t>průběžné</w:t>
      </w:r>
      <w:r w:rsidRPr="0051285F">
        <w:rPr>
          <w:rFonts w:ascii="Times New Roman" w:hAnsi="Times New Roman"/>
          <w:i/>
          <w:sz w:val="22"/>
          <w:szCs w:val="22"/>
        </w:rPr>
        <w:t xml:space="preserve"> </w:t>
      </w:r>
      <w:r w:rsidRPr="0051285F">
        <w:rPr>
          <w:rFonts w:ascii="Times New Roman" w:hAnsi="Times New Roman"/>
          <w:iCs/>
          <w:sz w:val="22"/>
          <w:szCs w:val="22"/>
        </w:rPr>
        <w:t>nebo</w:t>
      </w:r>
      <w:r w:rsidRPr="0051285F">
        <w:rPr>
          <w:rFonts w:ascii="Times New Roman" w:hAnsi="Times New Roman"/>
          <w:sz w:val="22"/>
          <w:szCs w:val="22"/>
        </w:rPr>
        <w:t xml:space="preserve"> </w:t>
      </w:r>
      <w:r w:rsidRPr="0051285F">
        <w:rPr>
          <w:rFonts w:ascii="Times New Roman" w:hAnsi="Times New Roman"/>
          <w:b/>
          <w:bCs/>
          <w:sz w:val="22"/>
          <w:szCs w:val="22"/>
        </w:rPr>
        <w:t>závěrečné</w:t>
      </w:r>
      <w:r w:rsidRPr="0051285F">
        <w:rPr>
          <w:rFonts w:ascii="Times New Roman" w:hAnsi="Times New Roman"/>
          <w:sz w:val="22"/>
          <w:szCs w:val="22"/>
        </w:rPr>
        <w:t xml:space="preserve"> finanční vypořádání dotace poskytovateli </w:t>
      </w:r>
      <w:r w:rsidR="00332E19" w:rsidRPr="0051285F">
        <w:rPr>
          <w:rFonts w:ascii="Times New Roman" w:hAnsi="Times New Roman"/>
          <w:sz w:val="22"/>
          <w:szCs w:val="22"/>
        </w:rPr>
        <w:t xml:space="preserve">později než </w:t>
      </w:r>
      <w:r w:rsidRPr="0051285F">
        <w:rPr>
          <w:rFonts w:ascii="Times New Roman" w:hAnsi="Times New Roman"/>
          <w:sz w:val="22"/>
          <w:szCs w:val="22"/>
        </w:rPr>
        <w:t>do 60 dnů po termínu stanoveném v </w:t>
      </w:r>
      <w:r w:rsidR="002F5E7E">
        <w:rPr>
          <w:rFonts w:ascii="Times New Roman" w:hAnsi="Times New Roman"/>
          <w:sz w:val="22"/>
          <w:szCs w:val="22"/>
        </w:rPr>
        <w:t>čl</w:t>
      </w:r>
      <w:r w:rsidR="00704832" w:rsidRPr="0051285F">
        <w:rPr>
          <w:rFonts w:ascii="Times New Roman" w:hAnsi="Times New Roman"/>
          <w:sz w:val="22"/>
          <w:szCs w:val="22"/>
        </w:rPr>
        <w:t>.</w:t>
      </w:r>
      <w:r w:rsidR="002F5E7E">
        <w:rPr>
          <w:rFonts w:ascii="Times New Roman" w:hAnsi="Times New Roman"/>
          <w:sz w:val="22"/>
          <w:szCs w:val="22"/>
        </w:rPr>
        <w:t xml:space="preserve"> V.</w:t>
      </w:r>
      <w:r w:rsidRPr="0051285F">
        <w:rPr>
          <w:rFonts w:ascii="Times New Roman" w:hAnsi="Times New Roman"/>
          <w:sz w:val="22"/>
          <w:szCs w:val="22"/>
        </w:rPr>
        <w:t xml:space="preserve"> odst. </w:t>
      </w:r>
      <w:r w:rsidR="00DF407D" w:rsidRPr="0051285F">
        <w:rPr>
          <w:rFonts w:ascii="Times New Roman" w:hAnsi="Times New Roman"/>
          <w:iCs/>
          <w:sz w:val="22"/>
          <w:szCs w:val="22"/>
        </w:rPr>
        <w:t>1</w:t>
      </w:r>
      <w:r w:rsidR="00320E5F" w:rsidRPr="0051285F">
        <w:rPr>
          <w:rFonts w:ascii="Times New Roman" w:hAnsi="Times New Roman"/>
          <w:iCs/>
          <w:sz w:val="22"/>
          <w:szCs w:val="22"/>
        </w:rPr>
        <w:t>4</w:t>
      </w:r>
      <w:r w:rsidRPr="0051285F">
        <w:rPr>
          <w:rFonts w:ascii="Times New Roman" w:hAnsi="Times New Roman"/>
          <w:sz w:val="22"/>
          <w:szCs w:val="22"/>
        </w:rPr>
        <w:t xml:space="preserve"> </w:t>
      </w:r>
      <w:r w:rsidRPr="0051285F">
        <w:rPr>
          <w:rFonts w:ascii="Times New Roman" w:hAnsi="Times New Roman"/>
          <w:iCs/>
          <w:sz w:val="22"/>
          <w:szCs w:val="22"/>
        </w:rPr>
        <w:t>a</w:t>
      </w:r>
      <w:r w:rsidRPr="0051285F">
        <w:rPr>
          <w:rFonts w:ascii="Times New Roman" w:hAnsi="Times New Roman"/>
          <w:i/>
          <w:sz w:val="22"/>
          <w:szCs w:val="22"/>
        </w:rPr>
        <w:t xml:space="preserve"> </w:t>
      </w:r>
      <w:r w:rsidR="00DF407D" w:rsidRPr="0051285F">
        <w:rPr>
          <w:rFonts w:ascii="Times New Roman" w:hAnsi="Times New Roman"/>
          <w:sz w:val="22"/>
          <w:szCs w:val="22"/>
        </w:rPr>
        <w:t>1</w:t>
      </w:r>
      <w:r w:rsidR="00320E5F" w:rsidRPr="0051285F">
        <w:rPr>
          <w:rFonts w:ascii="Times New Roman" w:hAnsi="Times New Roman"/>
          <w:sz w:val="22"/>
          <w:szCs w:val="22"/>
        </w:rPr>
        <w:t>5</w:t>
      </w:r>
      <w:r w:rsidRPr="0051285F">
        <w:rPr>
          <w:rFonts w:ascii="Times New Roman" w:hAnsi="Times New Roman"/>
          <w:sz w:val="22"/>
          <w:szCs w:val="22"/>
        </w:rPr>
        <w:t xml:space="preserve"> této smlouvy</w:t>
      </w:r>
      <w:r w:rsidR="00332E19" w:rsidRPr="0051285F">
        <w:rPr>
          <w:rFonts w:ascii="Times New Roman" w:hAnsi="Times New Roman"/>
          <w:sz w:val="22"/>
          <w:szCs w:val="22"/>
        </w:rPr>
        <w:t xml:space="preserve"> anebo nepředloží průběžné nebo závěrečné finanční vypořádání dotace vůbec</w:t>
      </w:r>
      <w:r w:rsidRPr="0051285F">
        <w:rPr>
          <w:rFonts w:ascii="Times New Roman" w:hAnsi="Times New Roman"/>
          <w:sz w:val="22"/>
          <w:szCs w:val="22"/>
        </w:rPr>
        <w:t>, je</w:t>
      </w:r>
      <w:r w:rsidRPr="00E640BB">
        <w:rPr>
          <w:rFonts w:ascii="Times New Roman" w:hAnsi="Times New Roman"/>
          <w:sz w:val="22"/>
          <w:szCs w:val="22"/>
        </w:rPr>
        <w:t xml:space="preserve"> toto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68BDE024" w14:textId="66EA9249" w:rsidR="00704832" w:rsidRDefault="0038656A" w:rsidP="006A0802">
      <w:pPr>
        <w:pStyle w:val="JVS2"/>
        <w:jc w:val="both"/>
      </w:pPr>
      <w:r>
        <w:t xml:space="preserve">    </w:t>
      </w: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393C7106" w:rsidR="00795E5C" w:rsidRPr="00443C30" w:rsidRDefault="00E640BB" w:rsidP="00443C30">
      <w:pPr>
        <w:pStyle w:val="Odstavecseseznamem"/>
        <w:numPr>
          <w:ilvl w:val="0"/>
          <w:numId w:val="6"/>
        </w:numPr>
        <w:spacing w:before="120"/>
        <w:jc w:val="both"/>
        <w:rPr>
          <w:rFonts w:ascii="Times New Roman" w:hAnsi="Times New Roman"/>
          <w:i/>
          <w:szCs w:val="22"/>
        </w:rPr>
      </w:pPr>
      <w:r w:rsidRPr="00443C30">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17515E" w:rsidRDefault="00E37019" w:rsidP="002D7275">
      <w:pPr>
        <w:pStyle w:val="Zkladntextodsazen-slo"/>
        <w:numPr>
          <w:ilvl w:val="0"/>
          <w:numId w:val="6"/>
        </w:numPr>
        <w:spacing w:before="60" w:after="60"/>
        <w:rPr>
          <w:sz w:val="22"/>
          <w:szCs w:val="22"/>
        </w:rPr>
      </w:pPr>
      <w:r w:rsidRPr="0017515E">
        <w:rPr>
          <w:sz w:val="22"/>
          <w:szCs w:val="22"/>
        </w:rPr>
        <w:t>Smluvní strany se dále dohodly ve smyslu § 1740 odst. 2 a 3</w:t>
      </w:r>
      <w:r w:rsidR="00CB1BC7" w:rsidRPr="0017515E">
        <w:rPr>
          <w:sz w:val="22"/>
          <w:szCs w:val="22"/>
        </w:rPr>
        <w:t xml:space="preserve"> občanského zákoníku</w:t>
      </w:r>
      <w:r w:rsidRPr="0017515E">
        <w:rPr>
          <w:sz w:val="22"/>
          <w:szCs w:val="22"/>
        </w:rPr>
        <w:t>, že vylučují přijetí nabídky, která vyjadřuje obsah návrhu smlouvy jinými slovy, i přijetí nabídky s dodatkem nebo odchylkou, i když dodatek či odchylka podstatně nemění podmínky nabídky.</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534464E6"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Tato s</w:t>
      </w:r>
      <w:r w:rsidR="00795E5C" w:rsidRPr="004A50AA">
        <w:rPr>
          <w:rFonts w:ascii="Times New Roman" w:hAnsi="Times New Roman"/>
          <w:sz w:val="22"/>
          <w:szCs w:val="22"/>
        </w:rPr>
        <w:t>mlouva</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je </w:t>
      </w:r>
      <w:r w:rsidR="00E24032">
        <w:rPr>
          <w:rFonts w:ascii="Times New Roman" w:hAnsi="Times New Roman"/>
          <w:sz w:val="22"/>
          <w:szCs w:val="22"/>
        </w:rPr>
        <w:t xml:space="preserve">uzavřena v elektronické podobě. </w:t>
      </w:r>
      <w:r w:rsidR="00DF407D">
        <w:rPr>
          <w:rFonts w:ascii="Times New Roman" w:hAnsi="Times New Roman"/>
          <w:sz w:val="22"/>
          <w:szCs w:val="22"/>
        </w:rPr>
        <w:t xml:space="preserve">V případě, že výše poskytnuté dotace přesáhne částku 300 tis. Kč, je </w:t>
      </w:r>
      <w:r w:rsidR="00D60167">
        <w:rPr>
          <w:rFonts w:ascii="Times New Roman" w:hAnsi="Times New Roman"/>
          <w:sz w:val="22"/>
          <w:szCs w:val="22"/>
        </w:rPr>
        <w:t xml:space="preserve">smlouva uzavírána v elektronické podobě a </w:t>
      </w:r>
      <w:r w:rsidR="00DF407D">
        <w:rPr>
          <w:rFonts w:ascii="Times New Roman" w:hAnsi="Times New Roman"/>
          <w:sz w:val="22"/>
          <w:szCs w:val="22"/>
        </w:rPr>
        <w:t xml:space="preserve">příjemce dotace </w:t>
      </w:r>
      <w:r w:rsidR="00D60167">
        <w:rPr>
          <w:rFonts w:ascii="Times New Roman" w:hAnsi="Times New Roman"/>
          <w:sz w:val="22"/>
          <w:szCs w:val="22"/>
        </w:rPr>
        <w:t xml:space="preserve">ji podepisuje </w:t>
      </w:r>
      <w:r w:rsidR="00DF407D">
        <w:rPr>
          <w:rFonts w:ascii="Times New Roman" w:hAnsi="Times New Roman"/>
          <w:sz w:val="22"/>
          <w:szCs w:val="22"/>
        </w:rPr>
        <w:t xml:space="preserve">prostřednictvím elektronického podpisu </w:t>
      </w:r>
      <w:r w:rsidR="00D60167">
        <w:rPr>
          <w:rFonts w:ascii="Times New Roman" w:hAnsi="Times New Roman"/>
          <w:sz w:val="22"/>
          <w:szCs w:val="22"/>
        </w:rPr>
        <w:t xml:space="preserve">dle </w:t>
      </w:r>
      <w:r w:rsidR="00DF407D">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135AD9D6" w14:textId="3EEB5447" w:rsidR="00320E5F" w:rsidRPr="0030575D" w:rsidRDefault="00F824BD" w:rsidP="0030575D">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000E30B3"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8E74FD">
        <w:rPr>
          <w:rFonts w:ascii="Times New Roman" w:hAnsi="Times New Roman"/>
          <w:sz w:val="22"/>
          <w:szCs w:val="22"/>
        </w:rPr>
        <w:t>2120</w:t>
      </w:r>
      <w:r w:rsidR="002F6AC2" w:rsidRPr="002F6AC2">
        <w:rPr>
          <w:rFonts w:ascii="Times New Roman" w:hAnsi="Times New Roman"/>
          <w:sz w:val="22"/>
          <w:szCs w:val="22"/>
        </w:rPr>
        <w:t>/ZM1822/</w:t>
      </w:r>
      <w:r w:rsidR="008E74FD">
        <w:rPr>
          <w:rFonts w:ascii="Times New Roman" w:hAnsi="Times New Roman"/>
          <w:sz w:val="22"/>
          <w:szCs w:val="22"/>
        </w:rPr>
        <w:t>35</w:t>
      </w:r>
      <w:r w:rsidR="00630DE2" w:rsidRPr="004A50AA">
        <w:rPr>
          <w:rFonts w:ascii="Times New Roman" w:hAnsi="Times New Roman"/>
          <w:sz w:val="22"/>
          <w:szCs w:val="22"/>
        </w:rPr>
        <w:t xml:space="preserve"> </w:t>
      </w:r>
      <w:r w:rsidR="006338B2" w:rsidRPr="004A50AA">
        <w:rPr>
          <w:rFonts w:ascii="Times New Roman" w:hAnsi="Times New Roman"/>
          <w:sz w:val="22"/>
          <w:szCs w:val="22"/>
        </w:rPr>
        <w:t>ze dne</w:t>
      </w:r>
      <w:r w:rsidR="002F6AC2">
        <w:rPr>
          <w:rFonts w:ascii="Times New Roman" w:hAnsi="Times New Roman"/>
          <w:sz w:val="22"/>
          <w:szCs w:val="22"/>
        </w:rPr>
        <w:t xml:space="preserve"> </w:t>
      </w:r>
      <w:r w:rsidR="008E74FD">
        <w:rPr>
          <w:rFonts w:ascii="Times New Roman" w:hAnsi="Times New Roman"/>
          <w:sz w:val="22"/>
          <w:szCs w:val="22"/>
        </w:rPr>
        <w:t>22</w:t>
      </w:r>
      <w:r w:rsidR="002F6AC2">
        <w:rPr>
          <w:rFonts w:ascii="Times New Roman" w:hAnsi="Times New Roman"/>
          <w:sz w:val="22"/>
          <w:szCs w:val="22"/>
        </w:rPr>
        <w:t xml:space="preserve">. </w:t>
      </w:r>
      <w:r w:rsidR="003004EA">
        <w:rPr>
          <w:rFonts w:ascii="Times New Roman" w:hAnsi="Times New Roman"/>
          <w:sz w:val="22"/>
          <w:szCs w:val="22"/>
        </w:rPr>
        <w:t>6</w:t>
      </w:r>
      <w:r w:rsidR="002F6AC2">
        <w:rPr>
          <w:rFonts w:ascii="Times New Roman" w:hAnsi="Times New Roman"/>
          <w:sz w:val="22"/>
          <w:szCs w:val="22"/>
        </w:rPr>
        <w:t>. 2022.</w:t>
      </w:r>
    </w:p>
    <w:p w14:paraId="4AA1ADB5" w14:textId="77777777" w:rsidR="00320E5F" w:rsidRDefault="00320E5F" w:rsidP="00E92A47">
      <w:pPr>
        <w:tabs>
          <w:tab w:val="left" w:pos="284"/>
          <w:tab w:val="left" w:pos="4990"/>
        </w:tabs>
        <w:jc w:val="both"/>
        <w:outlineLvl w:val="0"/>
        <w:rPr>
          <w:rFonts w:cs="Arial"/>
          <w:b/>
        </w:rPr>
      </w:pPr>
    </w:p>
    <w:p w14:paraId="43BF1033" w14:textId="77777777" w:rsidR="00D17387" w:rsidRDefault="00D17387" w:rsidP="00E92A47">
      <w:pPr>
        <w:tabs>
          <w:tab w:val="left" w:pos="284"/>
          <w:tab w:val="left" w:pos="4990"/>
        </w:tabs>
        <w:jc w:val="both"/>
        <w:outlineLvl w:val="0"/>
        <w:rPr>
          <w:rFonts w:cs="Arial"/>
          <w:b/>
        </w:rPr>
      </w:pPr>
    </w:p>
    <w:p w14:paraId="529E2CBE" w14:textId="649F063C" w:rsidR="00D17387" w:rsidRPr="004A50AA" w:rsidRDefault="00D17387" w:rsidP="00E92A47">
      <w:pPr>
        <w:tabs>
          <w:tab w:val="left" w:pos="284"/>
          <w:tab w:val="left" w:pos="4990"/>
        </w:tabs>
        <w:jc w:val="both"/>
        <w:outlineLvl w:val="0"/>
        <w:rPr>
          <w:rFonts w:cs="Arial"/>
          <w:b/>
        </w:rPr>
        <w:sectPr w:rsidR="00D17387"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22D5F0C3" w14:textId="33C6D1B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A0A3D41"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76A16994"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57B07D7A"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295C4A5B"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0F639665" w14:textId="77777777" w:rsidR="002F6AC2" w:rsidRPr="002F6AC2" w:rsidRDefault="002F6AC2" w:rsidP="002F6AC2">
      <w:pPr>
        <w:tabs>
          <w:tab w:val="left" w:pos="0"/>
          <w:tab w:val="left" w:pos="4990"/>
        </w:tabs>
        <w:jc w:val="both"/>
        <w:rPr>
          <w:rFonts w:ascii="Times New Roman" w:hAnsi="Times New Roman"/>
          <w:bCs/>
          <w:i/>
          <w:iCs/>
          <w:sz w:val="22"/>
          <w:szCs w:val="22"/>
        </w:rPr>
      </w:pPr>
      <w:r w:rsidRPr="002F6AC2">
        <w:rPr>
          <w:rFonts w:ascii="Times New Roman" w:hAnsi="Times New Roman"/>
          <w:bCs/>
          <w:i/>
          <w:iCs/>
          <w:sz w:val="22"/>
          <w:szCs w:val="22"/>
        </w:rPr>
        <w:t>„Elektronicky podepsáno“</w:t>
      </w:r>
    </w:p>
    <w:p w14:paraId="3B54E99C" w14:textId="493B4806" w:rsidR="0034440D" w:rsidRDefault="0034440D" w:rsidP="002E6559">
      <w:pPr>
        <w:tabs>
          <w:tab w:val="left" w:pos="0"/>
          <w:tab w:val="left" w:pos="4990"/>
        </w:tabs>
        <w:jc w:val="both"/>
        <w:outlineLvl w:val="0"/>
        <w:rPr>
          <w:rFonts w:ascii="Times New Roman" w:hAnsi="Times New Roman"/>
          <w:b/>
          <w:sz w:val="22"/>
          <w:szCs w:val="22"/>
        </w:rPr>
      </w:pPr>
    </w:p>
    <w:p w14:paraId="39B6CB77" w14:textId="6C3FE4A9" w:rsidR="00067360" w:rsidRDefault="00067360"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23AC0357" w14:textId="77777777" w:rsidR="00835724" w:rsidRDefault="00835724" w:rsidP="00835724">
      <w:pPr>
        <w:tabs>
          <w:tab w:val="left" w:pos="0"/>
          <w:tab w:val="left" w:leader="underscore" w:pos="4706"/>
          <w:tab w:val="left" w:pos="4990"/>
          <w:tab w:val="left" w:leader="underscore" w:pos="9639"/>
        </w:tabs>
        <w:jc w:val="both"/>
        <w:rPr>
          <w:rFonts w:ascii="Times New Roman" w:hAnsi="Times New Roman"/>
          <w:b/>
          <w:sz w:val="22"/>
          <w:szCs w:val="22"/>
        </w:rPr>
      </w:pPr>
      <w:bookmarkStart w:id="2" w:name="_Hlk94475370"/>
    </w:p>
    <w:p w14:paraId="7BE85555" w14:textId="4C4F924A"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b/>
          <w:sz w:val="22"/>
          <w:szCs w:val="22"/>
        </w:rPr>
        <w:t>Za příjemce</w:t>
      </w:r>
    </w:p>
    <w:p w14:paraId="1B1E8655"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D142672"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p>
    <w:p w14:paraId="0913CCC4"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57A33DAA"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p>
    <w:p w14:paraId="2C818105"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Místo:</w:t>
      </w:r>
    </w:p>
    <w:p w14:paraId="7F3F639F"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p>
    <w:p w14:paraId="3DDDBD8D" w14:textId="77777777" w:rsidR="00835724" w:rsidRPr="00C44A96" w:rsidRDefault="00835724" w:rsidP="00835724">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EBDAE8C" w14:textId="77777777" w:rsidR="00835724" w:rsidRPr="00C44A96" w:rsidRDefault="00835724" w:rsidP="00835724">
      <w:pPr>
        <w:tabs>
          <w:tab w:val="left" w:pos="0"/>
          <w:tab w:val="left" w:pos="4990"/>
        </w:tabs>
        <w:jc w:val="both"/>
        <w:rPr>
          <w:rFonts w:ascii="Times New Roman" w:hAnsi="Times New Roman"/>
          <w:b/>
          <w:sz w:val="22"/>
          <w:szCs w:val="22"/>
        </w:rPr>
      </w:pPr>
    </w:p>
    <w:p w14:paraId="4DDE3961" w14:textId="5233A0A0" w:rsidR="00835724" w:rsidRPr="00067360" w:rsidRDefault="00927A9F" w:rsidP="00835724">
      <w:pPr>
        <w:tabs>
          <w:tab w:val="left" w:pos="0"/>
          <w:tab w:val="left" w:pos="4990"/>
        </w:tabs>
        <w:jc w:val="both"/>
        <w:rPr>
          <w:rFonts w:ascii="Times New Roman" w:hAnsi="Times New Roman"/>
          <w:b/>
          <w:sz w:val="22"/>
          <w:szCs w:val="22"/>
        </w:rPr>
      </w:pPr>
      <w:r w:rsidRPr="00927A9F">
        <w:rPr>
          <w:rFonts w:ascii="Times New Roman" w:hAnsi="Times New Roman"/>
          <w:b/>
          <w:sz w:val="22"/>
          <w:szCs w:val="22"/>
        </w:rPr>
        <w:t>Radovan Šťastný</w:t>
      </w:r>
    </w:p>
    <w:p w14:paraId="614C1647" w14:textId="3AAEE8D0" w:rsidR="00835724" w:rsidRPr="002F6AC2" w:rsidRDefault="00927A9F" w:rsidP="00835724">
      <w:pPr>
        <w:tabs>
          <w:tab w:val="left" w:pos="0"/>
          <w:tab w:val="left" w:pos="4990"/>
        </w:tabs>
        <w:jc w:val="both"/>
        <w:rPr>
          <w:rFonts w:ascii="Times New Roman" w:hAnsi="Times New Roman"/>
          <w:bCs/>
          <w:sz w:val="22"/>
          <w:szCs w:val="22"/>
        </w:rPr>
      </w:pPr>
      <w:r>
        <w:rPr>
          <w:rFonts w:ascii="Times New Roman" w:hAnsi="Times New Roman"/>
          <w:bCs/>
          <w:sz w:val="22"/>
          <w:szCs w:val="22"/>
        </w:rPr>
        <w:t>předseda</w:t>
      </w:r>
    </w:p>
    <w:p w14:paraId="3EFF8C0B" w14:textId="77777777" w:rsidR="00835724" w:rsidRPr="002F6AC2" w:rsidRDefault="00835724" w:rsidP="00835724">
      <w:pPr>
        <w:tabs>
          <w:tab w:val="left" w:pos="0"/>
          <w:tab w:val="left" w:pos="4990"/>
        </w:tabs>
        <w:jc w:val="both"/>
        <w:rPr>
          <w:rFonts w:ascii="Times New Roman" w:hAnsi="Times New Roman"/>
          <w:bCs/>
          <w:i/>
          <w:iCs/>
          <w:sz w:val="22"/>
          <w:szCs w:val="22"/>
        </w:rPr>
      </w:pPr>
      <w:r w:rsidRPr="002F6AC2">
        <w:rPr>
          <w:rFonts w:ascii="Times New Roman" w:hAnsi="Times New Roman"/>
          <w:bCs/>
          <w:i/>
          <w:iCs/>
          <w:sz w:val="22"/>
          <w:szCs w:val="22"/>
        </w:rPr>
        <w:t>„Elektronicky podepsáno“</w:t>
      </w:r>
    </w:p>
    <w:p w14:paraId="1A44F977" w14:textId="77777777" w:rsidR="00835724" w:rsidRPr="002F6AC2" w:rsidRDefault="00835724" w:rsidP="002F6AC2">
      <w:pPr>
        <w:tabs>
          <w:tab w:val="left" w:pos="0"/>
          <w:tab w:val="left" w:pos="4990"/>
        </w:tabs>
        <w:jc w:val="both"/>
        <w:rPr>
          <w:rFonts w:ascii="Times New Roman" w:hAnsi="Times New Roman"/>
          <w:bCs/>
          <w:i/>
          <w:iCs/>
          <w:sz w:val="22"/>
          <w:szCs w:val="22"/>
        </w:rPr>
      </w:pPr>
    </w:p>
    <w:bookmarkEnd w:id="2"/>
    <w:p w14:paraId="02747308" w14:textId="77777777" w:rsidR="00002951" w:rsidRDefault="00002951" w:rsidP="00FB6667">
      <w:pPr>
        <w:tabs>
          <w:tab w:val="left" w:pos="0"/>
          <w:tab w:val="left" w:pos="4990"/>
        </w:tabs>
        <w:jc w:val="both"/>
        <w:rPr>
          <w:rFonts w:ascii="Times New Roman" w:hAnsi="Times New Roman"/>
          <w:sz w:val="22"/>
          <w:szCs w:val="22"/>
        </w:rPr>
      </w:pP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1CED" w14:textId="77777777" w:rsidR="005568EE" w:rsidRDefault="005568EE">
      <w:r>
        <w:separator/>
      </w:r>
    </w:p>
  </w:endnote>
  <w:endnote w:type="continuationSeparator" w:id="0">
    <w:p w14:paraId="26B9F59B" w14:textId="77777777" w:rsidR="005568EE" w:rsidRDefault="005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275F5919" w:rsidR="00306CE5" w:rsidRDefault="00306CE5">
    <w:pPr>
      <w:pStyle w:val="Zpat"/>
    </w:pPr>
    <w:r>
      <w:fldChar w:fldCharType="begin"/>
    </w:r>
    <w:r>
      <w:instrText>PAGE   \* MERGEFORMAT</w:instrText>
    </w:r>
    <w:r>
      <w:fldChar w:fldCharType="separate"/>
    </w:r>
    <w:r>
      <w:t>2</w:t>
    </w:r>
    <w:r>
      <w:fldChar w:fldCharType="end"/>
    </w:r>
    <w:r>
      <w:t>/</w:t>
    </w:r>
    <w:r w:rsidR="00D17387">
      <w:t>9</w:t>
    </w:r>
    <w:r>
      <w:t xml:space="preserve">      </w:t>
    </w:r>
    <w:r w:rsidR="00833ED1">
      <w:rPr>
        <w:b/>
        <w:bCs/>
        <w:i/>
        <w:iCs/>
      </w:rPr>
      <w:t>UEC Evropský pohár v cyklokrosu Ostrava 2022</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D76B" w14:textId="77777777" w:rsidR="005568EE" w:rsidRDefault="005568EE">
      <w:r>
        <w:separator/>
      </w:r>
    </w:p>
  </w:footnote>
  <w:footnote w:type="continuationSeparator" w:id="0">
    <w:p w14:paraId="069A18A5" w14:textId="77777777" w:rsidR="005568EE" w:rsidRDefault="0055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56CD7471"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6DCF625E" w:rsidR="00CF4ECB" w:rsidRDefault="00CF4ECB">
    <w:pPr>
      <w:pStyle w:val="Zhlav"/>
    </w:pPr>
    <w:r>
      <w:tab/>
      <w:t xml:space="preserve">                                                                                                            </w:t>
    </w:r>
    <w:r w:rsidR="005D2A59">
      <w:t xml:space="preserve">                         </w:t>
    </w:r>
    <w:r>
      <w:t xml:space="preserve"> </w:t>
    </w:r>
    <w:r w:rsidRPr="00CF4ECB">
      <w:rPr>
        <w:b/>
        <w:bCs/>
      </w:rPr>
      <w:t>č.</w:t>
    </w:r>
    <w:r>
      <w:t>:</w:t>
    </w:r>
    <w:r w:rsidR="005D2A59">
      <w:t xml:space="preserve"> </w:t>
    </w:r>
    <w:r w:rsidR="00B12DD6">
      <w:t>1</w:t>
    </w:r>
    <w:r w:rsidR="005D2A59">
      <w:t>8</w:t>
    </w:r>
    <w:r w:rsidR="00B12DD6">
      <w:t>9</w:t>
    </w:r>
    <w:r w:rsidR="00FD2A92">
      <w:t>8</w:t>
    </w:r>
    <w:r w:rsidR="005D2A59">
      <w:t>/2022/</w:t>
    </w:r>
    <w:proofErr w:type="spellStart"/>
    <w:r w:rsidR="005D2A59">
      <w:t>ŠaS</w:t>
    </w:r>
    <w:proofErr w:type="spellEnd"/>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94D"/>
    <w:multiLevelType w:val="hybridMultilevel"/>
    <w:tmpl w:val="4A481062"/>
    <w:lvl w:ilvl="0" w:tplc="226027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83465"/>
    <w:multiLevelType w:val="hybridMultilevel"/>
    <w:tmpl w:val="818A0324"/>
    <w:lvl w:ilvl="0" w:tplc="226027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DC1A8C"/>
    <w:multiLevelType w:val="hybridMultilevel"/>
    <w:tmpl w:val="D84ED44E"/>
    <w:lvl w:ilvl="0" w:tplc="04050017">
      <w:start w:val="1"/>
      <w:numFmt w:val="lowerLetter"/>
      <w:lvlText w:val="%1)"/>
      <w:lvlJc w:val="left"/>
      <w:pPr>
        <w:ind w:left="785" w:hanging="360"/>
      </w:pPr>
    </w:lvl>
    <w:lvl w:ilvl="1" w:tplc="226027B8">
      <w:numFmt w:val="bullet"/>
      <w:lvlText w:val="-"/>
      <w:lvlJc w:val="left"/>
      <w:pPr>
        <w:ind w:left="1505" w:hanging="360"/>
      </w:pPr>
      <w:rPr>
        <w:rFonts w:ascii="Times New Roman" w:eastAsia="Times New Roman" w:hAnsi="Times New Roman" w:cs="Times New Roman"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57294800">
    <w:abstractNumId w:val="7"/>
  </w:num>
  <w:num w:numId="2" w16cid:durableId="1661423623">
    <w:abstractNumId w:val="10"/>
  </w:num>
  <w:num w:numId="3" w16cid:durableId="1322343710">
    <w:abstractNumId w:val="4"/>
  </w:num>
  <w:num w:numId="4" w16cid:durableId="939874615">
    <w:abstractNumId w:val="11"/>
  </w:num>
  <w:num w:numId="5" w16cid:durableId="496459491">
    <w:abstractNumId w:val="9"/>
  </w:num>
  <w:num w:numId="6" w16cid:durableId="1342396094">
    <w:abstractNumId w:val="12"/>
  </w:num>
  <w:num w:numId="7" w16cid:durableId="109319604">
    <w:abstractNumId w:val="13"/>
  </w:num>
  <w:num w:numId="8" w16cid:durableId="1298489350">
    <w:abstractNumId w:val="6"/>
  </w:num>
  <w:num w:numId="9" w16cid:durableId="1024138783">
    <w:abstractNumId w:val="14"/>
  </w:num>
  <w:num w:numId="10" w16cid:durableId="381564045">
    <w:abstractNumId w:val="8"/>
  </w:num>
  <w:num w:numId="11" w16cid:durableId="1988121904">
    <w:abstractNumId w:val="3"/>
  </w:num>
  <w:num w:numId="12" w16cid:durableId="337510996">
    <w:abstractNumId w:val="2"/>
  </w:num>
  <w:num w:numId="13" w16cid:durableId="793404087">
    <w:abstractNumId w:val="5"/>
  </w:num>
  <w:num w:numId="14" w16cid:durableId="234046264">
    <w:abstractNumId w:val="0"/>
  </w:num>
  <w:num w:numId="15" w16cid:durableId="10195100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31A7F"/>
    <w:rsid w:val="0004703C"/>
    <w:rsid w:val="000527CF"/>
    <w:rsid w:val="00053373"/>
    <w:rsid w:val="00053EC7"/>
    <w:rsid w:val="00054A48"/>
    <w:rsid w:val="00054AF8"/>
    <w:rsid w:val="000564B7"/>
    <w:rsid w:val="00057D4D"/>
    <w:rsid w:val="00065760"/>
    <w:rsid w:val="00066DCB"/>
    <w:rsid w:val="00067360"/>
    <w:rsid w:val="0007105D"/>
    <w:rsid w:val="000728AE"/>
    <w:rsid w:val="00075292"/>
    <w:rsid w:val="00080873"/>
    <w:rsid w:val="00084AAC"/>
    <w:rsid w:val="00085CC9"/>
    <w:rsid w:val="000868D2"/>
    <w:rsid w:val="0008725A"/>
    <w:rsid w:val="000873F4"/>
    <w:rsid w:val="00091354"/>
    <w:rsid w:val="000920BC"/>
    <w:rsid w:val="000966E6"/>
    <w:rsid w:val="00096B44"/>
    <w:rsid w:val="000B5AC1"/>
    <w:rsid w:val="000C2E69"/>
    <w:rsid w:val="000C435B"/>
    <w:rsid w:val="000D7D89"/>
    <w:rsid w:val="000E30B3"/>
    <w:rsid w:val="000E5F7E"/>
    <w:rsid w:val="000F5E40"/>
    <w:rsid w:val="000F6A14"/>
    <w:rsid w:val="00100930"/>
    <w:rsid w:val="00101C3C"/>
    <w:rsid w:val="00104DC6"/>
    <w:rsid w:val="00105728"/>
    <w:rsid w:val="0010621F"/>
    <w:rsid w:val="00110B53"/>
    <w:rsid w:val="00112270"/>
    <w:rsid w:val="0011247D"/>
    <w:rsid w:val="00113FD1"/>
    <w:rsid w:val="00116F44"/>
    <w:rsid w:val="001209FA"/>
    <w:rsid w:val="00121B38"/>
    <w:rsid w:val="00122D8E"/>
    <w:rsid w:val="001236E1"/>
    <w:rsid w:val="00126C13"/>
    <w:rsid w:val="00127048"/>
    <w:rsid w:val="00140401"/>
    <w:rsid w:val="00140B08"/>
    <w:rsid w:val="00141DF7"/>
    <w:rsid w:val="001424D9"/>
    <w:rsid w:val="00142B51"/>
    <w:rsid w:val="00143B1E"/>
    <w:rsid w:val="00145C1E"/>
    <w:rsid w:val="00147655"/>
    <w:rsid w:val="00154F18"/>
    <w:rsid w:val="001621F1"/>
    <w:rsid w:val="00162443"/>
    <w:rsid w:val="00163290"/>
    <w:rsid w:val="00166916"/>
    <w:rsid w:val="00173D9B"/>
    <w:rsid w:val="0017515E"/>
    <w:rsid w:val="00176FBE"/>
    <w:rsid w:val="0018140F"/>
    <w:rsid w:val="0018429C"/>
    <w:rsid w:val="00185679"/>
    <w:rsid w:val="00187D93"/>
    <w:rsid w:val="00187FB2"/>
    <w:rsid w:val="00191BDA"/>
    <w:rsid w:val="001927BE"/>
    <w:rsid w:val="00194C7A"/>
    <w:rsid w:val="001B0585"/>
    <w:rsid w:val="001B09A6"/>
    <w:rsid w:val="001B4A44"/>
    <w:rsid w:val="001B4B13"/>
    <w:rsid w:val="001B6511"/>
    <w:rsid w:val="001C04E3"/>
    <w:rsid w:val="001C2983"/>
    <w:rsid w:val="001C5EEA"/>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6A30"/>
    <w:rsid w:val="002275DE"/>
    <w:rsid w:val="00232752"/>
    <w:rsid w:val="002339F0"/>
    <w:rsid w:val="00233C31"/>
    <w:rsid w:val="002342F8"/>
    <w:rsid w:val="002344AE"/>
    <w:rsid w:val="002352AC"/>
    <w:rsid w:val="0024107D"/>
    <w:rsid w:val="002421BF"/>
    <w:rsid w:val="002464F1"/>
    <w:rsid w:val="00252BF7"/>
    <w:rsid w:val="0025340D"/>
    <w:rsid w:val="00260768"/>
    <w:rsid w:val="00261B7F"/>
    <w:rsid w:val="00262D31"/>
    <w:rsid w:val="002708A2"/>
    <w:rsid w:val="00271B14"/>
    <w:rsid w:val="00272F5F"/>
    <w:rsid w:val="00277929"/>
    <w:rsid w:val="00281415"/>
    <w:rsid w:val="00281920"/>
    <w:rsid w:val="0028240E"/>
    <w:rsid w:val="00283031"/>
    <w:rsid w:val="0028379E"/>
    <w:rsid w:val="0028559A"/>
    <w:rsid w:val="00285FE6"/>
    <w:rsid w:val="002868D7"/>
    <w:rsid w:val="00286F67"/>
    <w:rsid w:val="00287526"/>
    <w:rsid w:val="00292CEA"/>
    <w:rsid w:val="00293753"/>
    <w:rsid w:val="00295FCD"/>
    <w:rsid w:val="002A081E"/>
    <w:rsid w:val="002A39B3"/>
    <w:rsid w:val="002A4C05"/>
    <w:rsid w:val="002B14D5"/>
    <w:rsid w:val="002B14EB"/>
    <w:rsid w:val="002B1EE7"/>
    <w:rsid w:val="002B32A0"/>
    <w:rsid w:val="002B35B4"/>
    <w:rsid w:val="002B385F"/>
    <w:rsid w:val="002C04D2"/>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5E7E"/>
    <w:rsid w:val="002F6AC2"/>
    <w:rsid w:val="002F77E6"/>
    <w:rsid w:val="003004EA"/>
    <w:rsid w:val="00304380"/>
    <w:rsid w:val="0030478E"/>
    <w:rsid w:val="00304D55"/>
    <w:rsid w:val="0030575D"/>
    <w:rsid w:val="00306CE5"/>
    <w:rsid w:val="00316D9F"/>
    <w:rsid w:val="00320E5F"/>
    <w:rsid w:val="00321C49"/>
    <w:rsid w:val="0032391E"/>
    <w:rsid w:val="00325BFF"/>
    <w:rsid w:val="00325DFF"/>
    <w:rsid w:val="0032696F"/>
    <w:rsid w:val="00331602"/>
    <w:rsid w:val="00331EA6"/>
    <w:rsid w:val="00332E19"/>
    <w:rsid w:val="003335B7"/>
    <w:rsid w:val="00333E2B"/>
    <w:rsid w:val="00336802"/>
    <w:rsid w:val="003377FE"/>
    <w:rsid w:val="00342D29"/>
    <w:rsid w:val="0034440D"/>
    <w:rsid w:val="00351322"/>
    <w:rsid w:val="00366CBA"/>
    <w:rsid w:val="003670D4"/>
    <w:rsid w:val="0036786C"/>
    <w:rsid w:val="00372919"/>
    <w:rsid w:val="003751DE"/>
    <w:rsid w:val="00375977"/>
    <w:rsid w:val="00376923"/>
    <w:rsid w:val="00376EB3"/>
    <w:rsid w:val="00380AAC"/>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05B9"/>
    <w:rsid w:val="003D2118"/>
    <w:rsid w:val="003D2663"/>
    <w:rsid w:val="003D54D0"/>
    <w:rsid w:val="003E207E"/>
    <w:rsid w:val="003E217F"/>
    <w:rsid w:val="003E6567"/>
    <w:rsid w:val="003F488E"/>
    <w:rsid w:val="003F74C6"/>
    <w:rsid w:val="003F7BCB"/>
    <w:rsid w:val="00404866"/>
    <w:rsid w:val="004076A8"/>
    <w:rsid w:val="00414F03"/>
    <w:rsid w:val="004165C7"/>
    <w:rsid w:val="00416B9F"/>
    <w:rsid w:val="00421297"/>
    <w:rsid w:val="00422B61"/>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3ED7"/>
    <w:rsid w:val="004B5DDD"/>
    <w:rsid w:val="004B7DDB"/>
    <w:rsid w:val="004C1177"/>
    <w:rsid w:val="004D1482"/>
    <w:rsid w:val="004D3D08"/>
    <w:rsid w:val="004E5A46"/>
    <w:rsid w:val="004E6144"/>
    <w:rsid w:val="004F492C"/>
    <w:rsid w:val="00501B1D"/>
    <w:rsid w:val="00504375"/>
    <w:rsid w:val="005058C8"/>
    <w:rsid w:val="00510E10"/>
    <w:rsid w:val="0051285F"/>
    <w:rsid w:val="005128D7"/>
    <w:rsid w:val="00512A7E"/>
    <w:rsid w:val="005247BA"/>
    <w:rsid w:val="0052683F"/>
    <w:rsid w:val="0052702A"/>
    <w:rsid w:val="00530668"/>
    <w:rsid w:val="00533613"/>
    <w:rsid w:val="005363E1"/>
    <w:rsid w:val="00537EB3"/>
    <w:rsid w:val="0054013C"/>
    <w:rsid w:val="005414C9"/>
    <w:rsid w:val="005451F4"/>
    <w:rsid w:val="00545D01"/>
    <w:rsid w:val="00550DBF"/>
    <w:rsid w:val="00553F5A"/>
    <w:rsid w:val="00556164"/>
    <w:rsid w:val="005568EE"/>
    <w:rsid w:val="00561052"/>
    <w:rsid w:val="005647C9"/>
    <w:rsid w:val="005649F5"/>
    <w:rsid w:val="005665B7"/>
    <w:rsid w:val="00567D34"/>
    <w:rsid w:val="00571A7C"/>
    <w:rsid w:val="0059501F"/>
    <w:rsid w:val="00597663"/>
    <w:rsid w:val="0059769A"/>
    <w:rsid w:val="005A005E"/>
    <w:rsid w:val="005A0252"/>
    <w:rsid w:val="005A3009"/>
    <w:rsid w:val="005A3D73"/>
    <w:rsid w:val="005A54ED"/>
    <w:rsid w:val="005B55B3"/>
    <w:rsid w:val="005B59F3"/>
    <w:rsid w:val="005B7AAD"/>
    <w:rsid w:val="005C2A25"/>
    <w:rsid w:val="005C5DA2"/>
    <w:rsid w:val="005C75B7"/>
    <w:rsid w:val="005D0470"/>
    <w:rsid w:val="005D2A59"/>
    <w:rsid w:val="005D4172"/>
    <w:rsid w:val="005D52A0"/>
    <w:rsid w:val="005D6441"/>
    <w:rsid w:val="005D6546"/>
    <w:rsid w:val="005E4677"/>
    <w:rsid w:val="005E4788"/>
    <w:rsid w:val="005E7333"/>
    <w:rsid w:val="005F0083"/>
    <w:rsid w:val="005F0DD3"/>
    <w:rsid w:val="005F698B"/>
    <w:rsid w:val="0060285D"/>
    <w:rsid w:val="00603FFC"/>
    <w:rsid w:val="006065C4"/>
    <w:rsid w:val="00611144"/>
    <w:rsid w:val="0061273B"/>
    <w:rsid w:val="006127CC"/>
    <w:rsid w:val="00615202"/>
    <w:rsid w:val="00623F65"/>
    <w:rsid w:val="00625207"/>
    <w:rsid w:val="00630DE2"/>
    <w:rsid w:val="0063227D"/>
    <w:rsid w:val="006338B2"/>
    <w:rsid w:val="0063476F"/>
    <w:rsid w:val="00635D37"/>
    <w:rsid w:val="00640338"/>
    <w:rsid w:val="00640643"/>
    <w:rsid w:val="00646628"/>
    <w:rsid w:val="00650155"/>
    <w:rsid w:val="006544A9"/>
    <w:rsid w:val="00655493"/>
    <w:rsid w:val="00663781"/>
    <w:rsid w:val="00670821"/>
    <w:rsid w:val="00677D0C"/>
    <w:rsid w:val="00684DC1"/>
    <w:rsid w:val="00685021"/>
    <w:rsid w:val="00685858"/>
    <w:rsid w:val="006858B5"/>
    <w:rsid w:val="00695D1B"/>
    <w:rsid w:val="00696272"/>
    <w:rsid w:val="006A0802"/>
    <w:rsid w:val="006A0E3F"/>
    <w:rsid w:val="006A2462"/>
    <w:rsid w:val="006A24E2"/>
    <w:rsid w:val="006A5FD4"/>
    <w:rsid w:val="006A637D"/>
    <w:rsid w:val="006B1EB4"/>
    <w:rsid w:val="006B351B"/>
    <w:rsid w:val="006C0B5D"/>
    <w:rsid w:val="006C167B"/>
    <w:rsid w:val="006C17FC"/>
    <w:rsid w:val="006C773F"/>
    <w:rsid w:val="006D1EE9"/>
    <w:rsid w:val="006D3EEF"/>
    <w:rsid w:val="006E35E6"/>
    <w:rsid w:val="006E740D"/>
    <w:rsid w:val="006F4662"/>
    <w:rsid w:val="006F52FD"/>
    <w:rsid w:val="006F72FD"/>
    <w:rsid w:val="006F7D76"/>
    <w:rsid w:val="00701C8F"/>
    <w:rsid w:val="00704832"/>
    <w:rsid w:val="00710E93"/>
    <w:rsid w:val="00720E6B"/>
    <w:rsid w:val="00721A79"/>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1A1E"/>
    <w:rsid w:val="007937EF"/>
    <w:rsid w:val="00795E46"/>
    <w:rsid w:val="00795E5C"/>
    <w:rsid w:val="00797192"/>
    <w:rsid w:val="007A19CF"/>
    <w:rsid w:val="007A3189"/>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0ECC"/>
    <w:rsid w:val="008212D3"/>
    <w:rsid w:val="00832AD3"/>
    <w:rsid w:val="00833ED1"/>
    <w:rsid w:val="00834886"/>
    <w:rsid w:val="00835724"/>
    <w:rsid w:val="00837E0E"/>
    <w:rsid w:val="008409FA"/>
    <w:rsid w:val="00844803"/>
    <w:rsid w:val="0084702B"/>
    <w:rsid w:val="00854F83"/>
    <w:rsid w:val="00856117"/>
    <w:rsid w:val="0086212B"/>
    <w:rsid w:val="0086257C"/>
    <w:rsid w:val="00870802"/>
    <w:rsid w:val="00870B01"/>
    <w:rsid w:val="00874F0E"/>
    <w:rsid w:val="00876B4F"/>
    <w:rsid w:val="00877D74"/>
    <w:rsid w:val="00881385"/>
    <w:rsid w:val="00881A87"/>
    <w:rsid w:val="00883B70"/>
    <w:rsid w:val="00884CFB"/>
    <w:rsid w:val="0089632D"/>
    <w:rsid w:val="0089771B"/>
    <w:rsid w:val="00897C2A"/>
    <w:rsid w:val="008A05C7"/>
    <w:rsid w:val="008A1AFF"/>
    <w:rsid w:val="008A41A8"/>
    <w:rsid w:val="008C5065"/>
    <w:rsid w:val="008C75CB"/>
    <w:rsid w:val="008D4812"/>
    <w:rsid w:val="008E242E"/>
    <w:rsid w:val="008E431A"/>
    <w:rsid w:val="008E4CA3"/>
    <w:rsid w:val="008E74FD"/>
    <w:rsid w:val="008E7741"/>
    <w:rsid w:val="008F320F"/>
    <w:rsid w:val="008F44C2"/>
    <w:rsid w:val="008F5BED"/>
    <w:rsid w:val="008F7A73"/>
    <w:rsid w:val="00901AEA"/>
    <w:rsid w:val="00903817"/>
    <w:rsid w:val="00904889"/>
    <w:rsid w:val="00913690"/>
    <w:rsid w:val="00915943"/>
    <w:rsid w:val="00921EE2"/>
    <w:rsid w:val="009259B7"/>
    <w:rsid w:val="00927A9F"/>
    <w:rsid w:val="0093695D"/>
    <w:rsid w:val="00946D53"/>
    <w:rsid w:val="009473A2"/>
    <w:rsid w:val="00947BE0"/>
    <w:rsid w:val="00947C1B"/>
    <w:rsid w:val="00954332"/>
    <w:rsid w:val="0095751F"/>
    <w:rsid w:val="0095773F"/>
    <w:rsid w:val="00961993"/>
    <w:rsid w:val="00962CDF"/>
    <w:rsid w:val="00963A91"/>
    <w:rsid w:val="00966024"/>
    <w:rsid w:val="0097353E"/>
    <w:rsid w:val="009753A1"/>
    <w:rsid w:val="00976090"/>
    <w:rsid w:val="009809C4"/>
    <w:rsid w:val="009819F4"/>
    <w:rsid w:val="00982DFA"/>
    <w:rsid w:val="0098790C"/>
    <w:rsid w:val="0099245A"/>
    <w:rsid w:val="009932C2"/>
    <w:rsid w:val="009A6378"/>
    <w:rsid w:val="009A6CDB"/>
    <w:rsid w:val="009A7B5D"/>
    <w:rsid w:val="009B0978"/>
    <w:rsid w:val="009B31A3"/>
    <w:rsid w:val="009B3460"/>
    <w:rsid w:val="009B548C"/>
    <w:rsid w:val="009C090C"/>
    <w:rsid w:val="009C10C0"/>
    <w:rsid w:val="009C6D07"/>
    <w:rsid w:val="009C7837"/>
    <w:rsid w:val="009D470D"/>
    <w:rsid w:val="009D77CD"/>
    <w:rsid w:val="009E04F3"/>
    <w:rsid w:val="009E0DFF"/>
    <w:rsid w:val="009E5B61"/>
    <w:rsid w:val="009F2789"/>
    <w:rsid w:val="009F36C3"/>
    <w:rsid w:val="009F4568"/>
    <w:rsid w:val="009F51BA"/>
    <w:rsid w:val="009F6294"/>
    <w:rsid w:val="009F6B83"/>
    <w:rsid w:val="009F6ED4"/>
    <w:rsid w:val="009F7A95"/>
    <w:rsid w:val="00A01DFF"/>
    <w:rsid w:val="00A0739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28D2"/>
    <w:rsid w:val="00AC494F"/>
    <w:rsid w:val="00AC57DC"/>
    <w:rsid w:val="00AC7AD6"/>
    <w:rsid w:val="00AD704B"/>
    <w:rsid w:val="00AD705D"/>
    <w:rsid w:val="00AE0B55"/>
    <w:rsid w:val="00AE0D85"/>
    <w:rsid w:val="00AE3F1E"/>
    <w:rsid w:val="00AF321A"/>
    <w:rsid w:val="00AF3B01"/>
    <w:rsid w:val="00AF3D0E"/>
    <w:rsid w:val="00AF5AAA"/>
    <w:rsid w:val="00AF6CE8"/>
    <w:rsid w:val="00AF6DDF"/>
    <w:rsid w:val="00AF7506"/>
    <w:rsid w:val="00B01ED8"/>
    <w:rsid w:val="00B02BEB"/>
    <w:rsid w:val="00B034F1"/>
    <w:rsid w:val="00B062D1"/>
    <w:rsid w:val="00B0682B"/>
    <w:rsid w:val="00B12DD6"/>
    <w:rsid w:val="00B134A9"/>
    <w:rsid w:val="00B17CCD"/>
    <w:rsid w:val="00B234FF"/>
    <w:rsid w:val="00B249A3"/>
    <w:rsid w:val="00B24B08"/>
    <w:rsid w:val="00B254B6"/>
    <w:rsid w:val="00B2755D"/>
    <w:rsid w:val="00B3218A"/>
    <w:rsid w:val="00B334A9"/>
    <w:rsid w:val="00B37045"/>
    <w:rsid w:val="00B4020B"/>
    <w:rsid w:val="00B471B4"/>
    <w:rsid w:val="00B47EEC"/>
    <w:rsid w:val="00B50A7C"/>
    <w:rsid w:val="00B558BC"/>
    <w:rsid w:val="00B60617"/>
    <w:rsid w:val="00B64BAE"/>
    <w:rsid w:val="00B76F7C"/>
    <w:rsid w:val="00B775E2"/>
    <w:rsid w:val="00B8006B"/>
    <w:rsid w:val="00B81D27"/>
    <w:rsid w:val="00B84974"/>
    <w:rsid w:val="00B858F0"/>
    <w:rsid w:val="00B86DB6"/>
    <w:rsid w:val="00B90417"/>
    <w:rsid w:val="00B911BA"/>
    <w:rsid w:val="00B91FB0"/>
    <w:rsid w:val="00BA2DC2"/>
    <w:rsid w:val="00BA3943"/>
    <w:rsid w:val="00BA53AD"/>
    <w:rsid w:val="00BB7FAA"/>
    <w:rsid w:val="00BC1104"/>
    <w:rsid w:val="00BC3AA1"/>
    <w:rsid w:val="00BC59D1"/>
    <w:rsid w:val="00BC776F"/>
    <w:rsid w:val="00BC7E1F"/>
    <w:rsid w:val="00BD6A29"/>
    <w:rsid w:val="00BD72DB"/>
    <w:rsid w:val="00BE0B31"/>
    <w:rsid w:val="00BF0CB8"/>
    <w:rsid w:val="00BF0EEA"/>
    <w:rsid w:val="00BF1138"/>
    <w:rsid w:val="00BF333E"/>
    <w:rsid w:val="00BF3848"/>
    <w:rsid w:val="00BF4CFB"/>
    <w:rsid w:val="00C06217"/>
    <w:rsid w:val="00C10B7C"/>
    <w:rsid w:val="00C10FDD"/>
    <w:rsid w:val="00C1298B"/>
    <w:rsid w:val="00C13802"/>
    <w:rsid w:val="00C15345"/>
    <w:rsid w:val="00C22461"/>
    <w:rsid w:val="00C2574A"/>
    <w:rsid w:val="00C26B6D"/>
    <w:rsid w:val="00C26CD7"/>
    <w:rsid w:val="00C2751D"/>
    <w:rsid w:val="00C35974"/>
    <w:rsid w:val="00C363D0"/>
    <w:rsid w:val="00C42F32"/>
    <w:rsid w:val="00C43066"/>
    <w:rsid w:val="00C43C14"/>
    <w:rsid w:val="00C440F0"/>
    <w:rsid w:val="00C44A3C"/>
    <w:rsid w:val="00C44A96"/>
    <w:rsid w:val="00C45FC7"/>
    <w:rsid w:val="00C544E3"/>
    <w:rsid w:val="00C6361C"/>
    <w:rsid w:val="00C64D8C"/>
    <w:rsid w:val="00C65402"/>
    <w:rsid w:val="00C66306"/>
    <w:rsid w:val="00C712BF"/>
    <w:rsid w:val="00C717F7"/>
    <w:rsid w:val="00C81D51"/>
    <w:rsid w:val="00C82EAC"/>
    <w:rsid w:val="00C83752"/>
    <w:rsid w:val="00C91F68"/>
    <w:rsid w:val="00C9234A"/>
    <w:rsid w:val="00C92D74"/>
    <w:rsid w:val="00C943DF"/>
    <w:rsid w:val="00CA3271"/>
    <w:rsid w:val="00CA7728"/>
    <w:rsid w:val="00CA7B36"/>
    <w:rsid w:val="00CB17E9"/>
    <w:rsid w:val="00CB1BC7"/>
    <w:rsid w:val="00CB4AA9"/>
    <w:rsid w:val="00CC0DBB"/>
    <w:rsid w:val="00CC1B68"/>
    <w:rsid w:val="00CC36F8"/>
    <w:rsid w:val="00CC6BFE"/>
    <w:rsid w:val="00CC74C9"/>
    <w:rsid w:val="00CC773B"/>
    <w:rsid w:val="00CD26CA"/>
    <w:rsid w:val="00CD57B5"/>
    <w:rsid w:val="00CE411B"/>
    <w:rsid w:val="00CE5B5C"/>
    <w:rsid w:val="00CE6466"/>
    <w:rsid w:val="00CE7A96"/>
    <w:rsid w:val="00CF0690"/>
    <w:rsid w:val="00CF2D24"/>
    <w:rsid w:val="00CF4899"/>
    <w:rsid w:val="00CF4ECB"/>
    <w:rsid w:val="00CF5CD2"/>
    <w:rsid w:val="00CF67E3"/>
    <w:rsid w:val="00D12654"/>
    <w:rsid w:val="00D17387"/>
    <w:rsid w:val="00D220F5"/>
    <w:rsid w:val="00D23AC4"/>
    <w:rsid w:val="00D275CE"/>
    <w:rsid w:val="00D309A8"/>
    <w:rsid w:val="00D30D9F"/>
    <w:rsid w:val="00D32278"/>
    <w:rsid w:val="00D3637A"/>
    <w:rsid w:val="00D42709"/>
    <w:rsid w:val="00D42879"/>
    <w:rsid w:val="00D43811"/>
    <w:rsid w:val="00D46E9A"/>
    <w:rsid w:val="00D53E4D"/>
    <w:rsid w:val="00D549D4"/>
    <w:rsid w:val="00D57216"/>
    <w:rsid w:val="00D60167"/>
    <w:rsid w:val="00D624C7"/>
    <w:rsid w:val="00D631F7"/>
    <w:rsid w:val="00D63B54"/>
    <w:rsid w:val="00D669F8"/>
    <w:rsid w:val="00D66F11"/>
    <w:rsid w:val="00D67490"/>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0495"/>
    <w:rsid w:val="00DD11FD"/>
    <w:rsid w:val="00DD1F1E"/>
    <w:rsid w:val="00DD2B62"/>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4032"/>
    <w:rsid w:val="00E27606"/>
    <w:rsid w:val="00E3025B"/>
    <w:rsid w:val="00E30BA7"/>
    <w:rsid w:val="00E32456"/>
    <w:rsid w:val="00E35ECC"/>
    <w:rsid w:val="00E36C7E"/>
    <w:rsid w:val="00E36FCD"/>
    <w:rsid w:val="00E36FE1"/>
    <w:rsid w:val="00E37019"/>
    <w:rsid w:val="00E42233"/>
    <w:rsid w:val="00E44814"/>
    <w:rsid w:val="00E45F69"/>
    <w:rsid w:val="00E468CA"/>
    <w:rsid w:val="00E475BE"/>
    <w:rsid w:val="00E502CD"/>
    <w:rsid w:val="00E50BD4"/>
    <w:rsid w:val="00E54C33"/>
    <w:rsid w:val="00E5770D"/>
    <w:rsid w:val="00E640BB"/>
    <w:rsid w:val="00E640C9"/>
    <w:rsid w:val="00E6427F"/>
    <w:rsid w:val="00E72252"/>
    <w:rsid w:val="00E72A94"/>
    <w:rsid w:val="00E72E06"/>
    <w:rsid w:val="00E76693"/>
    <w:rsid w:val="00E8316B"/>
    <w:rsid w:val="00E84200"/>
    <w:rsid w:val="00E865EA"/>
    <w:rsid w:val="00E8749D"/>
    <w:rsid w:val="00E928DE"/>
    <w:rsid w:val="00E92A47"/>
    <w:rsid w:val="00E92B89"/>
    <w:rsid w:val="00E97698"/>
    <w:rsid w:val="00EA1CEE"/>
    <w:rsid w:val="00EA1D6A"/>
    <w:rsid w:val="00EB129E"/>
    <w:rsid w:val="00EB5770"/>
    <w:rsid w:val="00EB7C2F"/>
    <w:rsid w:val="00EC2726"/>
    <w:rsid w:val="00EC3D20"/>
    <w:rsid w:val="00EC4737"/>
    <w:rsid w:val="00ED2F99"/>
    <w:rsid w:val="00ED7EB9"/>
    <w:rsid w:val="00EE04E1"/>
    <w:rsid w:val="00EE185E"/>
    <w:rsid w:val="00EE1A76"/>
    <w:rsid w:val="00EE2E80"/>
    <w:rsid w:val="00EE2EF6"/>
    <w:rsid w:val="00EE696A"/>
    <w:rsid w:val="00EF0097"/>
    <w:rsid w:val="00EF0441"/>
    <w:rsid w:val="00EF1D76"/>
    <w:rsid w:val="00EF363A"/>
    <w:rsid w:val="00EF6D82"/>
    <w:rsid w:val="00EF7F06"/>
    <w:rsid w:val="00F018C0"/>
    <w:rsid w:val="00F17FB3"/>
    <w:rsid w:val="00F211A7"/>
    <w:rsid w:val="00F22DDC"/>
    <w:rsid w:val="00F249C1"/>
    <w:rsid w:val="00F3047A"/>
    <w:rsid w:val="00F3088A"/>
    <w:rsid w:val="00F462DE"/>
    <w:rsid w:val="00F50F07"/>
    <w:rsid w:val="00F51A33"/>
    <w:rsid w:val="00F549CE"/>
    <w:rsid w:val="00F6001E"/>
    <w:rsid w:val="00F62F4E"/>
    <w:rsid w:val="00F652C4"/>
    <w:rsid w:val="00F71A3D"/>
    <w:rsid w:val="00F804F4"/>
    <w:rsid w:val="00F824BD"/>
    <w:rsid w:val="00F83715"/>
    <w:rsid w:val="00F91B77"/>
    <w:rsid w:val="00FA6AF3"/>
    <w:rsid w:val="00FB59CC"/>
    <w:rsid w:val="00FB6667"/>
    <w:rsid w:val="00FC0334"/>
    <w:rsid w:val="00FC2516"/>
    <w:rsid w:val="00FD2A92"/>
    <w:rsid w:val="00FD2ACD"/>
    <w:rsid w:val="00FD58DC"/>
    <w:rsid w:val="00FD6EE6"/>
    <w:rsid w:val="00FD7BB5"/>
    <w:rsid w:val="00FE0184"/>
    <w:rsid w:val="00FE0F1A"/>
    <w:rsid w:val="00FE285D"/>
    <w:rsid w:val="00FE2A02"/>
    <w:rsid w:val="00FE3873"/>
    <w:rsid w:val="00FE481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ACA7"/>
  <w15:docId w15:val="{57CDBD3A-7FFB-4F46-8C6B-4679925E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paragraph" w:styleId="Prosttext">
    <w:name w:val="Plain Text"/>
    <w:basedOn w:val="Normln"/>
    <w:link w:val="ProsttextChar"/>
    <w:uiPriority w:val="99"/>
    <w:unhideWhenUsed/>
    <w:rsid w:val="00E8316B"/>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E831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3798</Words>
  <Characters>22411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dc:description/>
  <cp:lastModifiedBy>Tisoňová Martina</cp:lastModifiedBy>
  <cp:revision>2</cp:revision>
  <cp:lastPrinted>2022-03-09T15:55:00Z</cp:lastPrinted>
  <dcterms:created xsi:type="dcterms:W3CDTF">2022-09-15T11:24:00Z</dcterms:created>
  <dcterms:modified xsi:type="dcterms:W3CDTF">2022-09-15T11:24:00Z</dcterms:modified>
</cp:coreProperties>
</file>