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CF" w:rsidRPr="004A00CF" w:rsidRDefault="007A5D3C" w:rsidP="00A65B0E">
      <w:pPr>
        <w:spacing w:line="288" w:lineRule="auto"/>
        <w:jc w:val="right"/>
        <w:rPr>
          <w:rFonts w:ascii="Arial" w:hAnsi="Arial" w:cs="Arial"/>
          <w:sz w:val="22"/>
          <w:szCs w:val="22"/>
        </w:rPr>
      </w:pPr>
      <w:r w:rsidRPr="0000722E">
        <w:rPr>
          <w:rFonts w:ascii="Arial" w:hAnsi="Arial" w:cs="Arial"/>
          <w:sz w:val="22"/>
          <w:szCs w:val="22"/>
        </w:rPr>
        <w:t>č</w:t>
      </w:r>
      <w:r w:rsidR="004A00CF" w:rsidRPr="0000722E">
        <w:rPr>
          <w:rFonts w:ascii="Arial" w:hAnsi="Arial" w:cs="Arial"/>
          <w:sz w:val="22"/>
          <w:szCs w:val="22"/>
        </w:rPr>
        <w:t>. j.: KÚ-</w:t>
      </w:r>
      <w:r w:rsidR="005447B5" w:rsidRPr="0000722E">
        <w:rPr>
          <w:rFonts w:ascii="Arial" w:hAnsi="Arial" w:cs="Arial"/>
          <w:sz w:val="22"/>
          <w:szCs w:val="22"/>
        </w:rPr>
        <w:t>3081</w:t>
      </w:r>
      <w:r w:rsidR="004A00CF" w:rsidRPr="0000722E">
        <w:rPr>
          <w:rFonts w:ascii="Arial" w:hAnsi="Arial" w:cs="Arial"/>
          <w:sz w:val="22"/>
          <w:szCs w:val="22"/>
        </w:rPr>
        <w:t>/20</w:t>
      </w:r>
      <w:r w:rsidR="005447B5" w:rsidRPr="0000722E">
        <w:rPr>
          <w:rFonts w:ascii="Arial" w:hAnsi="Arial" w:cs="Arial"/>
          <w:sz w:val="22"/>
          <w:szCs w:val="22"/>
        </w:rPr>
        <w:t>18</w:t>
      </w:r>
      <w:r w:rsidR="004A00CF" w:rsidRPr="0000722E">
        <w:rPr>
          <w:rFonts w:ascii="Arial" w:hAnsi="Arial" w:cs="Arial"/>
          <w:sz w:val="22"/>
          <w:szCs w:val="22"/>
        </w:rPr>
        <w:t>-770-</w:t>
      </w:r>
      <w:r w:rsidR="00CC65EC">
        <w:rPr>
          <w:rFonts w:ascii="Arial" w:hAnsi="Arial" w:cs="Arial"/>
          <w:sz w:val="22"/>
          <w:szCs w:val="22"/>
        </w:rPr>
        <w:t>02020</w:t>
      </w:r>
      <w:r w:rsidR="004A00CF" w:rsidRPr="0000722E">
        <w:rPr>
          <w:rFonts w:ascii="Arial" w:hAnsi="Arial" w:cs="Arial"/>
          <w:sz w:val="22"/>
          <w:szCs w:val="22"/>
        </w:rPr>
        <w:t>-</w:t>
      </w:r>
      <w:r w:rsidR="009E6CBA" w:rsidRPr="0000722E">
        <w:rPr>
          <w:rFonts w:ascii="Arial" w:hAnsi="Arial" w:cs="Arial"/>
          <w:sz w:val="22"/>
          <w:szCs w:val="22"/>
        </w:rPr>
        <w:t>18</w:t>
      </w:r>
    </w:p>
    <w:p w:rsidR="00A9299C" w:rsidRDefault="00A9299C" w:rsidP="00A65B0E">
      <w:pPr>
        <w:pStyle w:val="Nadpis1"/>
        <w:spacing w:before="0" w:after="0" w:line="288" w:lineRule="auto"/>
        <w:jc w:val="center"/>
        <w:rPr>
          <w:sz w:val="28"/>
          <w:szCs w:val="28"/>
          <w:highlight w:val="yellow"/>
        </w:rPr>
      </w:pPr>
    </w:p>
    <w:p w:rsidR="009E6CBA" w:rsidRDefault="00522818" w:rsidP="00A65B0E">
      <w:pPr>
        <w:pStyle w:val="Nadpis1"/>
        <w:spacing w:before="0" w:after="0" w:line="288" w:lineRule="auto"/>
        <w:jc w:val="center"/>
        <w:rPr>
          <w:sz w:val="24"/>
          <w:szCs w:val="24"/>
        </w:rPr>
      </w:pPr>
      <w:r w:rsidRPr="00A9299C">
        <w:rPr>
          <w:sz w:val="24"/>
          <w:szCs w:val="24"/>
        </w:rPr>
        <w:t xml:space="preserve">Dodatek č. </w:t>
      </w:r>
      <w:r w:rsidR="00A9299C" w:rsidRPr="00A9299C">
        <w:rPr>
          <w:sz w:val="24"/>
          <w:szCs w:val="24"/>
        </w:rPr>
        <w:t>1</w:t>
      </w:r>
      <w:r w:rsidR="004A00CF" w:rsidRPr="00A9299C">
        <w:rPr>
          <w:sz w:val="24"/>
          <w:szCs w:val="24"/>
        </w:rPr>
        <w:t xml:space="preserve"> </w:t>
      </w:r>
    </w:p>
    <w:p w:rsidR="004A00CF" w:rsidRPr="00A9299C" w:rsidRDefault="005447B5" w:rsidP="00A65B0E">
      <w:pPr>
        <w:pStyle w:val="Nadpis1"/>
        <w:spacing w:before="0"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 Příkazní smlouvě, č. j.: KÚ-3081/2018-770-0</w:t>
      </w:r>
      <w:r w:rsidR="00061DB5">
        <w:rPr>
          <w:sz w:val="24"/>
          <w:szCs w:val="24"/>
        </w:rPr>
        <w:t>2020</w:t>
      </w:r>
      <w:r>
        <w:rPr>
          <w:sz w:val="24"/>
          <w:szCs w:val="24"/>
        </w:rPr>
        <w:t>-17</w:t>
      </w:r>
      <w:r w:rsidR="009E6CBA">
        <w:rPr>
          <w:sz w:val="24"/>
          <w:szCs w:val="24"/>
        </w:rPr>
        <w:t>,</w:t>
      </w:r>
      <w:r w:rsidR="009E6CBA" w:rsidRPr="009E6CBA">
        <w:rPr>
          <w:sz w:val="24"/>
          <w:szCs w:val="24"/>
        </w:rPr>
        <w:t xml:space="preserve"> </w:t>
      </w:r>
      <w:r w:rsidR="009E6CBA">
        <w:rPr>
          <w:sz w:val="24"/>
          <w:szCs w:val="24"/>
        </w:rPr>
        <w:t xml:space="preserve">ze dne </w:t>
      </w:r>
      <w:proofErr w:type="gramStart"/>
      <w:r w:rsidR="009E6CBA">
        <w:rPr>
          <w:sz w:val="24"/>
          <w:szCs w:val="24"/>
        </w:rPr>
        <w:t>25.04.2018</w:t>
      </w:r>
      <w:proofErr w:type="gramEnd"/>
    </w:p>
    <w:p w:rsidR="00A82880" w:rsidRPr="00F3106F" w:rsidRDefault="00A82880" w:rsidP="00A65B0E">
      <w:pPr>
        <w:pStyle w:val="Nadpis1"/>
        <w:spacing w:before="0" w:after="0" w:line="288" w:lineRule="auto"/>
        <w:jc w:val="center"/>
        <w:rPr>
          <w:sz w:val="28"/>
          <w:szCs w:val="28"/>
        </w:rPr>
      </w:pPr>
    </w:p>
    <w:p w:rsidR="00665475" w:rsidRPr="000B4CCD" w:rsidRDefault="00061DB5" w:rsidP="00A65B0E">
      <w:pPr>
        <w:spacing w:line="288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Příkazce</w:t>
      </w:r>
      <w:r w:rsidR="00665475" w:rsidRPr="000B4CCD">
        <w:rPr>
          <w:rFonts w:ascii="Arial" w:hAnsi="Arial"/>
          <w:bCs/>
          <w:sz w:val="22"/>
        </w:rPr>
        <w:t>:</w:t>
      </w:r>
      <w:r w:rsidR="00665475" w:rsidRPr="000B4CCD">
        <w:rPr>
          <w:rFonts w:ascii="Arial" w:hAnsi="Arial"/>
          <w:bCs/>
          <w:sz w:val="22"/>
        </w:rPr>
        <w:tab/>
      </w:r>
      <w:r w:rsidR="00665475" w:rsidRPr="000B4CCD">
        <w:rPr>
          <w:rFonts w:ascii="Arial" w:hAnsi="Arial"/>
          <w:bCs/>
          <w:sz w:val="22"/>
        </w:rPr>
        <w:tab/>
        <w:t xml:space="preserve">Česká republika - Katastrální úřad pro Zlínský kraj, </w:t>
      </w:r>
    </w:p>
    <w:p w:rsidR="00665475" w:rsidRPr="00F3106F" w:rsidRDefault="00665475" w:rsidP="00A65B0E">
      <w:pPr>
        <w:spacing w:line="288" w:lineRule="auto"/>
        <w:jc w:val="both"/>
        <w:rPr>
          <w:rFonts w:ascii="Arial" w:hAnsi="Arial"/>
          <w:bCs/>
          <w:sz w:val="22"/>
        </w:rPr>
      </w:pP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="007A415A">
        <w:rPr>
          <w:rFonts w:ascii="Arial" w:hAnsi="Arial"/>
          <w:bCs/>
          <w:sz w:val="22"/>
        </w:rPr>
        <w:t xml:space="preserve">za kterou </w:t>
      </w:r>
      <w:r w:rsidRPr="00F3106F">
        <w:rPr>
          <w:rFonts w:ascii="Arial" w:hAnsi="Arial"/>
          <w:bCs/>
          <w:sz w:val="22"/>
        </w:rPr>
        <w:t xml:space="preserve">jedná </w:t>
      </w:r>
      <w:r w:rsidR="00A32BA8" w:rsidRPr="00F3106F">
        <w:rPr>
          <w:rFonts w:ascii="Arial" w:hAnsi="Arial"/>
          <w:bCs/>
          <w:sz w:val="22"/>
        </w:rPr>
        <w:t>Ing</w:t>
      </w:r>
      <w:r w:rsidRPr="00F3106F">
        <w:rPr>
          <w:rFonts w:ascii="Arial" w:hAnsi="Arial"/>
          <w:bCs/>
          <w:sz w:val="22"/>
        </w:rPr>
        <w:t>. Štěpán Forman, ředitel</w:t>
      </w:r>
    </w:p>
    <w:p w:rsidR="00665475" w:rsidRPr="00F3106F" w:rsidRDefault="00665475" w:rsidP="00A65B0E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 xml:space="preserve">sídlo: 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třída Tomáše Bati 1565, 760 9</w:t>
      </w:r>
      <w:r w:rsidR="00843941">
        <w:rPr>
          <w:rFonts w:ascii="Arial" w:hAnsi="Arial"/>
          <w:sz w:val="22"/>
        </w:rPr>
        <w:t>6</w:t>
      </w:r>
      <w:r w:rsidRPr="00F3106F">
        <w:rPr>
          <w:rFonts w:ascii="Arial" w:hAnsi="Arial"/>
          <w:sz w:val="22"/>
        </w:rPr>
        <w:t xml:space="preserve"> Zlín </w:t>
      </w:r>
    </w:p>
    <w:p w:rsidR="00665475" w:rsidRPr="00F3106F" w:rsidRDefault="00665475" w:rsidP="00A65B0E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71185216</w:t>
      </w:r>
    </w:p>
    <w:p w:rsidR="00665475" w:rsidRPr="00F3106F" w:rsidRDefault="00665475" w:rsidP="00A65B0E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795007">
        <w:rPr>
          <w:rFonts w:ascii="Arial" w:hAnsi="Arial"/>
          <w:sz w:val="22"/>
        </w:rPr>
        <w:t>není plátce DPH</w:t>
      </w:r>
      <w:r w:rsidRPr="00F3106F">
        <w:rPr>
          <w:rFonts w:ascii="Arial" w:hAnsi="Arial"/>
          <w:sz w:val="22"/>
        </w:rPr>
        <w:t xml:space="preserve"> </w:t>
      </w:r>
    </w:p>
    <w:p w:rsidR="00610CD6" w:rsidRDefault="00610CD6" w:rsidP="00A65B0E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</w:t>
      </w:r>
      <w:r w:rsidR="009E6CBA">
        <w:rPr>
          <w:rFonts w:ascii="Arial" w:hAnsi="Arial"/>
          <w:sz w:val="22"/>
        </w:rPr>
        <w:t>příkazce</w:t>
      </w:r>
      <w:r>
        <w:rPr>
          <w:rFonts w:ascii="Arial" w:hAnsi="Arial"/>
          <w:sz w:val="22"/>
        </w:rPr>
        <w:t>“)</w:t>
      </w:r>
    </w:p>
    <w:p w:rsidR="00A9299C" w:rsidRPr="00F3106F" w:rsidRDefault="00A9299C" w:rsidP="00A65B0E">
      <w:pPr>
        <w:spacing w:line="288" w:lineRule="auto"/>
        <w:jc w:val="both"/>
        <w:rPr>
          <w:rFonts w:ascii="Arial" w:hAnsi="Arial"/>
          <w:sz w:val="22"/>
        </w:rPr>
      </w:pPr>
    </w:p>
    <w:p w:rsidR="00665475" w:rsidRPr="009E6CBA" w:rsidRDefault="00061DB5" w:rsidP="00A65B0E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Příkazník</w:t>
      </w:r>
      <w:r w:rsidR="00665475" w:rsidRPr="006938BE">
        <w:rPr>
          <w:rFonts w:ascii="Arial" w:hAnsi="Arial"/>
          <w:bCs/>
          <w:sz w:val="22"/>
          <w:szCs w:val="22"/>
        </w:rPr>
        <w:t>:</w:t>
      </w:r>
      <w:r w:rsidR="000B4CCD" w:rsidRPr="006938BE">
        <w:rPr>
          <w:rFonts w:ascii="Arial" w:hAnsi="Arial"/>
          <w:bCs/>
          <w:sz w:val="22"/>
          <w:szCs w:val="22"/>
        </w:rPr>
        <w:tab/>
      </w:r>
      <w:r w:rsidR="000B4CCD" w:rsidRPr="009E6CBA">
        <w:rPr>
          <w:rFonts w:ascii="Arial" w:hAnsi="Arial" w:cs="Arial"/>
          <w:bCs/>
          <w:sz w:val="22"/>
          <w:szCs w:val="22"/>
        </w:rPr>
        <w:tab/>
      </w:r>
      <w:r w:rsidR="005447B5" w:rsidRPr="009E6CBA">
        <w:rPr>
          <w:rFonts w:ascii="Arial" w:hAnsi="Arial" w:cs="Arial"/>
          <w:sz w:val="22"/>
          <w:szCs w:val="22"/>
        </w:rPr>
        <w:t>SEVEn Energy s.r.o.</w:t>
      </w:r>
      <w:r w:rsidR="00665475" w:rsidRPr="009E6CBA">
        <w:rPr>
          <w:rFonts w:ascii="Arial" w:hAnsi="Arial" w:cs="Arial"/>
          <w:bCs/>
          <w:sz w:val="22"/>
          <w:szCs w:val="22"/>
        </w:rPr>
        <w:tab/>
      </w:r>
      <w:r w:rsidR="00665475" w:rsidRPr="009E6CBA">
        <w:rPr>
          <w:rFonts w:ascii="Arial" w:hAnsi="Arial" w:cs="Arial"/>
          <w:bCs/>
          <w:sz w:val="22"/>
          <w:szCs w:val="22"/>
        </w:rPr>
        <w:tab/>
      </w:r>
    </w:p>
    <w:p w:rsidR="00665475" w:rsidRPr="009E6CBA" w:rsidRDefault="00665475" w:rsidP="00A65B0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E6CBA">
        <w:rPr>
          <w:rFonts w:ascii="Arial" w:hAnsi="Arial" w:cs="Arial"/>
          <w:sz w:val="22"/>
          <w:szCs w:val="22"/>
        </w:rPr>
        <w:t>sídlo:</w:t>
      </w:r>
      <w:r w:rsidRPr="009E6CBA">
        <w:rPr>
          <w:rFonts w:ascii="Arial" w:hAnsi="Arial" w:cs="Arial"/>
          <w:sz w:val="22"/>
          <w:szCs w:val="22"/>
        </w:rPr>
        <w:tab/>
      </w:r>
      <w:r w:rsidRPr="009E6CBA">
        <w:rPr>
          <w:rFonts w:ascii="Arial" w:hAnsi="Arial" w:cs="Arial"/>
          <w:sz w:val="22"/>
          <w:szCs w:val="22"/>
        </w:rPr>
        <w:tab/>
      </w:r>
      <w:r w:rsidRPr="009E6CBA">
        <w:rPr>
          <w:rFonts w:ascii="Arial" w:hAnsi="Arial" w:cs="Arial"/>
          <w:sz w:val="22"/>
          <w:szCs w:val="22"/>
        </w:rPr>
        <w:tab/>
      </w:r>
      <w:r w:rsidR="005447B5" w:rsidRPr="009E6CBA">
        <w:rPr>
          <w:rFonts w:ascii="Arial" w:hAnsi="Arial" w:cs="Arial"/>
          <w:sz w:val="22"/>
          <w:szCs w:val="22"/>
        </w:rPr>
        <w:t>Americká 579/17, Vinohrady, 120 00 Praha 2</w:t>
      </w:r>
    </w:p>
    <w:p w:rsidR="006938BE" w:rsidRPr="009E6CBA" w:rsidRDefault="0090524D" w:rsidP="00A65B0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E6CBA">
        <w:rPr>
          <w:rFonts w:ascii="Arial" w:hAnsi="Arial" w:cs="Arial"/>
          <w:sz w:val="22"/>
          <w:szCs w:val="22"/>
        </w:rPr>
        <w:t>zastoupena:</w:t>
      </w:r>
      <w:r w:rsidR="000B4CCD" w:rsidRPr="009E6CBA">
        <w:rPr>
          <w:rFonts w:ascii="Arial" w:hAnsi="Arial" w:cs="Arial"/>
          <w:sz w:val="22"/>
          <w:szCs w:val="22"/>
        </w:rPr>
        <w:tab/>
      </w:r>
      <w:r w:rsidR="000B4CCD" w:rsidRPr="009E6CBA">
        <w:rPr>
          <w:rFonts w:ascii="Arial" w:hAnsi="Arial" w:cs="Arial"/>
          <w:sz w:val="22"/>
          <w:szCs w:val="22"/>
        </w:rPr>
        <w:tab/>
      </w:r>
      <w:r w:rsidR="005447B5" w:rsidRPr="009E6CBA">
        <w:rPr>
          <w:rFonts w:ascii="Arial" w:hAnsi="Arial" w:cs="Arial"/>
          <w:sz w:val="22"/>
          <w:szCs w:val="22"/>
        </w:rPr>
        <w:t>Ing. Jaroslav Maroušek, CSc.</w:t>
      </w:r>
      <w:r w:rsidR="005447B5" w:rsidRPr="009E6CBA" w:rsidDel="005447B5">
        <w:rPr>
          <w:rFonts w:ascii="Arial" w:hAnsi="Arial" w:cs="Arial"/>
          <w:sz w:val="22"/>
          <w:szCs w:val="22"/>
        </w:rPr>
        <w:t xml:space="preserve"> </w:t>
      </w:r>
    </w:p>
    <w:p w:rsidR="0090524D" w:rsidRPr="009E6CBA" w:rsidRDefault="0090524D" w:rsidP="00A65B0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E6CBA">
        <w:rPr>
          <w:rFonts w:ascii="Arial" w:hAnsi="Arial" w:cs="Arial"/>
          <w:sz w:val="22"/>
          <w:szCs w:val="22"/>
        </w:rPr>
        <w:t>funkce:</w:t>
      </w:r>
      <w:r w:rsidR="000B4CCD" w:rsidRPr="009E6CBA">
        <w:rPr>
          <w:rFonts w:ascii="Arial" w:hAnsi="Arial" w:cs="Arial"/>
          <w:sz w:val="22"/>
          <w:szCs w:val="22"/>
        </w:rPr>
        <w:tab/>
      </w:r>
      <w:r w:rsidR="000B4CCD" w:rsidRPr="009E6CBA">
        <w:rPr>
          <w:rFonts w:ascii="Arial" w:hAnsi="Arial" w:cs="Arial"/>
          <w:sz w:val="22"/>
          <w:szCs w:val="22"/>
        </w:rPr>
        <w:tab/>
      </w:r>
      <w:r w:rsidR="006938BE" w:rsidRPr="009E6CBA">
        <w:rPr>
          <w:rFonts w:ascii="Arial" w:hAnsi="Arial" w:cs="Arial"/>
          <w:sz w:val="22"/>
          <w:szCs w:val="22"/>
        </w:rPr>
        <w:t>jednatel</w:t>
      </w:r>
      <w:r w:rsidR="000B4CCD" w:rsidRPr="009E6CBA">
        <w:rPr>
          <w:rFonts w:ascii="Arial" w:hAnsi="Arial" w:cs="Arial"/>
          <w:sz w:val="22"/>
          <w:szCs w:val="22"/>
        </w:rPr>
        <w:t xml:space="preserve">  </w:t>
      </w:r>
    </w:p>
    <w:p w:rsidR="00945155" w:rsidRPr="009E6CBA" w:rsidRDefault="00665475" w:rsidP="00A65B0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E6CBA">
        <w:rPr>
          <w:rFonts w:ascii="Arial" w:hAnsi="Arial" w:cs="Arial"/>
          <w:sz w:val="22"/>
          <w:szCs w:val="22"/>
        </w:rPr>
        <w:t>IČO:</w:t>
      </w:r>
      <w:r w:rsidRPr="009E6CBA">
        <w:rPr>
          <w:rFonts w:ascii="Arial" w:hAnsi="Arial" w:cs="Arial"/>
          <w:sz w:val="22"/>
          <w:szCs w:val="22"/>
        </w:rPr>
        <w:tab/>
      </w:r>
      <w:r w:rsidRPr="009E6CBA">
        <w:rPr>
          <w:rFonts w:ascii="Arial" w:hAnsi="Arial" w:cs="Arial"/>
          <w:sz w:val="22"/>
          <w:szCs w:val="22"/>
        </w:rPr>
        <w:tab/>
      </w:r>
      <w:r w:rsidRPr="009E6CBA">
        <w:rPr>
          <w:rFonts w:ascii="Arial" w:hAnsi="Arial" w:cs="Arial"/>
          <w:sz w:val="22"/>
          <w:szCs w:val="22"/>
        </w:rPr>
        <w:tab/>
      </w:r>
      <w:r w:rsidR="005447B5" w:rsidRPr="009E6CBA">
        <w:rPr>
          <w:rFonts w:ascii="Arial" w:hAnsi="Arial" w:cs="Arial"/>
          <w:sz w:val="22"/>
          <w:szCs w:val="22"/>
        </w:rPr>
        <w:t>27876829</w:t>
      </w:r>
    </w:p>
    <w:p w:rsidR="0090524D" w:rsidRPr="006938BE" w:rsidRDefault="00665475" w:rsidP="00A65B0E">
      <w:pPr>
        <w:spacing w:line="288" w:lineRule="auto"/>
        <w:jc w:val="both"/>
        <w:rPr>
          <w:rFonts w:ascii="Arial" w:hAnsi="Arial"/>
          <w:sz w:val="22"/>
          <w:szCs w:val="22"/>
        </w:rPr>
      </w:pPr>
      <w:r w:rsidRPr="009E6CBA">
        <w:rPr>
          <w:rFonts w:ascii="Arial" w:hAnsi="Arial" w:cs="Arial"/>
          <w:sz w:val="22"/>
          <w:szCs w:val="22"/>
        </w:rPr>
        <w:t>DIČ:</w:t>
      </w:r>
      <w:r w:rsidRPr="009E6CBA">
        <w:rPr>
          <w:rFonts w:ascii="Arial" w:hAnsi="Arial" w:cs="Arial"/>
          <w:sz w:val="22"/>
          <w:szCs w:val="22"/>
        </w:rPr>
        <w:tab/>
      </w:r>
      <w:r w:rsidR="000B4CCD" w:rsidRPr="009E6CBA">
        <w:rPr>
          <w:rFonts w:ascii="Arial" w:hAnsi="Arial" w:cs="Arial"/>
          <w:sz w:val="22"/>
          <w:szCs w:val="22"/>
        </w:rPr>
        <w:tab/>
      </w:r>
      <w:r w:rsidR="000B4CCD" w:rsidRPr="009E6CBA">
        <w:rPr>
          <w:rFonts w:ascii="Arial" w:hAnsi="Arial" w:cs="Arial"/>
          <w:sz w:val="22"/>
          <w:szCs w:val="22"/>
        </w:rPr>
        <w:tab/>
      </w:r>
      <w:r w:rsidR="006938BE" w:rsidRPr="009E6CBA">
        <w:rPr>
          <w:rFonts w:ascii="Arial" w:hAnsi="Arial" w:cs="Arial"/>
          <w:sz w:val="22"/>
          <w:szCs w:val="22"/>
        </w:rPr>
        <w:t>CZ</w:t>
      </w:r>
      <w:r w:rsidR="005447B5" w:rsidRPr="009E6CBA">
        <w:rPr>
          <w:rFonts w:ascii="Arial" w:hAnsi="Arial" w:cs="Arial"/>
          <w:sz w:val="22"/>
          <w:szCs w:val="22"/>
        </w:rPr>
        <w:t>27876829</w:t>
      </w:r>
    </w:p>
    <w:p w:rsidR="000B4CCD" w:rsidRDefault="000B4CCD" w:rsidP="00A65B0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Pr="000B4CCD">
        <w:rPr>
          <w:rFonts w:ascii="Arial" w:hAnsi="Arial"/>
          <w:sz w:val="22"/>
          <w:szCs w:val="22"/>
        </w:rPr>
        <w:t xml:space="preserve">apsán v obchodním rejstříku vedeném </w:t>
      </w:r>
      <w:r w:rsidR="00795007">
        <w:rPr>
          <w:rFonts w:ascii="Arial" w:hAnsi="Arial"/>
          <w:sz w:val="22"/>
          <w:szCs w:val="22"/>
        </w:rPr>
        <w:t>Městským</w:t>
      </w:r>
      <w:r w:rsidR="006938BE">
        <w:rPr>
          <w:rFonts w:ascii="Arial" w:hAnsi="Arial"/>
          <w:sz w:val="22"/>
          <w:szCs w:val="22"/>
        </w:rPr>
        <w:t xml:space="preserve"> soudem v </w:t>
      </w:r>
      <w:r w:rsidR="00795007">
        <w:rPr>
          <w:rFonts w:ascii="Arial" w:hAnsi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>,</w:t>
      </w:r>
      <w:r w:rsidRPr="000B4CCD">
        <w:rPr>
          <w:rFonts w:ascii="Arial" w:hAnsi="Arial" w:cs="Arial"/>
          <w:sz w:val="22"/>
          <w:szCs w:val="22"/>
        </w:rPr>
        <w:t xml:space="preserve"> </w:t>
      </w:r>
      <w:r w:rsidRPr="00695D23">
        <w:rPr>
          <w:rFonts w:ascii="Arial" w:hAnsi="Arial" w:cs="Arial"/>
          <w:sz w:val="22"/>
          <w:szCs w:val="22"/>
        </w:rPr>
        <w:t xml:space="preserve">oddíl </w:t>
      </w:r>
      <w:r w:rsidR="006938BE">
        <w:rPr>
          <w:rFonts w:ascii="Arial" w:hAnsi="Arial" w:cs="Arial"/>
          <w:sz w:val="22"/>
          <w:lang w:val="en-US"/>
        </w:rPr>
        <w:t>C</w:t>
      </w:r>
      <w:r w:rsidRPr="00795007">
        <w:rPr>
          <w:rFonts w:ascii="Arial" w:hAnsi="Arial" w:cs="Arial"/>
          <w:sz w:val="22"/>
          <w:lang w:val="en-US"/>
        </w:rPr>
        <w:t xml:space="preserve">, vložka </w:t>
      </w:r>
      <w:r w:rsidR="00795007" w:rsidRPr="00795007">
        <w:rPr>
          <w:rFonts w:ascii="Arial" w:hAnsi="Arial" w:cs="Arial"/>
          <w:sz w:val="22"/>
          <w:lang w:val="en-US"/>
        </w:rPr>
        <w:t>123499</w:t>
      </w:r>
    </w:p>
    <w:p w:rsidR="009E6CBA" w:rsidRDefault="00610CD6" w:rsidP="00A65B0E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</w:t>
      </w:r>
      <w:r w:rsidR="009E6CBA">
        <w:rPr>
          <w:rFonts w:ascii="Arial" w:hAnsi="Arial"/>
          <w:sz w:val="22"/>
        </w:rPr>
        <w:t>příkazník</w:t>
      </w:r>
      <w:r>
        <w:rPr>
          <w:rFonts w:ascii="Arial" w:hAnsi="Arial"/>
          <w:sz w:val="22"/>
        </w:rPr>
        <w:t>“)</w:t>
      </w:r>
      <w:r w:rsidR="009E6CBA">
        <w:rPr>
          <w:rFonts w:ascii="Arial" w:hAnsi="Arial"/>
          <w:sz w:val="22"/>
        </w:rPr>
        <w:t>,</w:t>
      </w:r>
    </w:p>
    <w:p w:rsidR="009E6CBA" w:rsidRDefault="009E6CBA" w:rsidP="00A65B0E">
      <w:pPr>
        <w:spacing w:line="288" w:lineRule="auto"/>
        <w:jc w:val="both"/>
        <w:rPr>
          <w:rFonts w:ascii="Arial" w:hAnsi="Arial"/>
          <w:sz w:val="22"/>
        </w:rPr>
      </w:pPr>
    </w:p>
    <w:p w:rsidR="00610CD6" w:rsidRDefault="009E6CBA" w:rsidP="00A65B0E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/>
          <w:sz w:val="22"/>
        </w:rPr>
        <w:t>(příkazce a příkazník společně dále jen jako „smluvní strany“)</w:t>
      </w:r>
      <w:r>
        <w:rPr>
          <w:rFonts w:ascii="Arial" w:hAnsi="Arial" w:cs="Arial"/>
          <w:bCs/>
        </w:rPr>
        <w:t>,</w:t>
      </w:r>
      <w:r w:rsidR="006938BE" w:rsidRPr="00C549BF">
        <w:rPr>
          <w:rFonts w:ascii="Arial" w:hAnsi="Arial" w:cs="Arial"/>
          <w:bCs/>
        </w:rPr>
        <w:t xml:space="preserve"> </w:t>
      </w:r>
    </w:p>
    <w:p w:rsidR="00401990" w:rsidRPr="00401990" w:rsidRDefault="00401990" w:rsidP="00A65B0E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</w:rPr>
      </w:pPr>
    </w:p>
    <w:p w:rsidR="009E6CBA" w:rsidRPr="009E6CBA" w:rsidRDefault="00401990" w:rsidP="009E6CBA">
      <w:pPr>
        <w:spacing w:line="288" w:lineRule="auto"/>
        <w:jc w:val="both"/>
        <w:rPr>
          <w:rFonts w:ascii="Arial" w:hAnsi="Arial"/>
          <w:sz w:val="22"/>
          <w:szCs w:val="22"/>
        </w:rPr>
      </w:pPr>
      <w:r w:rsidRPr="009E6CBA">
        <w:rPr>
          <w:rFonts w:ascii="Arial" w:hAnsi="Arial"/>
          <w:sz w:val="22"/>
          <w:szCs w:val="22"/>
        </w:rPr>
        <w:t xml:space="preserve">uzavírají níže uvedeného dne, měsíce a roku tento Dodatek č. </w:t>
      </w:r>
      <w:r w:rsidR="00A9299C" w:rsidRPr="009E6CBA">
        <w:rPr>
          <w:rFonts w:ascii="Arial" w:hAnsi="Arial"/>
          <w:sz w:val="22"/>
          <w:szCs w:val="22"/>
        </w:rPr>
        <w:t>1</w:t>
      </w:r>
      <w:r w:rsidRPr="009E6CBA">
        <w:rPr>
          <w:rFonts w:ascii="Arial" w:hAnsi="Arial"/>
          <w:sz w:val="22"/>
          <w:szCs w:val="22"/>
        </w:rPr>
        <w:t xml:space="preserve"> k</w:t>
      </w:r>
      <w:r w:rsidR="005447B5" w:rsidRPr="009E6CBA">
        <w:rPr>
          <w:rFonts w:ascii="Arial" w:hAnsi="Arial"/>
          <w:sz w:val="22"/>
          <w:szCs w:val="22"/>
        </w:rPr>
        <w:t xml:space="preserve"> Příkazní s</w:t>
      </w:r>
      <w:r w:rsidRPr="009E6CBA">
        <w:rPr>
          <w:rFonts w:ascii="Arial" w:hAnsi="Arial"/>
          <w:sz w:val="22"/>
          <w:szCs w:val="22"/>
        </w:rPr>
        <w:t>mlouvě, č. j.: KÚ-</w:t>
      </w:r>
      <w:r w:rsidR="009E6CBA" w:rsidRPr="009E6CBA">
        <w:rPr>
          <w:rFonts w:ascii="Arial" w:hAnsi="Arial"/>
          <w:sz w:val="22"/>
          <w:szCs w:val="22"/>
        </w:rPr>
        <w:t>3081/2018-770-0</w:t>
      </w:r>
      <w:r w:rsidR="00061DB5">
        <w:rPr>
          <w:rFonts w:ascii="Arial" w:hAnsi="Arial"/>
          <w:sz w:val="22"/>
          <w:szCs w:val="22"/>
        </w:rPr>
        <w:t>2020</w:t>
      </w:r>
      <w:r w:rsidR="009E6CBA" w:rsidRPr="009E6CBA">
        <w:rPr>
          <w:rFonts w:ascii="Arial" w:hAnsi="Arial"/>
          <w:sz w:val="22"/>
          <w:szCs w:val="22"/>
        </w:rPr>
        <w:t xml:space="preserve">-17, ze dne </w:t>
      </w:r>
      <w:proofErr w:type="gramStart"/>
      <w:r w:rsidR="009E6CBA" w:rsidRPr="009E6CBA">
        <w:rPr>
          <w:rFonts w:ascii="Arial" w:hAnsi="Arial"/>
          <w:sz w:val="22"/>
          <w:szCs w:val="22"/>
        </w:rPr>
        <w:t>25.04.2018</w:t>
      </w:r>
      <w:proofErr w:type="gramEnd"/>
      <w:r w:rsidR="009E6CBA">
        <w:rPr>
          <w:rFonts w:ascii="Arial" w:hAnsi="Arial"/>
          <w:sz w:val="22"/>
          <w:szCs w:val="22"/>
        </w:rPr>
        <w:t>.</w:t>
      </w:r>
    </w:p>
    <w:p w:rsidR="00A65B0E" w:rsidRDefault="00A65B0E" w:rsidP="00A65B0E">
      <w:pPr>
        <w:spacing w:after="6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BC174A" w:rsidRDefault="005C5DD1" w:rsidP="00A65B0E">
      <w:pPr>
        <w:spacing w:after="6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401990">
        <w:rPr>
          <w:rFonts w:ascii="Arial" w:hAnsi="Arial" w:cs="Arial"/>
          <w:b/>
          <w:sz w:val="22"/>
          <w:szCs w:val="22"/>
        </w:rPr>
        <w:t>I</w:t>
      </w:r>
      <w:r w:rsidR="00BC174A" w:rsidRPr="00F3106F">
        <w:rPr>
          <w:rFonts w:ascii="Arial" w:hAnsi="Arial" w:cs="Arial"/>
          <w:b/>
          <w:sz w:val="22"/>
          <w:szCs w:val="22"/>
        </w:rPr>
        <w:t>.</w:t>
      </w:r>
      <w:r w:rsidR="00964806">
        <w:rPr>
          <w:rFonts w:ascii="Arial" w:hAnsi="Arial" w:cs="Arial"/>
          <w:b/>
          <w:sz w:val="22"/>
          <w:szCs w:val="22"/>
        </w:rPr>
        <w:t xml:space="preserve"> </w:t>
      </w:r>
    </w:p>
    <w:p w:rsidR="001A1CFD" w:rsidRDefault="009E6CBA" w:rsidP="00A9299C">
      <w:pPr>
        <w:pStyle w:val="Odstavecseseznamem"/>
        <w:numPr>
          <w:ilvl w:val="0"/>
          <w:numId w:val="43"/>
        </w:numPr>
        <w:spacing w:line="288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</w:t>
      </w:r>
      <w:r w:rsidRPr="001A1CFD">
        <w:rPr>
          <w:rFonts w:ascii="Arial" w:hAnsi="Arial" w:cs="Arial"/>
          <w:color w:val="000000"/>
          <w:sz w:val="22"/>
          <w:szCs w:val="22"/>
        </w:rPr>
        <w:t xml:space="preserve"> </w:t>
      </w:r>
      <w:r w:rsidR="001A1CFD" w:rsidRPr="001A1CFD">
        <w:rPr>
          <w:rFonts w:ascii="Arial" w:hAnsi="Arial" w:cs="Arial"/>
          <w:color w:val="000000"/>
          <w:sz w:val="22"/>
          <w:szCs w:val="22"/>
        </w:rPr>
        <w:t xml:space="preserve">uzavřeli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25</w:t>
      </w:r>
      <w:r w:rsidR="001A1CFD" w:rsidRPr="001A1CF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04</w:t>
      </w:r>
      <w:r w:rsidR="001A1CFD" w:rsidRPr="001A1CFD">
        <w:rPr>
          <w:rFonts w:ascii="Arial" w:hAnsi="Arial" w:cs="Arial"/>
          <w:color w:val="000000"/>
          <w:sz w:val="22"/>
          <w:szCs w:val="22"/>
        </w:rPr>
        <w:t>.20</w:t>
      </w:r>
      <w:r>
        <w:rPr>
          <w:rFonts w:ascii="Arial" w:hAnsi="Arial" w:cs="Arial"/>
          <w:color w:val="000000"/>
          <w:sz w:val="22"/>
          <w:szCs w:val="22"/>
        </w:rPr>
        <w:t>18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Příkazní s</w:t>
      </w:r>
      <w:r w:rsidR="001A1CFD" w:rsidRPr="001A1CFD">
        <w:rPr>
          <w:rFonts w:ascii="Arial" w:hAnsi="Arial" w:cs="Arial"/>
          <w:color w:val="000000"/>
          <w:sz w:val="22"/>
          <w:szCs w:val="22"/>
        </w:rPr>
        <w:t>mlouvu, č. j.: KÚ-</w:t>
      </w:r>
      <w:r w:rsidRPr="004B2790">
        <w:rPr>
          <w:rFonts w:ascii="Arial" w:hAnsi="Arial"/>
          <w:sz w:val="22"/>
          <w:szCs w:val="22"/>
        </w:rPr>
        <w:t>3081/2018-770-0</w:t>
      </w:r>
      <w:r w:rsidR="00875E30">
        <w:rPr>
          <w:rFonts w:ascii="Arial" w:hAnsi="Arial"/>
          <w:sz w:val="22"/>
          <w:szCs w:val="22"/>
        </w:rPr>
        <w:t>2020</w:t>
      </w:r>
      <w:r w:rsidRPr="004B2790">
        <w:rPr>
          <w:rFonts w:ascii="Arial" w:hAnsi="Arial"/>
          <w:sz w:val="22"/>
          <w:szCs w:val="22"/>
        </w:rPr>
        <w:t>-17</w:t>
      </w:r>
      <w:r w:rsidR="001A1CFD">
        <w:rPr>
          <w:rFonts w:ascii="Arial" w:hAnsi="Arial" w:cs="Arial"/>
          <w:color w:val="000000"/>
          <w:sz w:val="22"/>
          <w:szCs w:val="22"/>
        </w:rPr>
        <w:t xml:space="preserve"> (dále jen „</w:t>
      </w:r>
      <w:r>
        <w:rPr>
          <w:rFonts w:ascii="Arial" w:hAnsi="Arial" w:cs="Arial"/>
          <w:color w:val="000000"/>
          <w:sz w:val="22"/>
          <w:szCs w:val="22"/>
        </w:rPr>
        <w:t xml:space="preserve">příkazní </w:t>
      </w:r>
      <w:r w:rsidR="001A1CFD">
        <w:rPr>
          <w:rFonts w:ascii="Arial" w:hAnsi="Arial" w:cs="Arial"/>
          <w:color w:val="000000"/>
          <w:sz w:val="22"/>
          <w:szCs w:val="22"/>
        </w:rPr>
        <w:t>smlouva“)</w:t>
      </w:r>
      <w:r w:rsidR="001A1CFD" w:rsidRPr="001A1CFD">
        <w:rPr>
          <w:rFonts w:ascii="Arial" w:hAnsi="Arial" w:cs="Arial"/>
          <w:color w:val="000000"/>
          <w:sz w:val="22"/>
          <w:szCs w:val="22"/>
        </w:rPr>
        <w:t xml:space="preserve">, jejímž předmětem </w:t>
      </w:r>
      <w:r>
        <w:rPr>
          <w:rFonts w:ascii="Arial" w:hAnsi="Arial" w:cs="Arial"/>
          <w:color w:val="000000"/>
          <w:sz w:val="22"/>
          <w:szCs w:val="22"/>
        </w:rPr>
        <w:t>plnění jsou služby obsahující zpracování a předložení žádosti o podporu v rámci 100. výzvy Ministerstva životního prostřední v rámci OPŽP v rozsahu a specifikaci dle aktuálních Pravidel pro žadatele a příjemce podpory v Operačním programu Životní prostředí pro období 2014 – 2020, zpracování a předložení žádosti o podporu z prostředků programu NZÚ, příprava a zpracování organizačně právní a technické části zadávací dokumentace, zajištění organizace veřejné zakázky na poskytování energetických služeb se zaručenými úsporami energie</w:t>
      </w:r>
      <w:r w:rsidR="00E05998">
        <w:rPr>
          <w:rFonts w:ascii="Arial" w:hAnsi="Arial" w:cs="Arial"/>
          <w:color w:val="000000"/>
          <w:sz w:val="22"/>
          <w:szCs w:val="22"/>
        </w:rPr>
        <w:t xml:space="preserve"> a ostatní navazující činnosti v rámci vlastní realizace projektu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9299C" w:rsidRPr="001A1CFD" w:rsidRDefault="00A9299C" w:rsidP="00A9299C">
      <w:pPr>
        <w:pStyle w:val="Odstavecseseznamem"/>
        <w:spacing w:line="288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7B09C7" w:rsidRDefault="00964806" w:rsidP="00E05998">
      <w:pPr>
        <w:pStyle w:val="Odstavecseseznamem"/>
        <w:numPr>
          <w:ilvl w:val="0"/>
          <w:numId w:val="43"/>
        </w:numPr>
        <w:spacing w:line="288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Vzhledem </w:t>
      </w:r>
      <w:r w:rsidR="00E05998">
        <w:rPr>
          <w:rFonts w:ascii="Arial" w:hAnsi="Arial" w:cs="Arial"/>
          <w:color w:val="000000"/>
          <w:sz w:val="22"/>
          <w:szCs w:val="22"/>
        </w:rPr>
        <w:t xml:space="preserve">ke </w:t>
      </w:r>
      <w:r>
        <w:rPr>
          <w:rFonts w:ascii="Arial" w:hAnsi="Arial" w:cs="Arial"/>
          <w:color w:val="000000"/>
          <w:sz w:val="22"/>
          <w:szCs w:val="22"/>
        </w:rPr>
        <w:t>zrušení</w:t>
      </w:r>
      <w:r w:rsidR="00571B72">
        <w:rPr>
          <w:rFonts w:ascii="Arial" w:hAnsi="Arial" w:cs="Arial"/>
          <w:color w:val="000000"/>
          <w:sz w:val="22"/>
          <w:szCs w:val="22"/>
        </w:rPr>
        <w:t xml:space="preserve"> </w:t>
      </w:r>
      <w:r w:rsidR="00E05998">
        <w:rPr>
          <w:rFonts w:ascii="Arial" w:hAnsi="Arial" w:cs="Arial"/>
          <w:color w:val="000000"/>
          <w:sz w:val="22"/>
          <w:szCs w:val="22"/>
        </w:rPr>
        <w:t xml:space="preserve">nadlimitní </w:t>
      </w:r>
      <w:r>
        <w:rPr>
          <w:rFonts w:ascii="Arial" w:hAnsi="Arial" w:cs="Arial"/>
          <w:color w:val="000000"/>
          <w:sz w:val="22"/>
          <w:szCs w:val="22"/>
        </w:rPr>
        <w:t>veřejné zakázky na poskytování energetických služeb se zaručenými úsporami energie</w:t>
      </w:r>
      <w:r w:rsidR="00795007">
        <w:rPr>
          <w:rFonts w:ascii="Arial" w:hAnsi="Arial" w:cs="Arial"/>
          <w:color w:val="000000"/>
          <w:sz w:val="22"/>
          <w:szCs w:val="22"/>
        </w:rPr>
        <w:t xml:space="preserve"> s názvem „Poskytování energetických služeb metodou EPC v objektu Katastrálního úřadu pro Zlínský kraj“, evidenční číslo: Z2020-016538, a 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05998" w:rsidRPr="00E05998">
        <w:rPr>
          <w:rFonts w:ascii="Arial" w:hAnsi="Arial" w:cs="Arial"/>
          <w:color w:val="000000"/>
          <w:sz w:val="22"/>
          <w:szCs w:val="22"/>
        </w:rPr>
        <w:t>v souladu s § 127 odst. 1</w:t>
      </w:r>
      <w:r w:rsidR="00733852">
        <w:rPr>
          <w:rFonts w:ascii="Arial" w:hAnsi="Arial" w:cs="Arial"/>
          <w:color w:val="000000"/>
          <w:sz w:val="22"/>
          <w:szCs w:val="22"/>
        </w:rPr>
        <w:t xml:space="preserve"> zákona č. 134/2016 Sb., o zadávání veřejných zakázek, ve znění pozdějších předpisů</w:t>
      </w:r>
      <w:r w:rsidR="00E05998" w:rsidRPr="00E05998">
        <w:rPr>
          <w:rFonts w:ascii="Arial" w:hAnsi="Arial" w:cs="Arial"/>
          <w:color w:val="000000"/>
          <w:sz w:val="22"/>
          <w:szCs w:val="22"/>
        </w:rPr>
        <w:t xml:space="preserve"> </w:t>
      </w:r>
      <w:r w:rsidR="00733852">
        <w:rPr>
          <w:rFonts w:ascii="Arial" w:hAnsi="Arial" w:cs="Arial"/>
          <w:color w:val="000000"/>
          <w:sz w:val="22"/>
          <w:szCs w:val="22"/>
        </w:rPr>
        <w:t>(dále jen „</w:t>
      </w:r>
      <w:r w:rsidR="00E05998" w:rsidRPr="00E05998">
        <w:rPr>
          <w:rFonts w:ascii="Arial" w:hAnsi="Arial" w:cs="Arial"/>
          <w:color w:val="000000"/>
          <w:sz w:val="22"/>
          <w:szCs w:val="22"/>
        </w:rPr>
        <w:t>ZZVZ</w:t>
      </w:r>
      <w:r w:rsidR="00733852">
        <w:rPr>
          <w:rFonts w:ascii="Arial" w:hAnsi="Arial" w:cs="Arial"/>
          <w:color w:val="000000"/>
          <w:sz w:val="22"/>
          <w:szCs w:val="22"/>
        </w:rPr>
        <w:t>“)</w:t>
      </w:r>
      <w:r w:rsidR="007950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351A">
        <w:rPr>
          <w:rFonts w:ascii="Arial" w:hAnsi="Arial" w:cs="Arial"/>
          <w:color w:val="000000"/>
          <w:sz w:val="22"/>
          <w:szCs w:val="22"/>
        </w:rPr>
        <w:t>a</w:t>
      </w:r>
      <w:r w:rsidR="00795007">
        <w:rPr>
          <w:rFonts w:ascii="Arial" w:hAnsi="Arial" w:cs="Arial"/>
          <w:color w:val="000000"/>
          <w:sz w:val="22"/>
          <w:szCs w:val="22"/>
        </w:rPr>
        <w:t xml:space="preserve"> dále vzhledem k</w:t>
      </w:r>
      <w:r w:rsidR="005F351A">
        <w:rPr>
          <w:rFonts w:ascii="Arial" w:hAnsi="Arial" w:cs="Arial"/>
          <w:color w:val="000000"/>
          <w:sz w:val="22"/>
          <w:szCs w:val="22"/>
        </w:rPr>
        <w:t xml:space="preserve"> zájmu smluvních stran dosáhnout </w:t>
      </w:r>
      <w:r w:rsidR="00E05998">
        <w:rPr>
          <w:rFonts w:ascii="Arial" w:hAnsi="Arial" w:cs="Arial"/>
          <w:color w:val="000000"/>
          <w:sz w:val="22"/>
          <w:szCs w:val="22"/>
        </w:rPr>
        <w:t xml:space="preserve">cíle zrušeného </w:t>
      </w:r>
      <w:r w:rsidR="005F351A">
        <w:rPr>
          <w:rFonts w:ascii="Arial" w:hAnsi="Arial" w:cs="Arial"/>
          <w:color w:val="000000"/>
          <w:sz w:val="22"/>
          <w:szCs w:val="22"/>
        </w:rPr>
        <w:t>zadávacího řízení</w:t>
      </w:r>
      <w:r w:rsidR="00E05998">
        <w:rPr>
          <w:rFonts w:ascii="Arial" w:hAnsi="Arial" w:cs="Arial"/>
          <w:color w:val="000000"/>
          <w:sz w:val="22"/>
          <w:szCs w:val="22"/>
        </w:rPr>
        <w:t xml:space="preserve">, tedy uzavřít </w:t>
      </w:r>
      <w:r w:rsidR="005F351A">
        <w:rPr>
          <w:rFonts w:ascii="Arial" w:hAnsi="Arial" w:cs="Arial"/>
          <w:color w:val="000000"/>
          <w:sz w:val="22"/>
          <w:szCs w:val="22"/>
        </w:rPr>
        <w:t>smlouv</w:t>
      </w:r>
      <w:r w:rsidR="00E05998">
        <w:rPr>
          <w:rFonts w:ascii="Arial" w:hAnsi="Arial" w:cs="Arial"/>
          <w:color w:val="000000"/>
          <w:sz w:val="22"/>
          <w:szCs w:val="22"/>
        </w:rPr>
        <w:t>u</w:t>
      </w:r>
      <w:r w:rsidR="005F351A">
        <w:rPr>
          <w:rFonts w:ascii="Arial" w:hAnsi="Arial" w:cs="Arial"/>
          <w:color w:val="000000"/>
          <w:sz w:val="22"/>
          <w:szCs w:val="22"/>
        </w:rPr>
        <w:t xml:space="preserve"> s vybraným </w:t>
      </w:r>
      <w:r w:rsidR="0000722E">
        <w:rPr>
          <w:rFonts w:ascii="Arial" w:hAnsi="Arial" w:cs="Arial"/>
          <w:color w:val="000000"/>
          <w:sz w:val="22"/>
          <w:szCs w:val="22"/>
        </w:rPr>
        <w:t xml:space="preserve">dodavatelem </w:t>
      </w:r>
      <w:r w:rsidR="005C5DD1">
        <w:rPr>
          <w:rFonts w:ascii="Arial" w:hAnsi="Arial" w:cs="Arial"/>
          <w:color w:val="000000"/>
          <w:sz w:val="22"/>
          <w:szCs w:val="22"/>
        </w:rPr>
        <w:t xml:space="preserve">a </w:t>
      </w:r>
      <w:r w:rsidR="005C5DD1">
        <w:rPr>
          <w:rFonts w:ascii="Arial" w:hAnsi="Arial" w:cs="Arial"/>
          <w:color w:val="000000"/>
          <w:sz w:val="22"/>
          <w:szCs w:val="22"/>
        </w:rPr>
        <w:lastRenderedPageBreak/>
        <w:t>realiz</w:t>
      </w:r>
      <w:r w:rsidR="00E05998">
        <w:rPr>
          <w:rFonts w:ascii="Arial" w:hAnsi="Arial" w:cs="Arial"/>
          <w:color w:val="000000"/>
          <w:sz w:val="22"/>
          <w:szCs w:val="22"/>
        </w:rPr>
        <w:t xml:space="preserve">ovat </w:t>
      </w:r>
      <w:r w:rsidR="005C5DD1">
        <w:rPr>
          <w:rFonts w:ascii="Arial" w:hAnsi="Arial" w:cs="Arial"/>
          <w:color w:val="000000"/>
          <w:sz w:val="22"/>
          <w:szCs w:val="22"/>
        </w:rPr>
        <w:t>energeticky úsporn</w:t>
      </w:r>
      <w:r w:rsidR="00E05998">
        <w:rPr>
          <w:rFonts w:ascii="Arial" w:hAnsi="Arial" w:cs="Arial"/>
          <w:color w:val="000000"/>
          <w:sz w:val="22"/>
          <w:szCs w:val="22"/>
        </w:rPr>
        <w:t>á</w:t>
      </w:r>
      <w:r w:rsidR="005C5DD1">
        <w:rPr>
          <w:rFonts w:ascii="Arial" w:hAnsi="Arial" w:cs="Arial"/>
          <w:color w:val="000000"/>
          <w:sz w:val="22"/>
          <w:szCs w:val="22"/>
        </w:rPr>
        <w:t xml:space="preserve"> opatření</w:t>
      </w:r>
      <w:r w:rsidR="00E05998">
        <w:rPr>
          <w:rFonts w:ascii="Arial" w:hAnsi="Arial" w:cs="Arial"/>
          <w:color w:val="000000"/>
          <w:sz w:val="22"/>
          <w:szCs w:val="22"/>
        </w:rPr>
        <w:t>,</w:t>
      </w:r>
      <w:r w:rsidR="005C5DD1">
        <w:rPr>
          <w:rFonts w:ascii="Arial" w:hAnsi="Arial" w:cs="Arial"/>
          <w:color w:val="000000"/>
          <w:sz w:val="22"/>
          <w:szCs w:val="22"/>
        </w:rPr>
        <w:t xml:space="preserve"> vyvstala v průběhu trvání závazku z příkazní smlouvy potřeba znovuzahájit zadávací řízení</w:t>
      </w:r>
      <w:r w:rsidR="0000722E">
        <w:rPr>
          <w:rFonts w:ascii="Arial" w:hAnsi="Arial" w:cs="Arial"/>
          <w:color w:val="000000"/>
          <w:sz w:val="22"/>
          <w:szCs w:val="22"/>
        </w:rPr>
        <w:t xml:space="preserve"> ve formě jednacího řízení s uveřejněním</w:t>
      </w:r>
      <w:r w:rsidR="005C5DD1">
        <w:rPr>
          <w:rFonts w:ascii="Arial" w:hAnsi="Arial" w:cs="Arial"/>
          <w:color w:val="000000"/>
          <w:sz w:val="22"/>
          <w:szCs w:val="22"/>
        </w:rPr>
        <w:t xml:space="preserve">. </w:t>
      </w:r>
      <w:r w:rsidR="005F351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E57C2" w:rsidRPr="004E57C2" w:rsidRDefault="004E57C2" w:rsidP="004E57C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4E57C2" w:rsidRPr="001B285D" w:rsidRDefault="004E57C2" w:rsidP="00964806">
      <w:pPr>
        <w:pStyle w:val="Odstavecseseznamem"/>
        <w:numPr>
          <w:ilvl w:val="0"/>
          <w:numId w:val="43"/>
        </w:numPr>
        <w:spacing w:line="288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285D">
        <w:rPr>
          <w:rFonts w:ascii="Arial" w:hAnsi="Arial" w:cs="Arial"/>
          <w:color w:val="000000"/>
          <w:sz w:val="22"/>
          <w:szCs w:val="22"/>
        </w:rPr>
        <w:t>Z důvodu potřeby znovuzahájení zadávacího řízení</w:t>
      </w:r>
      <w:r w:rsidR="001B285D" w:rsidRPr="0000722E">
        <w:rPr>
          <w:rFonts w:ascii="Arial" w:hAnsi="Arial" w:cs="Arial"/>
          <w:color w:val="000000"/>
          <w:sz w:val="22"/>
          <w:szCs w:val="22"/>
        </w:rPr>
        <w:t xml:space="preserve"> </w:t>
      </w:r>
      <w:r w:rsidR="0000722E">
        <w:rPr>
          <w:rFonts w:ascii="Arial" w:hAnsi="Arial" w:cs="Arial"/>
          <w:color w:val="000000"/>
          <w:sz w:val="22"/>
          <w:szCs w:val="22"/>
        </w:rPr>
        <w:t xml:space="preserve">ve formě jednacího řízení s uveřejněním </w:t>
      </w:r>
      <w:r w:rsidRPr="001B285D">
        <w:rPr>
          <w:rFonts w:ascii="Arial" w:hAnsi="Arial" w:cs="Arial"/>
          <w:color w:val="000000"/>
          <w:sz w:val="22"/>
          <w:szCs w:val="22"/>
        </w:rPr>
        <w:t>je nezbytné do předmětu plnění příkazní smlouvy zahrnout dodatečné služby, jež v původním závazku z příkazní smlouvy nebyly zahrnuty.</w:t>
      </w:r>
      <w:r w:rsidR="005C5DD1" w:rsidRPr="001B285D">
        <w:rPr>
          <w:rFonts w:ascii="Arial" w:hAnsi="Arial" w:cs="Arial"/>
          <w:color w:val="000000"/>
          <w:sz w:val="22"/>
          <w:szCs w:val="22"/>
        </w:rPr>
        <w:t xml:space="preserve"> Výše uvedené zahrnutí dodatečných služeb vyžaduje úpravu příkazní smlouvy v souladu s článkem XII. odst. 2) příkazní smlouvy. </w:t>
      </w:r>
    </w:p>
    <w:p w:rsidR="005C5DD1" w:rsidRPr="005C5DD1" w:rsidRDefault="005C5DD1" w:rsidP="00DC6E7E">
      <w:pPr>
        <w:pStyle w:val="Odstavecseseznamem"/>
        <w:spacing w:after="120" w:line="288" w:lineRule="auto"/>
        <w:ind w:left="792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7416E" w:rsidRDefault="005C5DD1" w:rsidP="00A65B0E">
      <w:pPr>
        <w:spacing w:after="6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7A5D3C">
        <w:rPr>
          <w:rFonts w:ascii="Arial" w:hAnsi="Arial" w:cs="Arial"/>
          <w:b/>
          <w:sz w:val="22"/>
          <w:szCs w:val="22"/>
        </w:rPr>
        <w:t>II</w:t>
      </w:r>
      <w:r w:rsidR="007A5D3C" w:rsidRPr="00F3106F">
        <w:rPr>
          <w:rFonts w:ascii="Arial" w:hAnsi="Arial" w:cs="Arial"/>
          <w:b/>
          <w:sz w:val="22"/>
          <w:szCs w:val="22"/>
        </w:rPr>
        <w:t>.</w:t>
      </w:r>
    </w:p>
    <w:p w:rsidR="005F351A" w:rsidRPr="001014AD" w:rsidRDefault="004E57C2" w:rsidP="004E57C2">
      <w:pPr>
        <w:pStyle w:val="Odstavecseseznamem"/>
        <w:numPr>
          <w:ilvl w:val="0"/>
          <w:numId w:val="49"/>
        </w:numPr>
        <w:spacing w:after="120" w:line="288" w:lineRule="auto"/>
        <w:ind w:left="284" w:hanging="28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67523">
        <w:rPr>
          <w:rFonts w:ascii="Arial" w:eastAsiaTheme="minorHAnsi" w:hAnsi="Arial" w:cs="Arial"/>
          <w:sz w:val="22"/>
          <w:szCs w:val="22"/>
          <w:lang w:eastAsia="en-US"/>
        </w:rPr>
        <w:t>Smluvní strany se v souladu s článkem XII. odst. 2) příkazní smlouvy dohodly, že se příkazní smlouva mění tak, že do předmětu plnění dle příkazní smlouvy budou nově zahrnuty dodatečné služby související se znovuzahájením zadávacího řízení</w:t>
      </w:r>
      <w:r w:rsidR="0000722E">
        <w:rPr>
          <w:rFonts w:ascii="Arial" w:eastAsiaTheme="minorHAnsi" w:hAnsi="Arial" w:cs="Arial"/>
          <w:sz w:val="22"/>
          <w:szCs w:val="22"/>
          <w:lang w:eastAsia="en-US"/>
        </w:rPr>
        <w:t xml:space="preserve"> ve formě jednacího řízení s uveřejněním</w:t>
      </w:r>
      <w:r w:rsidRPr="00367523">
        <w:rPr>
          <w:rFonts w:ascii="Arial" w:eastAsiaTheme="minorHAnsi" w:hAnsi="Arial" w:cs="Arial"/>
          <w:sz w:val="22"/>
          <w:szCs w:val="22"/>
          <w:lang w:eastAsia="en-US"/>
        </w:rPr>
        <w:t>, a proto se v č</w:t>
      </w:r>
      <w:r w:rsidR="00795007" w:rsidRPr="001014AD">
        <w:rPr>
          <w:rFonts w:ascii="Arial" w:eastAsiaTheme="minorHAnsi" w:hAnsi="Arial" w:cs="Arial"/>
          <w:sz w:val="22"/>
          <w:szCs w:val="22"/>
          <w:lang w:eastAsia="en-US"/>
        </w:rPr>
        <w:t xml:space="preserve">lánku III. </w:t>
      </w:r>
      <w:r w:rsidR="00736D80" w:rsidRPr="001014AD">
        <w:rPr>
          <w:rFonts w:ascii="Arial" w:eastAsiaTheme="minorHAnsi" w:hAnsi="Arial" w:cs="Arial"/>
          <w:sz w:val="22"/>
          <w:szCs w:val="22"/>
          <w:lang w:eastAsia="en-US"/>
        </w:rPr>
        <w:t xml:space="preserve">příkazní smlouvy </w:t>
      </w:r>
      <w:r w:rsidR="005F351A" w:rsidRPr="001014AD">
        <w:rPr>
          <w:rFonts w:ascii="Arial" w:eastAsiaTheme="minorHAnsi" w:hAnsi="Arial" w:cs="Arial"/>
          <w:sz w:val="22"/>
          <w:szCs w:val="22"/>
          <w:lang w:eastAsia="en-US"/>
        </w:rPr>
        <w:t>za odstavec 6. doplňuje nový odstavec 7., který zní:</w:t>
      </w:r>
    </w:p>
    <w:p w:rsidR="00964806" w:rsidRDefault="005F351A" w:rsidP="004E57C2">
      <w:pPr>
        <w:pStyle w:val="Odstavecseseznamem"/>
        <w:spacing w:after="120" w:line="288" w:lineRule="auto"/>
        <w:ind w:left="28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3536">
        <w:rPr>
          <w:rFonts w:ascii="Arial" w:eastAsiaTheme="minorHAnsi" w:hAnsi="Arial" w:cs="Arial"/>
          <w:sz w:val="22"/>
          <w:szCs w:val="22"/>
          <w:lang w:eastAsia="en-US"/>
        </w:rPr>
        <w:t xml:space="preserve">„7. V případě zrušení zadávacího řízení </w:t>
      </w:r>
      <w:r w:rsidR="00680F90" w:rsidRPr="00F83536">
        <w:rPr>
          <w:rFonts w:ascii="Arial" w:eastAsiaTheme="minorHAnsi" w:hAnsi="Arial" w:cs="Arial"/>
          <w:sz w:val="22"/>
          <w:szCs w:val="22"/>
          <w:lang w:eastAsia="en-US"/>
        </w:rPr>
        <w:t xml:space="preserve">je možné </w:t>
      </w:r>
      <w:r w:rsidR="0064759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části </w:t>
      </w:r>
      <w:r w:rsidR="00680F90" w:rsidRPr="00367523">
        <w:rPr>
          <w:rFonts w:ascii="Arial" w:eastAsiaTheme="minorHAnsi" w:hAnsi="Arial" w:cs="Arial"/>
          <w:sz w:val="22"/>
          <w:szCs w:val="22"/>
          <w:lang w:eastAsia="en-US"/>
        </w:rPr>
        <w:t xml:space="preserve">předmětu </w:t>
      </w:r>
      <w:r w:rsidR="0064759D" w:rsidRPr="0000722E">
        <w:rPr>
          <w:rFonts w:ascii="Arial" w:eastAsiaTheme="minorHAnsi" w:hAnsi="Arial" w:cs="Arial"/>
          <w:sz w:val="22"/>
          <w:szCs w:val="22"/>
          <w:lang w:eastAsia="en-US"/>
        </w:rPr>
        <w:t>smlouvy</w:t>
      </w:r>
      <w:r w:rsidR="00680F90" w:rsidRPr="00367523">
        <w:rPr>
          <w:rFonts w:ascii="Arial" w:eastAsiaTheme="minorHAnsi" w:hAnsi="Arial" w:cs="Arial"/>
          <w:sz w:val="22"/>
          <w:szCs w:val="22"/>
          <w:lang w:eastAsia="en-US"/>
        </w:rPr>
        <w:t xml:space="preserve"> dle čl. III. odst</w:t>
      </w:r>
      <w:r w:rsidR="0064759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680F90" w:rsidRPr="00367523">
        <w:rPr>
          <w:rFonts w:ascii="Arial" w:eastAsiaTheme="minorHAnsi" w:hAnsi="Arial" w:cs="Arial"/>
          <w:sz w:val="22"/>
          <w:szCs w:val="22"/>
          <w:lang w:eastAsia="en-US"/>
        </w:rPr>
        <w:t>2.4</w:t>
      </w:r>
      <w:r w:rsidR="0064759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 a </w:t>
      </w:r>
      <w:r w:rsidR="00680F90" w:rsidRPr="00367523">
        <w:rPr>
          <w:rFonts w:ascii="Arial" w:eastAsiaTheme="minorHAnsi" w:hAnsi="Arial" w:cs="Arial"/>
          <w:sz w:val="22"/>
          <w:szCs w:val="22"/>
          <w:lang w:eastAsia="en-US"/>
        </w:rPr>
        <w:t xml:space="preserve">2.5 této smlouvy dosáhnout v souladu se ZZVZ prostřednictvím dalšího </w:t>
      </w:r>
      <w:r w:rsidR="0064759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zadávacího </w:t>
      </w:r>
      <w:r w:rsidR="00680F90" w:rsidRPr="00367523">
        <w:rPr>
          <w:rFonts w:ascii="Arial" w:eastAsiaTheme="minorHAnsi" w:hAnsi="Arial" w:cs="Arial"/>
          <w:sz w:val="22"/>
          <w:szCs w:val="22"/>
          <w:lang w:eastAsia="en-US"/>
        </w:rPr>
        <w:t>řízení</w:t>
      </w:r>
      <w:r w:rsidR="001014A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 ve formě jednacího řízení s uveřejněním</w:t>
      </w:r>
      <w:r w:rsidR="0064759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, a to provedením následujících činností: </w:t>
      </w:r>
      <w:r w:rsidR="0064759D" w:rsidRPr="00367523">
        <w:rPr>
          <w:rFonts w:ascii="Arial" w:eastAsiaTheme="minorHAnsi" w:hAnsi="Arial" w:cs="Arial"/>
          <w:sz w:val="22"/>
          <w:szCs w:val="22"/>
          <w:lang w:eastAsia="en-US"/>
        </w:rPr>
        <w:t>kontrola a úprava zadávací dokumentace (specifikace povinných požadavků, vyloučení nežádoucích návrhů),</w:t>
      </w:r>
      <w:r w:rsidR="0064759D" w:rsidRPr="00F83536">
        <w:rPr>
          <w:rFonts w:ascii="Arial" w:eastAsiaTheme="minorHAnsi" w:hAnsi="Arial" w:cs="Arial"/>
          <w:sz w:val="22"/>
          <w:szCs w:val="22"/>
          <w:lang w:eastAsia="en-US"/>
        </w:rPr>
        <w:t xml:space="preserve"> vyhodnocení žádostí o účast, případné </w:t>
      </w:r>
      <w:r w:rsidR="001014A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zpracování </w:t>
      </w:r>
      <w:r w:rsidR="0064759D" w:rsidRPr="00367523">
        <w:rPr>
          <w:rFonts w:ascii="Arial" w:eastAsiaTheme="minorHAnsi" w:hAnsi="Arial" w:cs="Arial"/>
          <w:sz w:val="22"/>
          <w:szCs w:val="22"/>
          <w:lang w:eastAsia="en-US"/>
        </w:rPr>
        <w:t>žádost</w:t>
      </w:r>
      <w:r w:rsidR="00733852">
        <w:rPr>
          <w:rFonts w:ascii="Arial" w:eastAsiaTheme="minorHAnsi" w:hAnsi="Arial" w:cs="Arial"/>
          <w:sz w:val="22"/>
          <w:szCs w:val="22"/>
          <w:lang w:eastAsia="en-US"/>
        </w:rPr>
        <w:t>í</w:t>
      </w:r>
      <w:r w:rsidR="0064759D" w:rsidRPr="00367523">
        <w:rPr>
          <w:rFonts w:ascii="Arial" w:eastAsiaTheme="minorHAnsi" w:hAnsi="Arial" w:cs="Arial"/>
          <w:sz w:val="22"/>
          <w:szCs w:val="22"/>
          <w:lang w:eastAsia="en-US"/>
        </w:rPr>
        <w:t xml:space="preserve"> o</w:t>
      </w:r>
      <w:r w:rsidR="00733852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64759D" w:rsidRPr="00367523">
        <w:rPr>
          <w:rFonts w:ascii="Arial" w:eastAsiaTheme="minorHAnsi" w:hAnsi="Arial" w:cs="Arial"/>
          <w:sz w:val="22"/>
          <w:szCs w:val="22"/>
          <w:lang w:eastAsia="en-US"/>
        </w:rPr>
        <w:t>doplnění</w:t>
      </w:r>
      <w:r w:rsidR="001014A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 žádostí o účast</w:t>
      </w:r>
      <w:r w:rsidR="00E0633A" w:rsidRPr="00367523">
        <w:rPr>
          <w:rFonts w:ascii="Arial" w:eastAsiaTheme="minorHAnsi" w:hAnsi="Arial" w:cs="Arial"/>
          <w:sz w:val="22"/>
          <w:szCs w:val="22"/>
          <w:lang w:eastAsia="en-US"/>
        </w:rPr>
        <w:t>, příprava výz</w:t>
      </w:r>
      <w:r w:rsidR="00940E18" w:rsidRPr="0000722E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E0633A" w:rsidRPr="00367523">
        <w:rPr>
          <w:rFonts w:ascii="Arial" w:eastAsiaTheme="minorHAnsi" w:hAnsi="Arial" w:cs="Arial"/>
          <w:sz w:val="22"/>
          <w:szCs w:val="22"/>
          <w:lang w:eastAsia="en-US"/>
        </w:rPr>
        <w:t>v k podání předběžn</w:t>
      </w:r>
      <w:r w:rsidR="00940E18" w:rsidRPr="0000722E">
        <w:rPr>
          <w:rFonts w:ascii="Arial" w:eastAsiaTheme="minorHAnsi" w:hAnsi="Arial" w:cs="Arial"/>
          <w:sz w:val="22"/>
          <w:szCs w:val="22"/>
          <w:lang w:eastAsia="en-US"/>
        </w:rPr>
        <w:t>ých</w:t>
      </w:r>
      <w:r w:rsidR="00E0633A" w:rsidRPr="00367523">
        <w:rPr>
          <w:rFonts w:ascii="Arial" w:eastAsiaTheme="minorHAnsi" w:hAnsi="Arial" w:cs="Arial"/>
          <w:sz w:val="22"/>
          <w:szCs w:val="22"/>
          <w:lang w:eastAsia="en-US"/>
        </w:rPr>
        <w:t xml:space="preserve"> nabíd</w:t>
      </w:r>
      <w:r w:rsidR="00940E18" w:rsidRPr="0000722E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E0633A" w:rsidRPr="00367523">
        <w:rPr>
          <w:rFonts w:ascii="Arial" w:eastAsiaTheme="minorHAnsi" w:hAnsi="Arial" w:cs="Arial"/>
          <w:sz w:val="22"/>
          <w:szCs w:val="22"/>
          <w:lang w:eastAsia="en-US"/>
        </w:rPr>
        <w:t>k a technických požadavků do výzev</w:t>
      </w:r>
      <w:r w:rsidR="00E0633A" w:rsidRPr="00F83536">
        <w:rPr>
          <w:rFonts w:ascii="Arial" w:eastAsiaTheme="minorHAnsi" w:hAnsi="Arial" w:cs="Arial"/>
          <w:sz w:val="22"/>
          <w:szCs w:val="22"/>
          <w:lang w:eastAsia="en-US"/>
        </w:rPr>
        <w:t xml:space="preserve">, příprava dotazů a požadavků </w:t>
      </w:r>
      <w:r w:rsidR="001014A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v rámci výzvy k jednání </w:t>
      </w:r>
      <w:r w:rsidR="00E0633A" w:rsidRPr="00367523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1014A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vypracování </w:t>
      </w:r>
      <w:r w:rsidR="00E0633A" w:rsidRPr="00367523">
        <w:rPr>
          <w:rFonts w:ascii="Arial" w:eastAsiaTheme="minorHAnsi" w:hAnsi="Arial" w:cs="Arial"/>
          <w:sz w:val="22"/>
          <w:szCs w:val="22"/>
          <w:lang w:eastAsia="en-US"/>
        </w:rPr>
        <w:t>výzv</w:t>
      </w:r>
      <w:r w:rsidR="001014AD" w:rsidRPr="0000722E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E0633A" w:rsidRPr="00367523">
        <w:rPr>
          <w:rFonts w:ascii="Arial" w:eastAsiaTheme="minorHAnsi" w:hAnsi="Arial" w:cs="Arial"/>
          <w:sz w:val="22"/>
          <w:szCs w:val="22"/>
          <w:lang w:eastAsia="en-US"/>
        </w:rPr>
        <w:t xml:space="preserve"> k jednání, jednací řízení</w:t>
      </w:r>
      <w:r w:rsidR="0000722E">
        <w:rPr>
          <w:rFonts w:ascii="Arial" w:eastAsiaTheme="minorHAnsi" w:hAnsi="Arial" w:cs="Arial"/>
          <w:sz w:val="22"/>
          <w:szCs w:val="22"/>
          <w:lang w:eastAsia="en-US"/>
        </w:rPr>
        <w:t xml:space="preserve"> (příprava, účast na jednání s dodavateli a administrace jednání s dodavateli) </w:t>
      </w:r>
      <w:r w:rsidR="00E0633A" w:rsidRPr="00367523">
        <w:rPr>
          <w:rFonts w:ascii="Arial" w:eastAsiaTheme="minorHAnsi" w:hAnsi="Arial" w:cs="Arial"/>
          <w:sz w:val="22"/>
          <w:szCs w:val="22"/>
          <w:lang w:eastAsia="en-US"/>
        </w:rPr>
        <w:t xml:space="preserve">a příprava </w:t>
      </w:r>
      <w:r w:rsidR="00E0633A" w:rsidRPr="00F83536">
        <w:rPr>
          <w:rFonts w:ascii="Arial" w:eastAsiaTheme="minorHAnsi" w:hAnsi="Arial" w:cs="Arial"/>
          <w:sz w:val="22"/>
          <w:szCs w:val="22"/>
          <w:lang w:eastAsia="en-US"/>
        </w:rPr>
        <w:t>požadavků do výzvy k předložení konečných nabídek</w:t>
      </w:r>
      <w:r w:rsidR="001014AD" w:rsidRPr="0000722E">
        <w:rPr>
          <w:rFonts w:ascii="Arial" w:eastAsiaTheme="minorHAnsi" w:hAnsi="Arial" w:cs="Arial"/>
          <w:sz w:val="22"/>
          <w:szCs w:val="22"/>
          <w:lang w:eastAsia="en-US"/>
        </w:rPr>
        <w:t xml:space="preserve"> a vypracování výzvy k podání konečných nabídek</w:t>
      </w:r>
      <w:r w:rsidR="00744081">
        <w:rPr>
          <w:rFonts w:ascii="Arial" w:eastAsiaTheme="minorHAnsi" w:hAnsi="Arial" w:cs="Arial"/>
          <w:sz w:val="22"/>
          <w:szCs w:val="22"/>
          <w:lang w:eastAsia="en-US"/>
        </w:rPr>
        <w:t>.“</w:t>
      </w:r>
      <w:r w:rsidR="00680F90" w:rsidRPr="0036752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36D80" w:rsidRDefault="004E57C2" w:rsidP="004E57C2">
      <w:pPr>
        <w:pStyle w:val="Odstavecseseznamem"/>
        <w:numPr>
          <w:ilvl w:val="0"/>
          <w:numId w:val="49"/>
        </w:numPr>
        <w:spacing w:after="120" w:line="288" w:lineRule="auto"/>
        <w:ind w:left="284" w:hanging="28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Smluvní strany se v souladu s článkem </w:t>
      </w:r>
      <w:r w:rsidRPr="005F351A">
        <w:rPr>
          <w:rFonts w:ascii="Arial" w:eastAsiaTheme="minorHAnsi" w:hAnsi="Arial" w:cs="Arial"/>
          <w:sz w:val="22"/>
          <w:szCs w:val="22"/>
          <w:lang w:eastAsia="en-US"/>
        </w:rPr>
        <w:t>XII. odst. 2) příkazní smlouvy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dohodly, že se </w:t>
      </w:r>
      <w:r w:rsidR="00CD4900">
        <w:rPr>
          <w:rFonts w:ascii="Arial" w:eastAsiaTheme="minorHAnsi" w:hAnsi="Arial" w:cs="Arial"/>
          <w:sz w:val="22"/>
          <w:szCs w:val="22"/>
          <w:lang w:eastAsia="en-US"/>
        </w:rPr>
        <w:t xml:space="preserve">z důvodu </w:t>
      </w:r>
      <w:r>
        <w:rPr>
          <w:rFonts w:ascii="Arial" w:eastAsiaTheme="minorHAnsi" w:hAnsi="Arial" w:cs="Arial"/>
          <w:sz w:val="22"/>
          <w:szCs w:val="22"/>
          <w:lang w:eastAsia="en-US"/>
        </w:rPr>
        <w:t>dodatečn</w:t>
      </w:r>
      <w:r w:rsidR="00CD4900">
        <w:rPr>
          <w:rFonts w:ascii="Arial" w:eastAsiaTheme="minorHAnsi" w:hAnsi="Arial" w:cs="Arial"/>
          <w:sz w:val="22"/>
          <w:szCs w:val="22"/>
          <w:lang w:eastAsia="en-US"/>
        </w:rPr>
        <w:t>ých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služ</w:t>
      </w:r>
      <w:r w:rsidR="00CD4900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>b související</w:t>
      </w:r>
      <w:r w:rsidR="00CD4900">
        <w:rPr>
          <w:rFonts w:ascii="Arial" w:eastAsiaTheme="minorHAnsi" w:hAnsi="Arial" w:cs="Arial"/>
          <w:sz w:val="22"/>
          <w:szCs w:val="22"/>
          <w:lang w:eastAsia="en-US"/>
        </w:rPr>
        <w:t>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se znovuzahájením zadávacího řízení </w:t>
      </w:r>
      <w:r w:rsidR="00CD4900">
        <w:rPr>
          <w:rFonts w:ascii="Arial" w:eastAsiaTheme="minorHAnsi" w:hAnsi="Arial" w:cs="Arial"/>
          <w:sz w:val="22"/>
          <w:szCs w:val="22"/>
          <w:lang w:eastAsia="en-US"/>
        </w:rPr>
        <w:t>ve formě jednacího řízení s uveřejněním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mění č</w:t>
      </w:r>
      <w:r w:rsidR="00736D80" w:rsidRPr="004E57C2">
        <w:rPr>
          <w:rFonts w:ascii="Arial" w:eastAsiaTheme="minorHAnsi" w:hAnsi="Arial" w:cs="Arial"/>
          <w:sz w:val="22"/>
          <w:szCs w:val="22"/>
          <w:lang w:eastAsia="en-US"/>
        </w:rPr>
        <w:t>lánek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VI. odst. </w:t>
      </w:r>
      <w:r w:rsidR="00CD4900">
        <w:rPr>
          <w:rFonts w:ascii="Arial" w:eastAsiaTheme="minorHAnsi" w:hAnsi="Arial" w:cs="Arial"/>
          <w:sz w:val="22"/>
          <w:szCs w:val="22"/>
          <w:lang w:eastAsia="en-US"/>
        </w:rPr>
        <w:t xml:space="preserve">1. a </w:t>
      </w:r>
      <w:r>
        <w:rPr>
          <w:rFonts w:ascii="Arial" w:eastAsiaTheme="minorHAnsi" w:hAnsi="Arial" w:cs="Arial"/>
          <w:sz w:val="22"/>
          <w:szCs w:val="22"/>
          <w:lang w:eastAsia="en-US"/>
        </w:rPr>
        <w:t>2. příkazní smlouvy, kter</w:t>
      </w:r>
      <w:r w:rsidR="00CD4900">
        <w:rPr>
          <w:rFonts w:ascii="Arial" w:eastAsiaTheme="minorHAnsi" w:hAnsi="Arial" w:cs="Arial"/>
          <w:sz w:val="22"/>
          <w:szCs w:val="22"/>
          <w:lang w:eastAsia="en-US"/>
        </w:rPr>
        <w:t>é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nově </w:t>
      </w:r>
      <w:r w:rsidR="00736D80" w:rsidRPr="004E57C2">
        <w:rPr>
          <w:rFonts w:ascii="Arial" w:eastAsiaTheme="minorHAnsi" w:hAnsi="Arial" w:cs="Arial"/>
          <w:sz w:val="22"/>
          <w:szCs w:val="22"/>
          <w:lang w:eastAsia="en-US"/>
        </w:rPr>
        <w:t>zní:</w:t>
      </w:r>
    </w:p>
    <w:p w:rsidR="00CD4900" w:rsidRPr="004E57C2" w:rsidRDefault="00CD4900" w:rsidP="00744081">
      <w:pPr>
        <w:pStyle w:val="Odstavecseseznamem"/>
        <w:spacing w:after="120" w:line="288" w:lineRule="auto"/>
        <w:ind w:left="28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4081">
        <w:rPr>
          <w:rFonts w:ascii="Arial" w:eastAsiaTheme="minorHAnsi" w:hAnsi="Arial" w:cs="Arial"/>
          <w:sz w:val="22"/>
          <w:szCs w:val="22"/>
          <w:lang w:eastAsia="en-US"/>
        </w:rPr>
        <w:t xml:space="preserve">„1. </w:t>
      </w:r>
      <w:r w:rsidR="00F83536" w:rsidRPr="00744081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44081">
        <w:rPr>
          <w:rFonts w:ascii="Arial" w:eastAsiaTheme="minorHAnsi" w:hAnsi="Arial" w:cs="Arial"/>
          <w:sz w:val="22"/>
          <w:szCs w:val="22"/>
          <w:lang w:eastAsia="en-US"/>
        </w:rPr>
        <w:t>dměna za realizaci předmětu plnění této smlouvy se sjednává dohodou ve výši 836.800,- Kč bez DPH, 1.012.528,- Kč s DPH.</w:t>
      </w:r>
    </w:p>
    <w:p w:rsidR="00736D80" w:rsidRDefault="00F83536" w:rsidP="004E57C2">
      <w:pPr>
        <w:pStyle w:val="Odstavecseseznamem"/>
        <w:spacing w:after="120" w:line="288" w:lineRule="auto"/>
        <w:ind w:left="28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2. </w:t>
      </w:r>
      <w:r w:rsidR="00736D80">
        <w:rPr>
          <w:rFonts w:ascii="Arial" w:eastAsiaTheme="minorHAnsi" w:hAnsi="Arial" w:cs="Arial"/>
          <w:sz w:val="22"/>
          <w:szCs w:val="22"/>
          <w:lang w:eastAsia="en-US"/>
        </w:rPr>
        <w:t>Odměna za realizaci předmětu plnění této smlouvy je členěna na jednotlivé úkony následovně:</w:t>
      </w:r>
    </w:p>
    <w:tbl>
      <w:tblPr>
        <w:tblStyle w:val="Mkatabulky"/>
        <w:tblW w:w="8788" w:type="dxa"/>
        <w:tblInd w:w="269" w:type="dxa"/>
        <w:tblLook w:val="04A0" w:firstRow="1" w:lastRow="0" w:firstColumn="1" w:lastColumn="0" w:noHBand="0" w:noVBand="1"/>
      </w:tblPr>
      <w:tblGrid>
        <w:gridCol w:w="4678"/>
        <w:gridCol w:w="2055"/>
        <w:gridCol w:w="2055"/>
      </w:tblGrid>
      <w:tr w:rsidR="00736D80" w:rsidTr="00744081">
        <w:trPr>
          <w:trHeight w:val="453"/>
        </w:trPr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36D80" w:rsidRPr="004150CE" w:rsidRDefault="00736D80" w:rsidP="005C5DD1">
            <w:pPr>
              <w:pStyle w:val="Odstavecseseznamem"/>
              <w:ind w:left="0"/>
              <w:contextualSpacing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150C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Úkony</w:t>
            </w:r>
          </w:p>
        </w:tc>
        <w:tc>
          <w:tcPr>
            <w:tcW w:w="205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36D80" w:rsidRPr="004150CE" w:rsidRDefault="00736D80" w:rsidP="00736D80">
            <w:pPr>
              <w:pStyle w:val="Odstavecseseznamem"/>
              <w:ind w:left="0"/>
              <w:contextualSpacing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150C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Cena v Kč bez DPH</w:t>
            </w:r>
          </w:p>
        </w:tc>
        <w:tc>
          <w:tcPr>
            <w:tcW w:w="20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6D80" w:rsidRPr="004150CE" w:rsidRDefault="00736D80" w:rsidP="004150CE">
            <w:pPr>
              <w:pStyle w:val="Odstavecseseznamem"/>
              <w:ind w:left="0"/>
              <w:contextualSpacing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150C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Cena v Kč s</w:t>
            </w:r>
            <w:r w:rsidR="004150C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 </w:t>
            </w:r>
            <w:r w:rsidRPr="004150C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DPH</w:t>
            </w:r>
          </w:p>
        </w:tc>
      </w:tr>
      <w:tr w:rsidR="00736D80" w:rsidTr="00744081">
        <w:trPr>
          <w:trHeight w:val="453"/>
        </w:trPr>
        <w:tc>
          <w:tcPr>
            <w:tcW w:w="467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36D80" w:rsidRPr="004150CE" w:rsidRDefault="00736D80" w:rsidP="00736D80">
            <w:pPr>
              <w:pStyle w:val="Odstavecseseznamem"/>
              <w:ind w:left="0"/>
              <w:contextualSpacing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5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Úkony uvedené v čl. III. odst. </w:t>
            </w:r>
            <w:proofErr w:type="gramStart"/>
            <w:r w:rsidRPr="00415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2.1</w:t>
            </w:r>
            <w:proofErr w:type="gramEnd"/>
            <w:r w:rsidRPr="00415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a 2.2. této smlouvy</w:t>
            </w:r>
          </w:p>
        </w:tc>
        <w:tc>
          <w:tcPr>
            <w:tcW w:w="2055" w:type="dxa"/>
            <w:tcBorders>
              <w:top w:val="single" w:sz="12" w:space="0" w:color="000000"/>
            </w:tcBorders>
            <w:vAlign w:val="center"/>
          </w:tcPr>
          <w:p w:rsidR="00736D80" w:rsidRPr="004150CE" w:rsidRDefault="004150CE" w:rsidP="004150CE">
            <w:pPr>
              <w:pStyle w:val="Odstavecseseznamem"/>
              <w:ind w:left="0"/>
              <w:contextualSpacing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325.000,-</w:t>
            </w:r>
          </w:p>
        </w:tc>
        <w:tc>
          <w:tcPr>
            <w:tcW w:w="205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36D80" w:rsidRPr="004150CE" w:rsidRDefault="004150CE" w:rsidP="004150CE">
            <w:pPr>
              <w:pStyle w:val="Odstavecseseznamem"/>
              <w:ind w:left="0"/>
              <w:contextualSpacing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393.250,-</w:t>
            </w:r>
          </w:p>
        </w:tc>
      </w:tr>
      <w:tr w:rsidR="00736D80" w:rsidTr="00744081">
        <w:trPr>
          <w:trHeight w:val="453"/>
        </w:trPr>
        <w:tc>
          <w:tcPr>
            <w:tcW w:w="4678" w:type="dxa"/>
            <w:tcBorders>
              <w:left w:val="single" w:sz="12" w:space="0" w:color="000000"/>
            </w:tcBorders>
            <w:vAlign w:val="center"/>
          </w:tcPr>
          <w:p w:rsidR="00736D80" w:rsidRPr="004150CE" w:rsidRDefault="00736D80" w:rsidP="00736D80">
            <w:pPr>
              <w:pStyle w:val="Odstavecseseznamem"/>
              <w:ind w:left="0"/>
              <w:contextualSpacing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5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Úkony uvedení v čl. III. odst. </w:t>
            </w:r>
            <w:proofErr w:type="gramStart"/>
            <w:r w:rsidRPr="00415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2.3</w:t>
            </w:r>
            <w:proofErr w:type="gramEnd"/>
            <w:r w:rsidRPr="00415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., 2.4., 2.5. této smlouvy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736D80" w:rsidRPr="00744081" w:rsidRDefault="00D87798" w:rsidP="004150CE">
            <w:pPr>
              <w:pStyle w:val="Odstavecseseznamem"/>
              <w:ind w:left="0"/>
              <w:contextualSpacing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440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457.800</w:t>
            </w:r>
            <w:r w:rsidR="004150CE" w:rsidRPr="007440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20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D80" w:rsidRPr="00744081" w:rsidRDefault="00D87798" w:rsidP="00D87798">
            <w:pPr>
              <w:pStyle w:val="Odstavecseseznamem"/>
              <w:ind w:left="0"/>
              <w:contextualSpacing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440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553.938</w:t>
            </w:r>
            <w:r w:rsidR="004150CE" w:rsidRPr="007440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,-</w:t>
            </w:r>
          </w:p>
        </w:tc>
      </w:tr>
      <w:tr w:rsidR="00736D80" w:rsidTr="00744081">
        <w:trPr>
          <w:trHeight w:val="453"/>
        </w:trPr>
        <w:tc>
          <w:tcPr>
            <w:tcW w:w="467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36D80" w:rsidRPr="004150CE" w:rsidRDefault="00736D80" w:rsidP="00736D80">
            <w:pPr>
              <w:pStyle w:val="Odstavecseseznamem"/>
              <w:ind w:left="0"/>
              <w:contextualSpacing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5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Úkony uvedené v čl. III. odst. </w:t>
            </w:r>
            <w:proofErr w:type="gramStart"/>
            <w:r w:rsidRPr="00415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2.6. této</w:t>
            </w:r>
            <w:proofErr w:type="gramEnd"/>
            <w:r w:rsidRPr="004150C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smlouvy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  <w:vAlign w:val="center"/>
          </w:tcPr>
          <w:p w:rsidR="00736D80" w:rsidRPr="004150CE" w:rsidRDefault="004150CE" w:rsidP="004150CE">
            <w:pPr>
              <w:pStyle w:val="Odstavecseseznamem"/>
              <w:ind w:left="0"/>
              <w:contextualSpacing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54.000,-</w:t>
            </w:r>
          </w:p>
        </w:tc>
        <w:tc>
          <w:tcPr>
            <w:tcW w:w="20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36D80" w:rsidRPr="004150CE" w:rsidRDefault="004150CE" w:rsidP="004150CE">
            <w:pPr>
              <w:pStyle w:val="Odstavecseseznamem"/>
              <w:ind w:left="0"/>
              <w:contextualSpacing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65.340,- </w:t>
            </w:r>
          </w:p>
        </w:tc>
      </w:tr>
    </w:tbl>
    <w:p w:rsidR="009003E0" w:rsidRDefault="00733852" w:rsidP="009003E0">
      <w:pPr>
        <w:spacing w:after="60" w:line="288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003E0">
        <w:rPr>
          <w:rFonts w:ascii="Arial" w:eastAsiaTheme="minorHAnsi" w:hAnsi="Arial" w:cs="Arial"/>
          <w:sz w:val="22"/>
          <w:szCs w:val="22"/>
          <w:lang w:eastAsia="en-US"/>
        </w:rPr>
        <w:t>“</w:t>
      </w:r>
    </w:p>
    <w:p w:rsidR="00744081" w:rsidRDefault="00744081" w:rsidP="005C5DD1">
      <w:pPr>
        <w:spacing w:after="6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5C5DD1" w:rsidRPr="007A5D3C" w:rsidRDefault="005C5DD1" w:rsidP="005C5DD1">
      <w:pPr>
        <w:spacing w:after="6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III</w:t>
      </w:r>
      <w:r w:rsidRPr="007A5D3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65B0E" w:rsidRPr="002C27D7" w:rsidRDefault="007A5D3C" w:rsidP="002C27D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27D7">
        <w:rPr>
          <w:rFonts w:ascii="Arial" w:hAnsi="Arial" w:cs="Arial"/>
          <w:color w:val="000000"/>
          <w:sz w:val="22"/>
          <w:szCs w:val="22"/>
        </w:rPr>
        <w:t xml:space="preserve">Ostatní ustanovení </w:t>
      </w:r>
      <w:r w:rsidR="005F351A" w:rsidRPr="002C27D7">
        <w:rPr>
          <w:rFonts w:ascii="Arial" w:hAnsi="Arial" w:cs="Arial"/>
          <w:color w:val="000000"/>
          <w:sz w:val="22"/>
          <w:szCs w:val="22"/>
        </w:rPr>
        <w:t xml:space="preserve">příkazní </w:t>
      </w:r>
      <w:r w:rsidRPr="002C27D7">
        <w:rPr>
          <w:rFonts w:ascii="Arial" w:hAnsi="Arial" w:cs="Arial"/>
          <w:color w:val="000000"/>
          <w:sz w:val="22"/>
          <w:szCs w:val="22"/>
        </w:rPr>
        <w:t>smlou</w:t>
      </w:r>
      <w:r w:rsidR="00010E0E" w:rsidRPr="002C27D7">
        <w:rPr>
          <w:rFonts w:ascii="Arial" w:hAnsi="Arial" w:cs="Arial"/>
          <w:color w:val="000000"/>
          <w:sz w:val="22"/>
          <w:szCs w:val="22"/>
        </w:rPr>
        <w:t xml:space="preserve">vy nedotčená tímto </w:t>
      </w:r>
      <w:r w:rsidR="005F351A" w:rsidRPr="002C27D7">
        <w:rPr>
          <w:rFonts w:ascii="Arial" w:hAnsi="Arial" w:cs="Arial"/>
          <w:color w:val="000000"/>
          <w:sz w:val="22"/>
          <w:szCs w:val="22"/>
        </w:rPr>
        <w:t>Dodatkem č. 1</w:t>
      </w:r>
      <w:r w:rsidRPr="002C27D7">
        <w:rPr>
          <w:rFonts w:ascii="Arial" w:hAnsi="Arial" w:cs="Arial"/>
          <w:color w:val="000000"/>
          <w:sz w:val="22"/>
          <w:szCs w:val="22"/>
        </w:rPr>
        <w:t xml:space="preserve"> zůstávají beze změny. </w:t>
      </w:r>
    </w:p>
    <w:p w:rsidR="00A65B0E" w:rsidRDefault="00A65B0E" w:rsidP="00A65B0E">
      <w:pPr>
        <w:spacing w:after="6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010E0E" w:rsidRPr="007A5D3C" w:rsidRDefault="005C5DD1" w:rsidP="00A65B0E">
      <w:pPr>
        <w:spacing w:after="6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7B09C7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="00010E0E" w:rsidRPr="007A5D3C">
        <w:rPr>
          <w:rFonts w:ascii="Arial" w:hAnsi="Arial" w:cs="Arial"/>
          <w:b/>
          <w:sz w:val="22"/>
          <w:szCs w:val="22"/>
        </w:rPr>
        <w:t>.</w:t>
      </w:r>
      <w:r w:rsidR="00964806">
        <w:rPr>
          <w:rFonts w:ascii="Arial" w:hAnsi="Arial" w:cs="Arial"/>
          <w:b/>
          <w:sz w:val="22"/>
          <w:szCs w:val="22"/>
        </w:rPr>
        <w:t xml:space="preserve"> </w:t>
      </w:r>
    </w:p>
    <w:p w:rsidR="007A5D3C" w:rsidRDefault="007A5D3C" w:rsidP="00A65B0E">
      <w:pPr>
        <w:pStyle w:val="Odstavecseseznamem"/>
        <w:numPr>
          <w:ilvl w:val="0"/>
          <w:numId w:val="47"/>
        </w:numPr>
        <w:spacing w:after="60" w:line="288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A5D3C">
        <w:rPr>
          <w:rFonts w:ascii="Arial" w:hAnsi="Arial" w:cs="Arial"/>
          <w:color w:val="000000"/>
          <w:sz w:val="22"/>
          <w:szCs w:val="22"/>
        </w:rPr>
        <w:t xml:space="preserve">Tento </w:t>
      </w:r>
      <w:r w:rsidR="005F351A">
        <w:rPr>
          <w:rFonts w:ascii="Arial" w:hAnsi="Arial" w:cs="Arial"/>
          <w:color w:val="000000"/>
          <w:sz w:val="22"/>
          <w:szCs w:val="22"/>
        </w:rPr>
        <w:t>D</w:t>
      </w:r>
      <w:r w:rsidRPr="007A5D3C">
        <w:rPr>
          <w:rFonts w:ascii="Arial" w:hAnsi="Arial" w:cs="Arial"/>
          <w:color w:val="000000"/>
          <w:sz w:val="22"/>
          <w:szCs w:val="22"/>
        </w:rPr>
        <w:t>odatek</w:t>
      </w:r>
      <w:r w:rsidR="005F351A">
        <w:rPr>
          <w:rFonts w:ascii="Arial" w:hAnsi="Arial" w:cs="Arial"/>
          <w:color w:val="000000"/>
          <w:sz w:val="22"/>
          <w:szCs w:val="22"/>
        </w:rPr>
        <w:t xml:space="preserve"> č.</w:t>
      </w:r>
      <w:r w:rsidR="00795007">
        <w:rPr>
          <w:rFonts w:ascii="Arial" w:hAnsi="Arial" w:cs="Arial"/>
          <w:color w:val="000000"/>
          <w:sz w:val="22"/>
          <w:szCs w:val="22"/>
        </w:rPr>
        <w:t xml:space="preserve"> </w:t>
      </w:r>
      <w:r w:rsidR="005F351A">
        <w:rPr>
          <w:rFonts w:ascii="Arial" w:hAnsi="Arial" w:cs="Arial"/>
          <w:color w:val="000000"/>
          <w:sz w:val="22"/>
          <w:szCs w:val="22"/>
        </w:rPr>
        <w:t>1</w:t>
      </w:r>
      <w:r w:rsidRPr="007A5D3C">
        <w:rPr>
          <w:rFonts w:ascii="Arial" w:hAnsi="Arial" w:cs="Arial"/>
          <w:color w:val="000000"/>
          <w:sz w:val="22"/>
          <w:szCs w:val="22"/>
        </w:rPr>
        <w:t xml:space="preserve"> nabývá platnosti dnem jeho pod</w:t>
      </w:r>
      <w:r w:rsidR="005F351A">
        <w:rPr>
          <w:rFonts w:ascii="Arial" w:hAnsi="Arial" w:cs="Arial"/>
          <w:color w:val="000000"/>
          <w:sz w:val="22"/>
          <w:szCs w:val="22"/>
        </w:rPr>
        <w:t>pisu oběma smluvními stranami a </w:t>
      </w:r>
      <w:r w:rsidRPr="007A5D3C">
        <w:rPr>
          <w:rFonts w:ascii="Arial" w:hAnsi="Arial" w:cs="Arial"/>
          <w:color w:val="000000"/>
          <w:sz w:val="22"/>
          <w:szCs w:val="22"/>
        </w:rPr>
        <w:t>účinnosti dnem jeho uveřejnění v registru smluv v souladu se zákonem č. 340/2015 Sb., o zvláštních podmínkách účinnosti některých smluv, uveřejňování těchto smluv a o registru smluv</w:t>
      </w:r>
      <w:r w:rsidR="00571B72">
        <w:rPr>
          <w:rFonts w:ascii="Arial" w:hAnsi="Arial" w:cs="Arial"/>
          <w:color w:val="000000"/>
          <w:sz w:val="22"/>
          <w:szCs w:val="22"/>
        </w:rPr>
        <w:t>, v</w:t>
      </w:r>
      <w:r w:rsidR="00C64676">
        <w:rPr>
          <w:rFonts w:ascii="Arial" w:hAnsi="Arial" w:cs="Arial"/>
          <w:color w:val="000000"/>
          <w:sz w:val="22"/>
          <w:szCs w:val="22"/>
        </w:rPr>
        <w:t> platném znění</w:t>
      </w:r>
      <w:r w:rsidRPr="007A5D3C">
        <w:rPr>
          <w:rFonts w:ascii="Arial" w:hAnsi="Arial" w:cs="Arial"/>
          <w:color w:val="000000"/>
          <w:sz w:val="22"/>
          <w:szCs w:val="22"/>
        </w:rPr>
        <w:t xml:space="preserve"> (</w:t>
      </w:r>
      <w:r w:rsidR="00571B72">
        <w:rPr>
          <w:rFonts w:ascii="Arial" w:hAnsi="Arial" w:cs="Arial"/>
          <w:color w:val="000000"/>
          <w:sz w:val="22"/>
          <w:szCs w:val="22"/>
        </w:rPr>
        <w:t>dále jen „</w:t>
      </w:r>
      <w:r w:rsidRPr="007A5D3C">
        <w:rPr>
          <w:rFonts w:ascii="Arial" w:hAnsi="Arial" w:cs="Arial"/>
          <w:color w:val="000000"/>
          <w:sz w:val="22"/>
          <w:szCs w:val="22"/>
        </w:rPr>
        <w:t>zákon o registru smluv</w:t>
      </w:r>
      <w:r w:rsidR="00571B72">
        <w:rPr>
          <w:rFonts w:ascii="Arial" w:hAnsi="Arial" w:cs="Arial"/>
          <w:color w:val="000000"/>
          <w:sz w:val="22"/>
          <w:szCs w:val="22"/>
        </w:rPr>
        <w:t>“</w:t>
      </w:r>
      <w:r w:rsidRPr="007A5D3C">
        <w:rPr>
          <w:rFonts w:ascii="Arial" w:hAnsi="Arial" w:cs="Arial"/>
          <w:color w:val="000000"/>
          <w:sz w:val="22"/>
          <w:szCs w:val="22"/>
        </w:rPr>
        <w:t>).</w:t>
      </w:r>
    </w:p>
    <w:p w:rsidR="007B09C7" w:rsidRDefault="007B09C7" w:rsidP="007B09C7">
      <w:pPr>
        <w:pStyle w:val="Odstavecseseznamem"/>
        <w:spacing w:after="60" w:line="288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56737F" w:rsidRDefault="0056737F" w:rsidP="00964806">
      <w:pPr>
        <w:pStyle w:val="Odstavecseseznamem"/>
        <w:numPr>
          <w:ilvl w:val="0"/>
          <w:numId w:val="47"/>
        </w:numPr>
        <w:spacing w:after="60" w:line="288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Jednání </w:t>
      </w:r>
      <w:r w:rsidR="002C27D7">
        <w:rPr>
          <w:rFonts w:ascii="Arial" w:hAnsi="Arial" w:cs="Arial"/>
          <w:color w:val="000000"/>
          <w:sz w:val="22"/>
          <w:szCs w:val="22"/>
        </w:rPr>
        <w:t xml:space="preserve">a vzájemná plnění </w:t>
      </w:r>
      <w:r>
        <w:rPr>
          <w:rFonts w:ascii="Arial" w:hAnsi="Arial" w:cs="Arial"/>
          <w:color w:val="000000"/>
          <w:sz w:val="22"/>
          <w:szCs w:val="22"/>
        </w:rPr>
        <w:t xml:space="preserve">smluvních stran před účinností tohoto Dodatku č. 1 se považují za plnění souladné s příkazní smlouvou ve znění tohoto Dodatku č. 1. </w:t>
      </w:r>
    </w:p>
    <w:p w:rsidR="0056737F" w:rsidRPr="0056737F" w:rsidRDefault="0056737F" w:rsidP="0056737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964806" w:rsidRPr="00964806" w:rsidRDefault="00964806" w:rsidP="00964806">
      <w:pPr>
        <w:pStyle w:val="Odstavecseseznamem"/>
        <w:numPr>
          <w:ilvl w:val="0"/>
          <w:numId w:val="47"/>
        </w:numPr>
        <w:spacing w:after="60" w:line="288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64806">
        <w:rPr>
          <w:rFonts w:ascii="Arial" w:hAnsi="Arial" w:cs="Arial"/>
          <w:color w:val="000000"/>
          <w:sz w:val="22"/>
          <w:szCs w:val="22"/>
        </w:rPr>
        <w:t xml:space="preserve">Smluvní strany souhlasí se zveřejněním textu tohoto Dodatku č.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964806">
        <w:rPr>
          <w:rFonts w:ascii="Arial" w:hAnsi="Arial" w:cs="Arial"/>
          <w:color w:val="000000"/>
          <w:sz w:val="22"/>
          <w:szCs w:val="22"/>
        </w:rPr>
        <w:t xml:space="preserve"> v registru smluv dle zákona </w:t>
      </w:r>
      <w:r w:rsidR="00571B72">
        <w:rPr>
          <w:rFonts w:ascii="Arial" w:hAnsi="Arial" w:cs="Arial"/>
          <w:color w:val="000000"/>
          <w:sz w:val="22"/>
          <w:szCs w:val="22"/>
        </w:rPr>
        <w:t>o registru smluv</w:t>
      </w:r>
      <w:r w:rsidRPr="00964806">
        <w:rPr>
          <w:rFonts w:ascii="Arial" w:hAnsi="Arial" w:cs="Arial"/>
          <w:color w:val="000000"/>
          <w:sz w:val="22"/>
          <w:szCs w:val="22"/>
        </w:rPr>
        <w:t xml:space="preserve"> s tím, že toto uveřejnění zajistí </w:t>
      </w:r>
      <w:r>
        <w:rPr>
          <w:rFonts w:ascii="Arial" w:hAnsi="Arial" w:cs="Arial"/>
          <w:color w:val="000000"/>
          <w:sz w:val="22"/>
          <w:szCs w:val="22"/>
        </w:rPr>
        <w:t>příkazce</w:t>
      </w:r>
      <w:r w:rsidRPr="00964806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964806" w:rsidRPr="00964806" w:rsidRDefault="00964806" w:rsidP="00964806">
      <w:pPr>
        <w:pStyle w:val="Odstavecseseznamem"/>
        <w:spacing w:after="60" w:line="288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A65B0E" w:rsidRDefault="00A65B0E" w:rsidP="00A65B0E">
      <w:pPr>
        <w:pStyle w:val="Odstavecseseznamem"/>
        <w:numPr>
          <w:ilvl w:val="0"/>
          <w:numId w:val="47"/>
        </w:numPr>
        <w:spacing w:after="60" w:line="288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65B0E">
        <w:rPr>
          <w:rFonts w:ascii="Arial" w:hAnsi="Arial" w:cs="Arial"/>
          <w:color w:val="000000"/>
          <w:sz w:val="22"/>
          <w:szCs w:val="22"/>
        </w:rPr>
        <w:t xml:space="preserve">Tento Dodatek č. 1 </w:t>
      </w:r>
      <w:r w:rsidR="00463971">
        <w:rPr>
          <w:rFonts w:ascii="Arial" w:hAnsi="Arial" w:cs="Arial"/>
          <w:color w:val="000000"/>
          <w:sz w:val="22"/>
          <w:szCs w:val="22"/>
        </w:rPr>
        <w:t>se uzavírá elektronickou formou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05C96" w:rsidRPr="00DE2BE6" w:rsidRDefault="00F93433" w:rsidP="004639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205C96" w:rsidRPr="00DE2BE6" w:rsidRDefault="00205C96" w:rsidP="00A65B0E">
      <w:p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Čes</w:t>
      </w:r>
      <w:r w:rsidR="00E06CAE">
        <w:rPr>
          <w:rFonts w:ascii="Arial" w:hAnsi="Arial" w:cs="Arial"/>
          <w:sz w:val="22"/>
          <w:szCs w:val="22"/>
        </w:rPr>
        <w:t xml:space="preserve">ká republika – Katastrální </w:t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  <w:t xml:space="preserve"> </w:t>
      </w:r>
      <w:r w:rsidR="00964806" w:rsidRPr="00D019F9">
        <w:rPr>
          <w:rFonts w:ascii="Arial" w:hAnsi="Arial" w:cs="Arial"/>
          <w:sz w:val="22"/>
          <w:szCs w:val="22"/>
        </w:rPr>
        <w:t>SEVEn Energy</w:t>
      </w:r>
      <w:r w:rsidR="006938BE" w:rsidRPr="00D019F9">
        <w:rPr>
          <w:rFonts w:ascii="Arial" w:hAnsi="Arial" w:cs="Arial"/>
          <w:sz w:val="22"/>
          <w:szCs w:val="22"/>
        </w:rPr>
        <w:t>, s.r.o.</w:t>
      </w:r>
    </w:p>
    <w:p w:rsidR="00205C96" w:rsidRPr="00DE2BE6" w:rsidRDefault="00205C96" w:rsidP="00A65B0E">
      <w:p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úřad pro Zlínský kraj</w:t>
      </w:r>
      <w:r w:rsidRPr="00616DA8">
        <w:rPr>
          <w:rFonts w:ascii="Arial" w:hAnsi="Arial" w:cs="Arial"/>
          <w:sz w:val="22"/>
          <w:szCs w:val="22"/>
        </w:rPr>
        <w:tab/>
      </w:r>
    </w:p>
    <w:p w:rsidR="00205C96" w:rsidRPr="00DE2BE6" w:rsidRDefault="00205C96" w:rsidP="00A65B0E">
      <w:pPr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:rsidR="00205C96" w:rsidRDefault="00205C96" w:rsidP="00A65B0E">
      <w:pPr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:rsidR="00A5136F" w:rsidRDefault="00A5136F" w:rsidP="00A65B0E">
      <w:pPr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:rsidR="00A5136F" w:rsidRDefault="00A5136F" w:rsidP="00A65B0E">
      <w:pPr>
        <w:spacing w:line="288" w:lineRule="auto"/>
        <w:ind w:left="28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1645" w:rsidRPr="00DE2BE6" w:rsidRDefault="00721645" w:rsidP="00A65B0E">
      <w:pPr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:rsidR="00205C96" w:rsidRPr="00DE2BE6" w:rsidRDefault="00205C96" w:rsidP="00A65B0E">
      <w:p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__________________________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  <w:t>________________________</w:t>
      </w:r>
    </w:p>
    <w:p w:rsidR="006938BE" w:rsidRDefault="00205C96" w:rsidP="00A65B0E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 xml:space="preserve">     Ing. Štěpán Forman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964806" w:rsidRPr="009E6CBA">
        <w:rPr>
          <w:rFonts w:ascii="Arial" w:hAnsi="Arial" w:cs="Arial"/>
          <w:sz w:val="22"/>
          <w:szCs w:val="22"/>
        </w:rPr>
        <w:t>Ing. Jaroslav Maroušek, CSc.</w:t>
      </w:r>
    </w:p>
    <w:p w:rsidR="008E6D8F" w:rsidRPr="00A900FA" w:rsidRDefault="00E06CAE" w:rsidP="00A65B0E">
      <w:pPr>
        <w:spacing w:line="288" w:lineRule="auto"/>
        <w:rPr>
          <w:sz w:val="22"/>
          <w:szCs w:val="22"/>
        </w:rPr>
      </w:pPr>
      <w:r w:rsidRPr="000B4CCD">
        <w:rPr>
          <w:rFonts w:ascii="Arial" w:hAnsi="Arial" w:cs="Arial"/>
          <w:sz w:val="22"/>
          <w:szCs w:val="22"/>
        </w:rPr>
        <w:t xml:space="preserve">  </w:t>
      </w:r>
      <w:r w:rsidR="00205C96" w:rsidRPr="00616DA8">
        <w:rPr>
          <w:rFonts w:ascii="Arial" w:hAnsi="Arial" w:cs="Arial"/>
          <w:sz w:val="22"/>
          <w:szCs w:val="22"/>
        </w:rPr>
        <w:tab/>
      </w:r>
      <w:r w:rsidR="00205C96" w:rsidRPr="00616DA8">
        <w:rPr>
          <w:rFonts w:ascii="Arial" w:hAnsi="Arial" w:cs="Arial"/>
          <w:sz w:val="22"/>
          <w:szCs w:val="22"/>
        </w:rPr>
        <w:tab/>
        <w:t xml:space="preserve"> ředitel</w:t>
      </w:r>
      <w:r w:rsidR="00205C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8BE">
        <w:rPr>
          <w:rFonts w:ascii="Arial" w:hAnsi="Arial" w:cs="Arial"/>
          <w:sz w:val="22"/>
          <w:szCs w:val="22"/>
        </w:rPr>
        <w:t xml:space="preserve">   </w:t>
      </w:r>
      <w:r w:rsidR="00964806">
        <w:rPr>
          <w:rFonts w:ascii="Arial" w:hAnsi="Arial" w:cs="Arial"/>
          <w:sz w:val="22"/>
          <w:szCs w:val="22"/>
        </w:rPr>
        <w:tab/>
      </w:r>
      <w:r w:rsidR="006938BE">
        <w:rPr>
          <w:rFonts w:ascii="Arial" w:hAnsi="Arial" w:cs="Arial"/>
          <w:sz w:val="22"/>
          <w:szCs w:val="22"/>
        </w:rPr>
        <w:t xml:space="preserve">     jednatel </w:t>
      </w:r>
    </w:p>
    <w:sectPr w:rsidR="008E6D8F" w:rsidRPr="00A900FA" w:rsidSect="00736D80">
      <w:headerReference w:type="default" r:id="rId8"/>
      <w:footerReference w:type="default" r:id="rId9"/>
      <w:pgSz w:w="11906" w:h="16838"/>
      <w:pgMar w:top="184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A5" w:rsidRDefault="003006A5" w:rsidP="0054389A">
      <w:r>
        <w:separator/>
      </w:r>
    </w:p>
  </w:endnote>
  <w:endnote w:type="continuationSeparator" w:id="0">
    <w:p w:rsidR="003006A5" w:rsidRDefault="003006A5" w:rsidP="0054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0942503"/>
      <w:docPartObj>
        <w:docPartGallery w:val="Page Numbers (Bottom of Page)"/>
        <w:docPartUnique/>
      </w:docPartObj>
    </w:sdtPr>
    <w:sdtEndPr/>
    <w:sdtContent>
      <w:p w:rsidR="00010E0E" w:rsidRPr="00F4010B" w:rsidRDefault="00010E0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05C96">
          <w:rPr>
            <w:rFonts w:ascii="Arial" w:hAnsi="Arial" w:cs="Arial"/>
            <w:sz w:val="20"/>
            <w:szCs w:val="20"/>
          </w:rPr>
          <w:fldChar w:fldCharType="begin"/>
        </w:r>
        <w:r w:rsidRPr="00205C9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5C96">
          <w:rPr>
            <w:rFonts w:ascii="Arial" w:hAnsi="Arial" w:cs="Arial"/>
            <w:sz w:val="20"/>
            <w:szCs w:val="20"/>
          </w:rPr>
          <w:fldChar w:fldCharType="separate"/>
        </w:r>
        <w:r w:rsidR="00A5136F">
          <w:rPr>
            <w:rFonts w:ascii="Arial" w:hAnsi="Arial" w:cs="Arial"/>
            <w:noProof/>
            <w:sz w:val="20"/>
            <w:szCs w:val="20"/>
          </w:rPr>
          <w:t>2</w:t>
        </w:r>
        <w:r w:rsidRPr="00205C9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10E0E" w:rsidRDefault="00010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A5" w:rsidRDefault="003006A5" w:rsidP="0054389A">
      <w:r>
        <w:separator/>
      </w:r>
    </w:p>
  </w:footnote>
  <w:footnote w:type="continuationSeparator" w:id="0">
    <w:p w:rsidR="003006A5" w:rsidRDefault="003006A5" w:rsidP="0054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B5" w:rsidRDefault="005447B5">
    <w:pPr>
      <w:pStyle w:val="Zhlav"/>
    </w:pPr>
    <w:r w:rsidRPr="00FA5765">
      <w:rPr>
        <w:noProof/>
      </w:rPr>
      <w:drawing>
        <wp:anchor distT="0" distB="0" distL="114300" distR="114300" simplePos="0" relativeHeight="251659264" behindDoc="0" locked="0" layoutInCell="1" allowOverlap="1" wp14:anchorId="614C887B" wp14:editId="501CAF2C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2381250" cy="776305"/>
          <wp:effectExtent l="0" t="0" r="0" b="5080"/>
          <wp:wrapSquare wrapText="bothSides"/>
          <wp:docPr id="11" name="Obrázek 11" descr="C:\Users\OHANKO~1\AppData\Local\Temp\7zO0F6062FD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HANKO~1\AppData\Local\Temp\7zO0F6062FD\CZ_RO_C_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7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AFF"/>
    <w:multiLevelType w:val="hybridMultilevel"/>
    <w:tmpl w:val="A0FAF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237"/>
    <w:multiLevelType w:val="hybridMultilevel"/>
    <w:tmpl w:val="6868D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4EB"/>
    <w:multiLevelType w:val="singleLevel"/>
    <w:tmpl w:val="FB8EFB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3" w15:restartNumberingAfterBreak="0">
    <w:nsid w:val="0B21108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B4A51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E034D"/>
    <w:multiLevelType w:val="hybridMultilevel"/>
    <w:tmpl w:val="1EFE8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C2466"/>
    <w:multiLevelType w:val="hybridMultilevel"/>
    <w:tmpl w:val="858EFFE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4F7550"/>
    <w:multiLevelType w:val="hybridMultilevel"/>
    <w:tmpl w:val="ACBC30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896B5F6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3276EC"/>
    <w:multiLevelType w:val="hybridMultilevel"/>
    <w:tmpl w:val="F6407E06"/>
    <w:lvl w:ilvl="0" w:tplc="AE266EB8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F2347"/>
    <w:multiLevelType w:val="singleLevel"/>
    <w:tmpl w:val="E758B01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2" w15:restartNumberingAfterBreak="0">
    <w:nsid w:val="189D65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50206"/>
    <w:multiLevelType w:val="hybridMultilevel"/>
    <w:tmpl w:val="0F9E7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C55B9"/>
    <w:multiLevelType w:val="hybridMultilevel"/>
    <w:tmpl w:val="035EA01E"/>
    <w:lvl w:ilvl="0" w:tplc="C8BA35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53B80"/>
    <w:multiLevelType w:val="hybridMultilevel"/>
    <w:tmpl w:val="B6A6A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2F506B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8" w15:restartNumberingAfterBreak="0">
    <w:nsid w:val="2DAE1CC5"/>
    <w:multiLevelType w:val="hybridMultilevel"/>
    <w:tmpl w:val="ED6AC28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300972F1"/>
    <w:multiLevelType w:val="hybridMultilevel"/>
    <w:tmpl w:val="50CAB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92A71"/>
    <w:multiLevelType w:val="hybridMultilevel"/>
    <w:tmpl w:val="DD9C2ABA"/>
    <w:lvl w:ilvl="0" w:tplc="9C5AB1AA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365236C0"/>
    <w:multiLevelType w:val="hybridMultilevel"/>
    <w:tmpl w:val="235CFA8A"/>
    <w:lvl w:ilvl="0" w:tplc="A9F49F86">
      <w:start w:val="1"/>
      <w:numFmt w:val="ordinal"/>
      <w:lvlText w:val="7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286108"/>
    <w:multiLevelType w:val="hybridMultilevel"/>
    <w:tmpl w:val="05FE33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ED0667"/>
    <w:multiLevelType w:val="hybridMultilevel"/>
    <w:tmpl w:val="801C4856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0C6B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8F757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7" w15:restartNumberingAfterBreak="0">
    <w:nsid w:val="48E41692"/>
    <w:multiLevelType w:val="hybridMultilevel"/>
    <w:tmpl w:val="D4E2A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39147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0" w15:restartNumberingAfterBreak="0">
    <w:nsid w:val="518532ED"/>
    <w:multiLevelType w:val="hybridMultilevel"/>
    <w:tmpl w:val="2B1EA5D6"/>
    <w:lvl w:ilvl="0" w:tplc="898089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844673"/>
    <w:multiLevelType w:val="hybridMultilevel"/>
    <w:tmpl w:val="0F9E7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3030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3" w15:restartNumberingAfterBreak="0">
    <w:nsid w:val="56065F21"/>
    <w:multiLevelType w:val="hybridMultilevel"/>
    <w:tmpl w:val="3632A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D768D"/>
    <w:multiLevelType w:val="hybridMultilevel"/>
    <w:tmpl w:val="CB3C37C0"/>
    <w:lvl w:ilvl="0" w:tplc="040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5A681E70"/>
    <w:multiLevelType w:val="hybridMultilevel"/>
    <w:tmpl w:val="43406A64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5AFC37EE"/>
    <w:multiLevelType w:val="hybridMultilevel"/>
    <w:tmpl w:val="C8C83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14E80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8" w15:restartNumberingAfterBreak="0">
    <w:nsid w:val="65344948"/>
    <w:multiLevelType w:val="hybridMultilevel"/>
    <w:tmpl w:val="0F9E7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B2D8D"/>
    <w:multiLevelType w:val="hybridMultilevel"/>
    <w:tmpl w:val="83061C7E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66E10C3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1" w15:restartNumberingAfterBreak="0">
    <w:nsid w:val="66F172AD"/>
    <w:multiLevelType w:val="multilevel"/>
    <w:tmpl w:val="BABC2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8D804B9"/>
    <w:multiLevelType w:val="hybridMultilevel"/>
    <w:tmpl w:val="0E7AD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F74B8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4" w15:restartNumberingAfterBreak="0">
    <w:nsid w:val="6B8F1BD0"/>
    <w:multiLevelType w:val="hybridMultilevel"/>
    <w:tmpl w:val="AF2231E6"/>
    <w:lvl w:ilvl="0" w:tplc="BACEFB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A1FF3"/>
    <w:multiLevelType w:val="hybridMultilevel"/>
    <w:tmpl w:val="AE523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820A1D64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65916"/>
    <w:multiLevelType w:val="hybridMultilevel"/>
    <w:tmpl w:val="E340A2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FB07E5"/>
    <w:multiLevelType w:val="hybridMultilevel"/>
    <w:tmpl w:val="000E9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83C7F"/>
    <w:multiLevelType w:val="hybridMultilevel"/>
    <w:tmpl w:val="1EFE8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23"/>
  </w:num>
  <w:num w:numId="8">
    <w:abstractNumId w:val="21"/>
  </w:num>
  <w:num w:numId="9">
    <w:abstractNumId w:val="16"/>
  </w:num>
  <w:num w:numId="10">
    <w:abstractNumId w:val="24"/>
  </w:num>
  <w:num w:numId="11">
    <w:abstractNumId w:val="9"/>
  </w:num>
  <w:num w:numId="12">
    <w:abstractNumId w:val="15"/>
  </w:num>
  <w:num w:numId="13">
    <w:abstractNumId w:val="44"/>
  </w:num>
  <w:num w:numId="14">
    <w:abstractNumId w:val="3"/>
  </w:num>
  <w:num w:numId="15">
    <w:abstractNumId w:val="27"/>
  </w:num>
  <w:num w:numId="16">
    <w:abstractNumId w:val="8"/>
  </w:num>
  <w:num w:numId="17">
    <w:abstractNumId w:val="22"/>
  </w:num>
  <w:num w:numId="18">
    <w:abstractNumId w:val="0"/>
  </w:num>
  <w:num w:numId="19">
    <w:abstractNumId w:val="33"/>
  </w:num>
  <w:num w:numId="20">
    <w:abstractNumId w:val="37"/>
  </w:num>
  <w:num w:numId="21">
    <w:abstractNumId w:val="32"/>
  </w:num>
  <w:num w:numId="22">
    <w:abstractNumId w:val="12"/>
  </w:num>
  <w:num w:numId="23">
    <w:abstractNumId w:val="11"/>
  </w:num>
  <w:num w:numId="24">
    <w:abstractNumId w:val="17"/>
  </w:num>
  <w:num w:numId="25">
    <w:abstractNumId w:val="18"/>
  </w:num>
  <w:num w:numId="26">
    <w:abstractNumId w:val="39"/>
  </w:num>
  <w:num w:numId="27">
    <w:abstractNumId w:val="10"/>
  </w:num>
  <w:num w:numId="28">
    <w:abstractNumId w:val="35"/>
  </w:num>
  <w:num w:numId="29">
    <w:abstractNumId w:val="40"/>
  </w:num>
  <w:num w:numId="30">
    <w:abstractNumId w:val="29"/>
  </w:num>
  <w:num w:numId="31">
    <w:abstractNumId w:val="43"/>
  </w:num>
  <w:num w:numId="32">
    <w:abstractNumId w:val="2"/>
  </w:num>
  <w:num w:numId="33">
    <w:abstractNumId w:val="34"/>
  </w:num>
  <w:num w:numId="34">
    <w:abstractNumId w:val="26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45"/>
  </w:num>
  <w:num w:numId="38">
    <w:abstractNumId w:val="30"/>
  </w:num>
  <w:num w:numId="39">
    <w:abstractNumId w:val="38"/>
  </w:num>
  <w:num w:numId="40">
    <w:abstractNumId w:val="31"/>
  </w:num>
  <w:num w:numId="41">
    <w:abstractNumId w:val="13"/>
  </w:num>
  <w:num w:numId="42">
    <w:abstractNumId w:val="1"/>
  </w:num>
  <w:num w:numId="43">
    <w:abstractNumId w:val="48"/>
  </w:num>
  <w:num w:numId="44">
    <w:abstractNumId w:val="42"/>
  </w:num>
  <w:num w:numId="45">
    <w:abstractNumId w:val="47"/>
  </w:num>
  <w:num w:numId="46">
    <w:abstractNumId w:val="19"/>
  </w:num>
  <w:num w:numId="47">
    <w:abstractNumId w:val="7"/>
  </w:num>
  <w:num w:numId="48">
    <w:abstractNumId w:val="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0"/>
    <w:rsid w:val="0000722E"/>
    <w:rsid w:val="00010E0E"/>
    <w:rsid w:val="0002345E"/>
    <w:rsid w:val="00025F12"/>
    <w:rsid w:val="00026934"/>
    <w:rsid w:val="00032376"/>
    <w:rsid w:val="00037CA3"/>
    <w:rsid w:val="00046776"/>
    <w:rsid w:val="00046BC5"/>
    <w:rsid w:val="00047D65"/>
    <w:rsid w:val="00051ECB"/>
    <w:rsid w:val="00055079"/>
    <w:rsid w:val="000571D7"/>
    <w:rsid w:val="00061A40"/>
    <w:rsid w:val="00061DB5"/>
    <w:rsid w:val="00073AC5"/>
    <w:rsid w:val="000763BE"/>
    <w:rsid w:val="00077728"/>
    <w:rsid w:val="000946CB"/>
    <w:rsid w:val="00095ECE"/>
    <w:rsid w:val="000A1A8E"/>
    <w:rsid w:val="000B168E"/>
    <w:rsid w:val="000B4CCD"/>
    <w:rsid w:val="000C0987"/>
    <w:rsid w:val="000C28EA"/>
    <w:rsid w:val="000D11FE"/>
    <w:rsid w:val="000D6852"/>
    <w:rsid w:val="000E1D25"/>
    <w:rsid w:val="000E245D"/>
    <w:rsid w:val="000E2D8B"/>
    <w:rsid w:val="000E46C1"/>
    <w:rsid w:val="000F260B"/>
    <w:rsid w:val="000F2E6C"/>
    <w:rsid w:val="000F4FCB"/>
    <w:rsid w:val="000F6048"/>
    <w:rsid w:val="000F65B0"/>
    <w:rsid w:val="001014AD"/>
    <w:rsid w:val="00113CC7"/>
    <w:rsid w:val="001141C6"/>
    <w:rsid w:val="00114564"/>
    <w:rsid w:val="0012192D"/>
    <w:rsid w:val="00137722"/>
    <w:rsid w:val="00137BF4"/>
    <w:rsid w:val="00153A5A"/>
    <w:rsid w:val="00154937"/>
    <w:rsid w:val="00160A69"/>
    <w:rsid w:val="00163656"/>
    <w:rsid w:val="00163A53"/>
    <w:rsid w:val="00166C08"/>
    <w:rsid w:val="00172D4D"/>
    <w:rsid w:val="00176FDB"/>
    <w:rsid w:val="0018119E"/>
    <w:rsid w:val="001838AE"/>
    <w:rsid w:val="00196A2A"/>
    <w:rsid w:val="001A0548"/>
    <w:rsid w:val="001A1CFD"/>
    <w:rsid w:val="001B1125"/>
    <w:rsid w:val="001B285D"/>
    <w:rsid w:val="001B3C35"/>
    <w:rsid w:val="001B43A2"/>
    <w:rsid w:val="001C3A77"/>
    <w:rsid w:val="001C6CD2"/>
    <w:rsid w:val="001D03F7"/>
    <w:rsid w:val="001D6867"/>
    <w:rsid w:val="001E00AA"/>
    <w:rsid w:val="001E3845"/>
    <w:rsid w:val="001E3D14"/>
    <w:rsid w:val="001E4398"/>
    <w:rsid w:val="001E55BF"/>
    <w:rsid w:val="001F6AF4"/>
    <w:rsid w:val="0020396A"/>
    <w:rsid w:val="002044CE"/>
    <w:rsid w:val="00205C96"/>
    <w:rsid w:val="00213738"/>
    <w:rsid w:val="00231233"/>
    <w:rsid w:val="00231B45"/>
    <w:rsid w:val="00231E13"/>
    <w:rsid w:val="002364E3"/>
    <w:rsid w:val="00245ACB"/>
    <w:rsid w:val="0025676B"/>
    <w:rsid w:val="002667C7"/>
    <w:rsid w:val="00271DEF"/>
    <w:rsid w:val="00281F08"/>
    <w:rsid w:val="0029440E"/>
    <w:rsid w:val="0029753C"/>
    <w:rsid w:val="002A1E52"/>
    <w:rsid w:val="002A62C5"/>
    <w:rsid w:val="002B39F7"/>
    <w:rsid w:val="002B5C8E"/>
    <w:rsid w:val="002C27D7"/>
    <w:rsid w:val="002C3242"/>
    <w:rsid w:val="002C3759"/>
    <w:rsid w:val="002C75B2"/>
    <w:rsid w:val="002D11F7"/>
    <w:rsid w:val="003006A5"/>
    <w:rsid w:val="00300719"/>
    <w:rsid w:val="00302309"/>
    <w:rsid w:val="00304927"/>
    <w:rsid w:val="00306750"/>
    <w:rsid w:val="00310558"/>
    <w:rsid w:val="00320D1F"/>
    <w:rsid w:val="00321E9B"/>
    <w:rsid w:val="003222F3"/>
    <w:rsid w:val="003228E1"/>
    <w:rsid w:val="00327D6B"/>
    <w:rsid w:val="00331013"/>
    <w:rsid w:val="003330E5"/>
    <w:rsid w:val="00335E61"/>
    <w:rsid w:val="00347DF1"/>
    <w:rsid w:val="00351F10"/>
    <w:rsid w:val="003532BF"/>
    <w:rsid w:val="00361802"/>
    <w:rsid w:val="00365678"/>
    <w:rsid w:val="00366A57"/>
    <w:rsid w:val="00366A71"/>
    <w:rsid w:val="00367523"/>
    <w:rsid w:val="00370B87"/>
    <w:rsid w:val="00374159"/>
    <w:rsid w:val="00392B1A"/>
    <w:rsid w:val="003944CF"/>
    <w:rsid w:val="0039520C"/>
    <w:rsid w:val="003A0021"/>
    <w:rsid w:val="003A1012"/>
    <w:rsid w:val="003A2F98"/>
    <w:rsid w:val="003A5D3B"/>
    <w:rsid w:val="003A62EB"/>
    <w:rsid w:val="003C1515"/>
    <w:rsid w:val="003C5135"/>
    <w:rsid w:val="003D07E7"/>
    <w:rsid w:val="003D6439"/>
    <w:rsid w:val="003E0C3D"/>
    <w:rsid w:val="003F24F4"/>
    <w:rsid w:val="0040158F"/>
    <w:rsid w:val="00401990"/>
    <w:rsid w:val="00403582"/>
    <w:rsid w:val="00407B92"/>
    <w:rsid w:val="00414DF8"/>
    <w:rsid w:val="004150CE"/>
    <w:rsid w:val="004166D4"/>
    <w:rsid w:val="00416C48"/>
    <w:rsid w:val="004174EF"/>
    <w:rsid w:val="00420443"/>
    <w:rsid w:val="004357C2"/>
    <w:rsid w:val="00450E98"/>
    <w:rsid w:val="00454211"/>
    <w:rsid w:val="004543AA"/>
    <w:rsid w:val="00457100"/>
    <w:rsid w:val="004610B2"/>
    <w:rsid w:val="00463971"/>
    <w:rsid w:val="00465059"/>
    <w:rsid w:val="0047416E"/>
    <w:rsid w:val="00474CF3"/>
    <w:rsid w:val="00485D00"/>
    <w:rsid w:val="004A00CF"/>
    <w:rsid w:val="004B564D"/>
    <w:rsid w:val="004C2CCF"/>
    <w:rsid w:val="004D0E92"/>
    <w:rsid w:val="004D3313"/>
    <w:rsid w:val="004D5D76"/>
    <w:rsid w:val="004D6532"/>
    <w:rsid w:val="004E38BD"/>
    <w:rsid w:val="004E57C2"/>
    <w:rsid w:val="004E6ED9"/>
    <w:rsid w:val="004F4F23"/>
    <w:rsid w:val="0050556F"/>
    <w:rsid w:val="005147E4"/>
    <w:rsid w:val="00522818"/>
    <w:rsid w:val="00523BAC"/>
    <w:rsid w:val="00534B42"/>
    <w:rsid w:val="00536287"/>
    <w:rsid w:val="0054389A"/>
    <w:rsid w:val="005447B5"/>
    <w:rsid w:val="00551090"/>
    <w:rsid w:val="0055445E"/>
    <w:rsid w:val="00555F4B"/>
    <w:rsid w:val="005616AE"/>
    <w:rsid w:val="00563C65"/>
    <w:rsid w:val="005667F3"/>
    <w:rsid w:val="0056737F"/>
    <w:rsid w:val="00571B72"/>
    <w:rsid w:val="00572B60"/>
    <w:rsid w:val="005761D9"/>
    <w:rsid w:val="0057710C"/>
    <w:rsid w:val="00581B88"/>
    <w:rsid w:val="005838EF"/>
    <w:rsid w:val="00584401"/>
    <w:rsid w:val="00587860"/>
    <w:rsid w:val="005A2AE0"/>
    <w:rsid w:val="005A2C9D"/>
    <w:rsid w:val="005A616B"/>
    <w:rsid w:val="005B3034"/>
    <w:rsid w:val="005C18BC"/>
    <w:rsid w:val="005C5DD1"/>
    <w:rsid w:val="005D0F25"/>
    <w:rsid w:val="005D380A"/>
    <w:rsid w:val="005E26F7"/>
    <w:rsid w:val="005F351A"/>
    <w:rsid w:val="00601DBD"/>
    <w:rsid w:val="006042E2"/>
    <w:rsid w:val="00610287"/>
    <w:rsid w:val="00610CD6"/>
    <w:rsid w:val="0062061D"/>
    <w:rsid w:val="00625591"/>
    <w:rsid w:val="00626F5F"/>
    <w:rsid w:val="00627512"/>
    <w:rsid w:val="0062751E"/>
    <w:rsid w:val="0063197C"/>
    <w:rsid w:val="00636DC4"/>
    <w:rsid w:val="0064316A"/>
    <w:rsid w:val="00645059"/>
    <w:rsid w:val="0064683F"/>
    <w:rsid w:val="0064759D"/>
    <w:rsid w:val="0065198E"/>
    <w:rsid w:val="00655968"/>
    <w:rsid w:val="00663F5C"/>
    <w:rsid w:val="00665475"/>
    <w:rsid w:val="00670F13"/>
    <w:rsid w:val="00673BCC"/>
    <w:rsid w:val="00680F90"/>
    <w:rsid w:val="00682B51"/>
    <w:rsid w:val="0068422B"/>
    <w:rsid w:val="006869E5"/>
    <w:rsid w:val="006926B4"/>
    <w:rsid w:val="00692DA5"/>
    <w:rsid w:val="006938BE"/>
    <w:rsid w:val="00695D23"/>
    <w:rsid w:val="006A458A"/>
    <w:rsid w:val="006B12A9"/>
    <w:rsid w:val="006B229F"/>
    <w:rsid w:val="006B3984"/>
    <w:rsid w:val="006C43F6"/>
    <w:rsid w:val="006D250B"/>
    <w:rsid w:val="006D27C1"/>
    <w:rsid w:val="006D32B3"/>
    <w:rsid w:val="006D3C54"/>
    <w:rsid w:val="006D56C5"/>
    <w:rsid w:val="006D7BFB"/>
    <w:rsid w:val="006D7E33"/>
    <w:rsid w:val="006E782B"/>
    <w:rsid w:val="006F6527"/>
    <w:rsid w:val="00700382"/>
    <w:rsid w:val="00702CAC"/>
    <w:rsid w:val="0070473E"/>
    <w:rsid w:val="00704A2F"/>
    <w:rsid w:val="00704E78"/>
    <w:rsid w:val="00705EFC"/>
    <w:rsid w:val="00710240"/>
    <w:rsid w:val="00710495"/>
    <w:rsid w:val="00716B64"/>
    <w:rsid w:val="00721645"/>
    <w:rsid w:val="00726B20"/>
    <w:rsid w:val="00731698"/>
    <w:rsid w:val="00731828"/>
    <w:rsid w:val="00733852"/>
    <w:rsid w:val="00736D80"/>
    <w:rsid w:val="00744081"/>
    <w:rsid w:val="007468AA"/>
    <w:rsid w:val="00750F29"/>
    <w:rsid w:val="007519EB"/>
    <w:rsid w:val="007559B5"/>
    <w:rsid w:val="0076647B"/>
    <w:rsid w:val="00773D3E"/>
    <w:rsid w:val="00777F2E"/>
    <w:rsid w:val="00780F53"/>
    <w:rsid w:val="00785002"/>
    <w:rsid w:val="0078750B"/>
    <w:rsid w:val="00790599"/>
    <w:rsid w:val="00795007"/>
    <w:rsid w:val="007A415A"/>
    <w:rsid w:val="007A5C88"/>
    <w:rsid w:val="007A5D3C"/>
    <w:rsid w:val="007A740A"/>
    <w:rsid w:val="007B09C7"/>
    <w:rsid w:val="007B6184"/>
    <w:rsid w:val="007B6C6D"/>
    <w:rsid w:val="007C2528"/>
    <w:rsid w:val="007C25F6"/>
    <w:rsid w:val="007C3551"/>
    <w:rsid w:val="007C57E9"/>
    <w:rsid w:val="007D2BAF"/>
    <w:rsid w:val="007D7468"/>
    <w:rsid w:val="007F3D50"/>
    <w:rsid w:val="00801F29"/>
    <w:rsid w:val="00806DE0"/>
    <w:rsid w:val="008074D7"/>
    <w:rsid w:val="00812EFE"/>
    <w:rsid w:val="008139FD"/>
    <w:rsid w:val="00815D28"/>
    <w:rsid w:val="00816488"/>
    <w:rsid w:val="00823DCF"/>
    <w:rsid w:val="008374B5"/>
    <w:rsid w:val="00840C71"/>
    <w:rsid w:val="0084155E"/>
    <w:rsid w:val="00843941"/>
    <w:rsid w:val="00843AF1"/>
    <w:rsid w:val="0084673B"/>
    <w:rsid w:val="00856922"/>
    <w:rsid w:val="00861480"/>
    <w:rsid w:val="008622A4"/>
    <w:rsid w:val="00871F68"/>
    <w:rsid w:val="00875E30"/>
    <w:rsid w:val="0088211F"/>
    <w:rsid w:val="00882A6D"/>
    <w:rsid w:val="00887396"/>
    <w:rsid w:val="00894CC4"/>
    <w:rsid w:val="0089579F"/>
    <w:rsid w:val="00896487"/>
    <w:rsid w:val="008973CC"/>
    <w:rsid w:val="00897F28"/>
    <w:rsid w:val="008B30A8"/>
    <w:rsid w:val="008C0DDD"/>
    <w:rsid w:val="008D0F9E"/>
    <w:rsid w:val="008E6D8F"/>
    <w:rsid w:val="008F3B7D"/>
    <w:rsid w:val="009003E0"/>
    <w:rsid w:val="0090524D"/>
    <w:rsid w:val="00905C65"/>
    <w:rsid w:val="00907FF2"/>
    <w:rsid w:val="00910829"/>
    <w:rsid w:val="009171FF"/>
    <w:rsid w:val="009178AE"/>
    <w:rsid w:val="00921A18"/>
    <w:rsid w:val="00922B05"/>
    <w:rsid w:val="00923F6A"/>
    <w:rsid w:val="00925CD6"/>
    <w:rsid w:val="00927219"/>
    <w:rsid w:val="00927452"/>
    <w:rsid w:val="00932845"/>
    <w:rsid w:val="00940E18"/>
    <w:rsid w:val="00945155"/>
    <w:rsid w:val="009509ED"/>
    <w:rsid w:val="0095166F"/>
    <w:rsid w:val="0095196E"/>
    <w:rsid w:val="009552C1"/>
    <w:rsid w:val="00960BAF"/>
    <w:rsid w:val="0096119A"/>
    <w:rsid w:val="00961FD2"/>
    <w:rsid w:val="00964806"/>
    <w:rsid w:val="00965351"/>
    <w:rsid w:val="00972079"/>
    <w:rsid w:val="00980E7A"/>
    <w:rsid w:val="009903ED"/>
    <w:rsid w:val="0099209C"/>
    <w:rsid w:val="00993DC5"/>
    <w:rsid w:val="00994FE8"/>
    <w:rsid w:val="00995F06"/>
    <w:rsid w:val="009A05E8"/>
    <w:rsid w:val="009A5325"/>
    <w:rsid w:val="009B208F"/>
    <w:rsid w:val="009B46DA"/>
    <w:rsid w:val="009B5C60"/>
    <w:rsid w:val="009D0E03"/>
    <w:rsid w:val="009D0F90"/>
    <w:rsid w:val="009D6188"/>
    <w:rsid w:val="009D6709"/>
    <w:rsid w:val="009E58CC"/>
    <w:rsid w:val="009E67B6"/>
    <w:rsid w:val="009E6CBA"/>
    <w:rsid w:val="00A10B09"/>
    <w:rsid w:val="00A2007F"/>
    <w:rsid w:val="00A32BA8"/>
    <w:rsid w:val="00A47156"/>
    <w:rsid w:val="00A5136F"/>
    <w:rsid w:val="00A61C73"/>
    <w:rsid w:val="00A62D0A"/>
    <w:rsid w:val="00A65B0E"/>
    <w:rsid w:val="00A666DA"/>
    <w:rsid w:val="00A73B04"/>
    <w:rsid w:val="00A814AC"/>
    <w:rsid w:val="00A82880"/>
    <w:rsid w:val="00A86CC0"/>
    <w:rsid w:val="00A900FA"/>
    <w:rsid w:val="00A9299C"/>
    <w:rsid w:val="00AA262C"/>
    <w:rsid w:val="00AB03C1"/>
    <w:rsid w:val="00AB36D0"/>
    <w:rsid w:val="00AB42D4"/>
    <w:rsid w:val="00AB6BFE"/>
    <w:rsid w:val="00AB7F1C"/>
    <w:rsid w:val="00AC3D19"/>
    <w:rsid w:val="00AE1908"/>
    <w:rsid w:val="00AE1C20"/>
    <w:rsid w:val="00AE3F7D"/>
    <w:rsid w:val="00AE53FB"/>
    <w:rsid w:val="00B00781"/>
    <w:rsid w:val="00B04A45"/>
    <w:rsid w:val="00B04F62"/>
    <w:rsid w:val="00B05AEF"/>
    <w:rsid w:val="00B11AC7"/>
    <w:rsid w:val="00B12D9A"/>
    <w:rsid w:val="00B14399"/>
    <w:rsid w:val="00B16152"/>
    <w:rsid w:val="00B172F3"/>
    <w:rsid w:val="00B20676"/>
    <w:rsid w:val="00B23C7C"/>
    <w:rsid w:val="00B26149"/>
    <w:rsid w:val="00B27A93"/>
    <w:rsid w:val="00B30F04"/>
    <w:rsid w:val="00B31F79"/>
    <w:rsid w:val="00B345FE"/>
    <w:rsid w:val="00B354DC"/>
    <w:rsid w:val="00B427CE"/>
    <w:rsid w:val="00B52E7C"/>
    <w:rsid w:val="00B60806"/>
    <w:rsid w:val="00B62306"/>
    <w:rsid w:val="00B634A8"/>
    <w:rsid w:val="00B6616D"/>
    <w:rsid w:val="00B762E1"/>
    <w:rsid w:val="00B80995"/>
    <w:rsid w:val="00B821E9"/>
    <w:rsid w:val="00B86352"/>
    <w:rsid w:val="00B96FDC"/>
    <w:rsid w:val="00BA1BEC"/>
    <w:rsid w:val="00BB068C"/>
    <w:rsid w:val="00BB33ED"/>
    <w:rsid w:val="00BC174A"/>
    <w:rsid w:val="00BC72B6"/>
    <w:rsid w:val="00BD1D66"/>
    <w:rsid w:val="00BE186B"/>
    <w:rsid w:val="00BE276F"/>
    <w:rsid w:val="00BF4C38"/>
    <w:rsid w:val="00C03DF8"/>
    <w:rsid w:val="00C11FE3"/>
    <w:rsid w:val="00C13C10"/>
    <w:rsid w:val="00C31720"/>
    <w:rsid w:val="00C36AC2"/>
    <w:rsid w:val="00C416F4"/>
    <w:rsid w:val="00C418B3"/>
    <w:rsid w:val="00C5186B"/>
    <w:rsid w:val="00C57016"/>
    <w:rsid w:val="00C5767C"/>
    <w:rsid w:val="00C61D4F"/>
    <w:rsid w:val="00C64676"/>
    <w:rsid w:val="00C665A7"/>
    <w:rsid w:val="00C71295"/>
    <w:rsid w:val="00C84A26"/>
    <w:rsid w:val="00C86949"/>
    <w:rsid w:val="00C87BC3"/>
    <w:rsid w:val="00C933D9"/>
    <w:rsid w:val="00C93FDB"/>
    <w:rsid w:val="00C94A72"/>
    <w:rsid w:val="00CA0E23"/>
    <w:rsid w:val="00CA379C"/>
    <w:rsid w:val="00CB117F"/>
    <w:rsid w:val="00CB12A5"/>
    <w:rsid w:val="00CB1890"/>
    <w:rsid w:val="00CB5D5E"/>
    <w:rsid w:val="00CC0839"/>
    <w:rsid w:val="00CC65EC"/>
    <w:rsid w:val="00CD29DA"/>
    <w:rsid w:val="00CD4900"/>
    <w:rsid w:val="00CE6D66"/>
    <w:rsid w:val="00CF4CA9"/>
    <w:rsid w:val="00D019F9"/>
    <w:rsid w:val="00D0296A"/>
    <w:rsid w:val="00D04A3C"/>
    <w:rsid w:val="00D06E39"/>
    <w:rsid w:val="00D12C45"/>
    <w:rsid w:val="00D36A40"/>
    <w:rsid w:val="00D36DA7"/>
    <w:rsid w:val="00D4606C"/>
    <w:rsid w:val="00D52A90"/>
    <w:rsid w:val="00D55564"/>
    <w:rsid w:val="00D56B32"/>
    <w:rsid w:val="00D64574"/>
    <w:rsid w:val="00D8264E"/>
    <w:rsid w:val="00D83D21"/>
    <w:rsid w:val="00D87798"/>
    <w:rsid w:val="00D87C1C"/>
    <w:rsid w:val="00D9094F"/>
    <w:rsid w:val="00DA6069"/>
    <w:rsid w:val="00DB7C6E"/>
    <w:rsid w:val="00DC3C9E"/>
    <w:rsid w:val="00DC4265"/>
    <w:rsid w:val="00DC6E7E"/>
    <w:rsid w:val="00DD1294"/>
    <w:rsid w:val="00DE5E9C"/>
    <w:rsid w:val="00DE624F"/>
    <w:rsid w:val="00DF35B6"/>
    <w:rsid w:val="00E00E27"/>
    <w:rsid w:val="00E02520"/>
    <w:rsid w:val="00E058E4"/>
    <w:rsid w:val="00E05998"/>
    <w:rsid w:val="00E0633A"/>
    <w:rsid w:val="00E06CAE"/>
    <w:rsid w:val="00E137EB"/>
    <w:rsid w:val="00E14014"/>
    <w:rsid w:val="00E230B8"/>
    <w:rsid w:val="00E32290"/>
    <w:rsid w:val="00E358C0"/>
    <w:rsid w:val="00E42BA8"/>
    <w:rsid w:val="00E47501"/>
    <w:rsid w:val="00E4778E"/>
    <w:rsid w:val="00E60553"/>
    <w:rsid w:val="00E85D45"/>
    <w:rsid w:val="00EB14E3"/>
    <w:rsid w:val="00EC099C"/>
    <w:rsid w:val="00EC5E73"/>
    <w:rsid w:val="00EC7092"/>
    <w:rsid w:val="00ED12B0"/>
    <w:rsid w:val="00ED17C8"/>
    <w:rsid w:val="00ED6B92"/>
    <w:rsid w:val="00ED78B5"/>
    <w:rsid w:val="00EE2206"/>
    <w:rsid w:val="00EE2CD6"/>
    <w:rsid w:val="00EE32CB"/>
    <w:rsid w:val="00EE7484"/>
    <w:rsid w:val="00EF0699"/>
    <w:rsid w:val="00EF0ACB"/>
    <w:rsid w:val="00EF5FD5"/>
    <w:rsid w:val="00EF726E"/>
    <w:rsid w:val="00F01D7C"/>
    <w:rsid w:val="00F03839"/>
    <w:rsid w:val="00F05AE5"/>
    <w:rsid w:val="00F06B47"/>
    <w:rsid w:val="00F10D5E"/>
    <w:rsid w:val="00F1247E"/>
    <w:rsid w:val="00F163F4"/>
    <w:rsid w:val="00F164A3"/>
    <w:rsid w:val="00F22339"/>
    <w:rsid w:val="00F264FC"/>
    <w:rsid w:val="00F3106F"/>
    <w:rsid w:val="00F321F8"/>
    <w:rsid w:val="00F338A9"/>
    <w:rsid w:val="00F352F5"/>
    <w:rsid w:val="00F4010B"/>
    <w:rsid w:val="00F4228D"/>
    <w:rsid w:val="00F45BF8"/>
    <w:rsid w:val="00F47670"/>
    <w:rsid w:val="00F53F6E"/>
    <w:rsid w:val="00F576F9"/>
    <w:rsid w:val="00F60207"/>
    <w:rsid w:val="00F604C7"/>
    <w:rsid w:val="00F70615"/>
    <w:rsid w:val="00F70E40"/>
    <w:rsid w:val="00F83536"/>
    <w:rsid w:val="00F844D9"/>
    <w:rsid w:val="00F933D1"/>
    <w:rsid w:val="00F93433"/>
    <w:rsid w:val="00FA5216"/>
    <w:rsid w:val="00FB3594"/>
    <w:rsid w:val="00FB7656"/>
    <w:rsid w:val="00FE2B54"/>
    <w:rsid w:val="00FE2F63"/>
    <w:rsid w:val="00FE451E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9AF834"/>
  <w15:docId w15:val="{33F95608-E03A-409F-816C-BBA62185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51E"/>
    <w:rPr>
      <w:sz w:val="24"/>
      <w:szCs w:val="24"/>
    </w:rPr>
  </w:style>
  <w:style w:type="paragraph" w:styleId="Nadpis1">
    <w:name w:val="heading 1"/>
    <w:basedOn w:val="Normln"/>
    <w:next w:val="Normln"/>
    <w:qFormat/>
    <w:rsid w:val="006275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6275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957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57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164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6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16488"/>
  </w:style>
  <w:style w:type="paragraph" w:styleId="Pedmtkomente">
    <w:name w:val="annotation subject"/>
    <w:basedOn w:val="Textkomente"/>
    <w:next w:val="Textkomente"/>
    <w:link w:val="PedmtkomenteChar"/>
    <w:rsid w:val="008164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16488"/>
    <w:rPr>
      <w:b/>
      <w:bCs/>
    </w:rPr>
  </w:style>
  <w:style w:type="paragraph" w:styleId="Textvysvtlivek">
    <w:name w:val="endnote text"/>
    <w:basedOn w:val="Normln"/>
    <w:link w:val="TextvysvtlivekChar"/>
    <w:rsid w:val="005438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4389A"/>
  </w:style>
  <w:style w:type="character" w:styleId="Odkaznavysvtlivky">
    <w:name w:val="endnote reference"/>
    <w:basedOn w:val="Standardnpsmoodstavce"/>
    <w:rsid w:val="0054389A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046776"/>
    <w:pPr>
      <w:ind w:left="360" w:hanging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046776"/>
    <w:rPr>
      <w:sz w:val="24"/>
      <w:szCs w:val="24"/>
    </w:rPr>
  </w:style>
  <w:style w:type="paragraph" w:styleId="Zkladntext2">
    <w:name w:val="Body Text 2"/>
    <w:basedOn w:val="Normln"/>
    <w:link w:val="Zkladntext2Char"/>
    <w:rsid w:val="00046776"/>
    <w:pPr>
      <w:jc w:val="center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046776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046776"/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46776"/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046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677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46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776"/>
    <w:rPr>
      <w:sz w:val="24"/>
      <w:szCs w:val="24"/>
    </w:rPr>
  </w:style>
  <w:style w:type="paragraph" w:customStyle="1" w:styleId="Odstavecseseznamem1">
    <w:name w:val="Odstavec se seznamem1"/>
    <w:basedOn w:val="Normln"/>
    <w:rsid w:val="00061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206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2061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07B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1F6A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B39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D686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6867"/>
    <w:rPr>
      <w:color w:val="800080"/>
      <w:u w:val="single"/>
    </w:rPr>
  </w:style>
  <w:style w:type="paragraph" w:customStyle="1" w:styleId="msonormal0">
    <w:name w:val="msonormal"/>
    <w:basedOn w:val="Normln"/>
    <w:rsid w:val="001D6867"/>
    <w:pPr>
      <w:spacing w:before="100" w:beforeAutospacing="1" w:after="100" w:afterAutospacing="1"/>
    </w:pPr>
  </w:style>
  <w:style w:type="paragraph" w:customStyle="1" w:styleId="xl66">
    <w:name w:val="xl66"/>
    <w:basedOn w:val="Normln"/>
    <w:rsid w:val="001D6867"/>
    <w:pPr>
      <w:pBdr>
        <w:top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1D6867"/>
    <w:pPr>
      <w:pBdr>
        <w:top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ln"/>
    <w:rsid w:val="001D6867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1D6867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ln"/>
    <w:rsid w:val="001D6867"/>
    <w:pPr>
      <w:spacing w:before="100" w:beforeAutospacing="1" w:after="100" w:afterAutospacing="1"/>
    </w:pPr>
    <w:rPr>
      <w:rFonts w:ascii="Arial CE" w:hAnsi="Arial CE"/>
    </w:rPr>
  </w:style>
  <w:style w:type="paragraph" w:customStyle="1" w:styleId="xl71">
    <w:name w:val="xl71"/>
    <w:basedOn w:val="Normln"/>
    <w:rsid w:val="001D686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ln"/>
    <w:rsid w:val="001D6867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ln"/>
    <w:rsid w:val="001D6867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74">
    <w:name w:val="xl74"/>
    <w:basedOn w:val="Normln"/>
    <w:rsid w:val="001D6867"/>
    <w:pPr>
      <w:spacing w:before="100" w:beforeAutospacing="1" w:after="100" w:afterAutospacing="1"/>
      <w:jc w:val="right"/>
    </w:pPr>
    <w:rPr>
      <w:rFonts w:ascii="Arial" w:hAnsi="Arial" w:cs="Arial"/>
      <w:u w:val="single"/>
    </w:rPr>
  </w:style>
  <w:style w:type="paragraph" w:customStyle="1" w:styleId="xl75">
    <w:name w:val="xl75"/>
    <w:basedOn w:val="Normln"/>
    <w:rsid w:val="001D6867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1D6867"/>
    <w:pPr>
      <w:pBdr>
        <w:top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"/>
    <w:rsid w:val="001D686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Normln"/>
    <w:rsid w:val="001D686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1D686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0">
    <w:name w:val="xl80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1D68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1D68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ln"/>
    <w:rsid w:val="001D68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ln"/>
    <w:rsid w:val="001D6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Normln"/>
    <w:rsid w:val="001D6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1D6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7">
    <w:name w:val="xl97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8">
    <w:name w:val="xl98"/>
    <w:basedOn w:val="Normln"/>
    <w:rsid w:val="001D686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9">
    <w:name w:val="xl99"/>
    <w:basedOn w:val="Normln"/>
    <w:rsid w:val="001D686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0">
    <w:name w:val="xl100"/>
    <w:basedOn w:val="Normln"/>
    <w:rsid w:val="001D68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1">
    <w:name w:val="xl101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ln"/>
    <w:rsid w:val="001D6867"/>
    <w:pP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03">
    <w:name w:val="xl103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ln"/>
    <w:rsid w:val="001D686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Normln"/>
    <w:rsid w:val="001D6867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Normln"/>
    <w:rsid w:val="001D686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Normln"/>
    <w:rsid w:val="001D6867"/>
    <w:pPr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108">
    <w:name w:val="xl108"/>
    <w:basedOn w:val="Normln"/>
    <w:rsid w:val="001D686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1D6867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0">
    <w:name w:val="xl110"/>
    <w:basedOn w:val="Normln"/>
    <w:rsid w:val="001D686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Normln"/>
    <w:rsid w:val="001D686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table" w:styleId="Mkatabulky">
    <w:name w:val="Table Grid"/>
    <w:basedOn w:val="Normlntabulka"/>
    <w:rsid w:val="0073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38F7-1991-48A2-A19D-9A71C0CE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kupní smlouva</vt:lpstr>
    </vt:vector>
  </TitlesOfParts>
  <Company>GLOBAL SERVIS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kupní smlouva</dc:title>
  <dc:creator>Lukáš Marvan</dc:creator>
  <cp:lastModifiedBy>Ludvík Jakub</cp:lastModifiedBy>
  <cp:revision>28</cp:revision>
  <cp:lastPrinted>2020-12-04T12:56:00Z</cp:lastPrinted>
  <dcterms:created xsi:type="dcterms:W3CDTF">2021-09-17T11:49:00Z</dcterms:created>
  <dcterms:modified xsi:type="dcterms:W3CDTF">2022-08-15T07:26:00Z</dcterms:modified>
</cp:coreProperties>
</file>