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107EB7A1"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 xml:space="preserve">práce v budově </w:t>
      </w:r>
      <w:r w:rsidR="006614BE">
        <w:rPr>
          <w:rFonts w:ascii="Arial" w:hAnsi="Arial" w:cs="Arial"/>
          <w:sz w:val="20"/>
          <w:szCs w:val="20"/>
        </w:rPr>
        <w:t>Zimního stadionu</w:t>
      </w:r>
      <w:r w:rsidR="008C2303">
        <w:rPr>
          <w:rFonts w:ascii="Arial" w:hAnsi="Arial" w:cs="Arial"/>
          <w:sz w:val="20"/>
          <w:szCs w:val="20"/>
        </w:rPr>
        <w:t xml:space="preserve"> (strojovna ZS</w:t>
      </w:r>
      <w:r w:rsidR="00AF721E">
        <w:rPr>
          <w:rFonts w:ascii="Arial" w:hAnsi="Arial" w:cs="Arial"/>
          <w:sz w:val="20"/>
          <w:szCs w:val="20"/>
        </w:rPr>
        <w:t>)</w:t>
      </w:r>
      <w:r w:rsidR="004B6769">
        <w:rPr>
          <w:rFonts w:ascii="Arial" w:hAnsi="Arial" w:cs="Arial"/>
          <w:sz w:val="20"/>
          <w:szCs w:val="20"/>
        </w:rPr>
        <w:t>:</w:t>
      </w:r>
    </w:p>
    <w:p w14:paraId="7B0C8DEA" w14:textId="38B9C862" w:rsidR="008C2303" w:rsidRDefault="008C2303" w:rsidP="00B72A3C">
      <w:pPr>
        <w:pStyle w:val="Default"/>
        <w:numPr>
          <w:ilvl w:val="0"/>
          <w:numId w:val="4"/>
        </w:numPr>
        <w:jc w:val="both"/>
        <w:rPr>
          <w:rFonts w:ascii="Arial" w:hAnsi="Arial" w:cs="Arial"/>
          <w:b/>
          <w:bCs/>
          <w:sz w:val="20"/>
          <w:szCs w:val="20"/>
        </w:rPr>
      </w:pPr>
      <w:r>
        <w:rPr>
          <w:rFonts w:ascii="Arial" w:hAnsi="Arial" w:cs="Arial"/>
          <w:b/>
          <w:bCs/>
          <w:sz w:val="20"/>
          <w:szCs w:val="20"/>
        </w:rPr>
        <w:t xml:space="preserve">Havarijní oprava řídící jednotky (2ks) </w:t>
      </w:r>
      <w:proofErr w:type="spellStart"/>
      <w:r>
        <w:rPr>
          <w:rFonts w:ascii="Arial" w:hAnsi="Arial" w:cs="Arial"/>
          <w:b/>
          <w:bCs/>
          <w:sz w:val="20"/>
          <w:szCs w:val="20"/>
        </w:rPr>
        <w:t>Monitron</w:t>
      </w:r>
      <w:proofErr w:type="spellEnd"/>
      <w:r>
        <w:rPr>
          <w:rFonts w:ascii="Arial" w:hAnsi="Arial" w:cs="Arial"/>
          <w:b/>
          <w:bCs/>
          <w:sz w:val="20"/>
          <w:szCs w:val="20"/>
        </w:rPr>
        <w:t xml:space="preserve"> výměnným způsobem za systém RSC – kompresory GEA RC412.</w:t>
      </w:r>
    </w:p>
    <w:p w14:paraId="34BF6DE2" w14:textId="5CBB0265" w:rsidR="008C2303" w:rsidRDefault="008C2303" w:rsidP="00B72A3C">
      <w:pPr>
        <w:pStyle w:val="Default"/>
        <w:numPr>
          <w:ilvl w:val="0"/>
          <w:numId w:val="4"/>
        </w:numPr>
        <w:jc w:val="both"/>
        <w:rPr>
          <w:rFonts w:ascii="Arial" w:hAnsi="Arial" w:cs="Arial"/>
          <w:b/>
          <w:bCs/>
          <w:sz w:val="20"/>
          <w:szCs w:val="20"/>
        </w:rPr>
      </w:pPr>
      <w:r>
        <w:rPr>
          <w:rFonts w:ascii="Arial" w:hAnsi="Arial" w:cs="Arial"/>
          <w:b/>
          <w:bCs/>
          <w:sz w:val="20"/>
          <w:szCs w:val="20"/>
        </w:rPr>
        <w:t>Práce obsahují výměnu řídících jednotek (2ks) RSC (včetně PLC a ovládacího panelu), kdy součástí výměny je demontáž současných nefunkčních řídících jednotek, montáž nových ŘJ, odzkoušení, zaškolení v českém jazyce.</w:t>
      </w:r>
    </w:p>
    <w:p w14:paraId="5694014C" w14:textId="77777777" w:rsidR="00116C1B" w:rsidRDefault="00116C1B" w:rsidP="00626D02">
      <w:pPr>
        <w:pStyle w:val="Zkladntext21"/>
        <w:tabs>
          <w:tab w:val="left" w:pos="0"/>
        </w:tabs>
        <w:jc w:val="both"/>
        <w:rPr>
          <w:rFonts w:ascii="Arial" w:hAnsi="Arial" w:cs="Arial"/>
        </w:rPr>
      </w:pPr>
    </w:p>
    <w:p w14:paraId="75352D70" w14:textId="3C4A6245"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5CE40049"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2AB28F48"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8C2303">
        <w:rPr>
          <w:rFonts w:ascii="Arial" w:hAnsi="Arial" w:cs="Arial"/>
          <w:color w:val="000000"/>
        </w:rPr>
        <w:t>1</w:t>
      </w:r>
      <w:r w:rsidR="0094462D">
        <w:rPr>
          <w:rFonts w:ascii="Arial" w:hAnsi="Arial" w:cs="Arial"/>
          <w:color w:val="000000"/>
        </w:rPr>
        <w:t>9</w:t>
      </w:r>
      <w:r w:rsidRPr="002A2EEC">
        <w:rPr>
          <w:rFonts w:ascii="Arial" w:hAnsi="Arial" w:cs="Arial"/>
          <w:color w:val="000000"/>
        </w:rPr>
        <w:t>.</w:t>
      </w:r>
      <w:r w:rsidR="008C2303">
        <w:rPr>
          <w:rFonts w:ascii="Arial" w:hAnsi="Arial" w:cs="Arial"/>
          <w:color w:val="000000"/>
        </w:rPr>
        <w:t>10</w:t>
      </w:r>
      <w:r w:rsidRPr="002A2EEC">
        <w:rPr>
          <w:rFonts w:ascii="Arial" w:hAnsi="Arial" w:cs="Arial"/>
          <w:color w:val="000000"/>
        </w:rPr>
        <w:t>.202</w:t>
      </w:r>
      <w:r w:rsidR="00CC222D">
        <w:rPr>
          <w:rFonts w:ascii="Arial" w:hAnsi="Arial" w:cs="Arial"/>
          <w:color w:val="000000"/>
        </w:rPr>
        <w:t>2</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2F43498A"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8C2303">
        <w:rPr>
          <w:rFonts w:ascii="Arial" w:hAnsi="Arial" w:cs="Arial"/>
          <w:b/>
          <w:sz w:val="20"/>
        </w:rPr>
        <w:t>396 200</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4EDBE274" w14:textId="77777777" w:rsidR="00295F94" w:rsidRPr="00AE52F6" w:rsidRDefault="00295F94" w:rsidP="00295F9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Pr="007C10BA">
        <w:rPr>
          <w:rFonts w:ascii="Arial" w:hAnsi="Arial" w:cs="Arial"/>
          <w:color w:val="000000"/>
          <w:sz w:val="20"/>
        </w:rPr>
        <w:t xml:space="preserve">Provedené práce budou zhotovitelem fakturovány po jejich řádném dokončení, </w:t>
      </w:r>
      <w:r w:rsidRPr="00DD642F">
        <w:rPr>
          <w:rFonts w:ascii="Arial" w:hAnsi="Arial" w:cs="Arial"/>
          <w:color w:val="000000"/>
          <w:sz w:val="20"/>
        </w:rPr>
        <w:t xml:space="preserve">a to na základě </w:t>
      </w:r>
      <w:r>
        <w:rPr>
          <w:rFonts w:ascii="Arial" w:hAnsi="Arial" w:cs="Arial"/>
          <w:color w:val="000000"/>
          <w:sz w:val="20"/>
        </w:rPr>
        <w:t xml:space="preserve">souhlasu </w:t>
      </w:r>
      <w:r w:rsidRPr="00DD642F">
        <w:rPr>
          <w:rFonts w:ascii="Arial" w:hAnsi="Arial" w:cs="Arial"/>
          <w:color w:val="000000"/>
          <w:sz w:val="20"/>
        </w:rPr>
        <w:t>objednatel</w:t>
      </w:r>
      <w:r>
        <w:rPr>
          <w:rFonts w:ascii="Arial" w:hAnsi="Arial" w:cs="Arial"/>
          <w:color w:val="000000"/>
          <w:sz w:val="20"/>
        </w:rPr>
        <w:t>e – předávací protokol</w:t>
      </w:r>
      <w:r w:rsidRPr="00DD642F">
        <w:rPr>
          <w:rFonts w:ascii="Arial" w:hAnsi="Arial" w:cs="Arial"/>
          <w:color w:val="000000"/>
          <w:sz w:val="20"/>
        </w:rPr>
        <w:t>.</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3F9CA89"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295F94">
        <w:rPr>
          <w:rFonts w:ascii="Arial" w:hAnsi="Arial" w:cs="Arial"/>
        </w:rPr>
        <w:t>24</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6014870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Pr>
          <w:rFonts w:ascii="Arial" w:hAnsi="Arial" w:cs="Arial"/>
          <w:color w:val="000000"/>
          <w:sz w:val="20"/>
        </w:rPr>
        <w:t>1.0</w:t>
      </w:r>
      <w:r w:rsidR="00C63327">
        <w:rPr>
          <w:rFonts w:ascii="Arial" w:hAnsi="Arial" w:cs="Arial"/>
          <w:color w:val="000000"/>
          <w:sz w:val="20"/>
        </w:rPr>
        <w:t>0</w:t>
      </w:r>
      <w:r w:rsidRPr="00A34A5C">
        <w:rPr>
          <w:rFonts w:ascii="Arial" w:hAnsi="Arial" w:cs="Arial"/>
          <w:color w:val="000000"/>
          <w:sz w:val="20"/>
        </w:rPr>
        <w:t>0</w:t>
      </w:r>
      <w:r w:rsidR="00295F94">
        <w:rPr>
          <w:rFonts w:ascii="Arial" w:hAnsi="Arial" w:cs="Arial"/>
          <w:color w:val="000000"/>
          <w:sz w:val="20"/>
        </w:rPr>
        <w:t>,-</w:t>
      </w:r>
      <w:proofErr w:type="gramEnd"/>
      <w:r w:rsidRPr="00A34A5C">
        <w:rPr>
          <w:rFonts w:ascii="Arial" w:hAnsi="Arial" w:cs="Arial"/>
          <w:color w:val="000000"/>
          <w:sz w:val="20"/>
        </w:rPr>
        <w:t xml:space="preserve"> Kč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Pr>
          <w:rFonts w:ascii="Arial" w:hAnsi="Arial" w:cs="Arial"/>
          <w:color w:val="000000"/>
          <w:sz w:val="20"/>
        </w:rPr>
        <w:t>3</w:t>
      </w:r>
      <w:r w:rsidR="00DD642F">
        <w:rPr>
          <w:rFonts w:ascii="Arial" w:hAnsi="Arial" w:cs="Arial"/>
          <w:color w:val="000000"/>
          <w:sz w:val="20"/>
        </w:rPr>
        <w:t>0</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3B2AD1F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Pr>
          <w:rFonts w:ascii="Arial" w:hAnsi="Arial" w:cs="Arial"/>
          <w:color w:val="000000"/>
          <w:sz w:val="20"/>
        </w:rPr>
        <w:t>1</w:t>
      </w:r>
      <w:r>
        <w:rPr>
          <w:rFonts w:ascii="Arial" w:hAnsi="Arial" w:cs="Arial"/>
          <w:color w:val="000000"/>
          <w:sz w:val="20"/>
        </w:rPr>
        <w:t>.0</w:t>
      </w:r>
      <w:r w:rsidRPr="00A34A5C">
        <w:rPr>
          <w:rFonts w:ascii="Arial" w:hAnsi="Arial" w:cs="Arial"/>
          <w:color w:val="000000"/>
          <w:sz w:val="20"/>
        </w:rPr>
        <w:t>00,-</w:t>
      </w:r>
      <w:proofErr w:type="gramEnd"/>
      <w:r w:rsidRPr="00A34A5C">
        <w:rPr>
          <w:rFonts w:ascii="Arial" w:hAnsi="Arial" w:cs="Arial"/>
          <w:color w:val="000000"/>
          <w:sz w:val="20"/>
        </w:rPr>
        <w:t xml:space="preserve">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34C4C301"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295F94">
        <w:rPr>
          <w:rFonts w:ascii="Arial" w:hAnsi="Arial" w:cs="Arial"/>
          <w:color w:val="000000"/>
          <w:sz w:val="20"/>
        </w:rPr>
        <w:t>07</w:t>
      </w:r>
      <w:r w:rsidR="00B02484">
        <w:rPr>
          <w:rFonts w:ascii="Arial" w:hAnsi="Arial" w:cs="Arial"/>
          <w:color w:val="000000"/>
          <w:sz w:val="20"/>
        </w:rPr>
        <w:t>.</w:t>
      </w:r>
      <w:r w:rsidR="00DD642F">
        <w:rPr>
          <w:rFonts w:ascii="Arial" w:hAnsi="Arial" w:cs="Arial"/>
          <w:color w:val="000000"/>
          <w:sz w:val="20"/>
        </w:rPr>
        <w:t>0</w:t>
      </w:r>
      <w:r w:rsidR="00295F94">
        <w:rPr>
          <w:rFonts w:ascii="Arial" w:hAnsi="Arial" w:cs="Arial"/>
          <w:color w:val="000000"/>
          <w:sz w:val="20"/>
        </w:rPr>
        <w:t>9</w:t>
      </w:r>
      <w:r w:rsidR="00B02484">
        <w:rPr>
          <w:rFonts w:ascii="Arial" w:hAnsi="Arial" w:cs="Arial"/>
          <w:color w:val="000000"/>
          <w:sz w:val="20"/>
        </w:rPr>
        <w:t>.202</w:t>
      </w:r>
      <w:r w:rsidR="00CC222D">
        <w:rPr>
          <w:rFonts w:ascii="Arial" w:hAnsi="Arial" w:cs="Arial"/>
          <w:color w:val="000000"/>
          <w:sz w:val="20"/>
        </w:rPr>
        <w:t>2</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76390565"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 xml:space="preserve">Cenová </w:t>
      </w:r>
      <w:proofErr w:type="gramStart"/>
      <w:r w:rsidR="00925AD6">
        <w:rPr>
          <w:rFonts w:ascii="Arial" w:hAnsi="Arial" w:cs="Arial"/>
          <w:color w:val="000000"/>
          <w:sz w:val="20"/>
        </w:rPr>
        <w:t>nabídka -Tip</w:t>
      </w:r>
      <w:proofErr w:type="gramEnd"/>
      <w:r w:rsidR="00925AD6">
        <w:rPr>
          <w:rFonts w:ascii="Arial" w:hAnsi="Arial" w:cs="Arial"/>
          <w:color w:val="000000"/>
          <w:sz w:val="20"/>
        </w:rPr>
        <w:t>-Ex s.r.o.</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302D4288"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94462D">
        <w:rPr>
          <w:rFonts w:ascii="Arial" w:hAnsi="Arial" w:cs="Arial"/>
          <w:color w:val="000000"/>
          <w:sz w:val="20"/>
        </w:rPr>
        <w:t>14</w:t>
      </w:r>
      <w:r>
        <w:rPr>
          <w:rFonts w:ascii="Arial" w:hAnsi="Arial" w:cs="Arial"/>
          <w:color w:val="000000"/>
          <w:sz w:val="20"/>
        </w:rPr>
        <w:t>.</w:t>
      </w:r>
      <w:r w:rsidR="00C63327">
        <w:rPr>
          <w:rFonts w:ascii="Arial" w:hAnsi="Arial" w:cs="Arial"/>
          <w:color w:val="000000"/>
          <w:sz w:val="20"/>
        </w:rPr>
        <w:t>0</w:t>
      </w:r>
      <w:r w:rsidR="00295F94">
        <w:rPr>
          <w:rFonts w:ascii="Arial" w:hAnsi="Arial" w:cs="Arial"/>
          <w:color w:val="000000"/>
          <w:sz w:val="20"/>
        </w:rPr>
        <w:t>9</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94462D">
        <w:rPr>
          <w:rFonts w:ascii="Arial" w:hAnsi="Arial" w:cs="Arial"/>
          <w:color w:val="000000"/>
          <w:sz w:val="20"/>
        </w:rPr>
        <w:t>14</w:t>
      </w:r>
      <w:r>
        <w:rPr>
          <w:rFonts w:ascii="Arial" w:hAnsi="Arial" w:cs="Arial"/>
          <w:color w:val="000000"/>
          <w:sz w:val="20"/>
        </w:rPr>
        <w:t>.</w:t>
      </w:r>
      <w:r w:rsidR="00C63327">
        <w:rPr>
          <w:rFonts w:ascii="Arial" w:hAnsi="Arial" w:cs="Arial"/>
          <w:color w:val="000000"/>
          <w:sz w:val="20"/>
        </w:rPr>
        <w:t>0</w:t>
      </w:r>
      <w:r w:rsidR="00295F94">
        <w:rPr>
          <w:rFonts w:ascii="Arial" w:hAnsi="Arial" w:cs="Arial"/>
          <w:color w:val="000000"/>
          <w:sz w:val="20"/>
        </w:rPr>
        <w:t>9</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BD19" w14:textId="77777777" w:rsidR="00B05941" w:rsidRDefault="00B05941" w:rsidP="00116C1B">
      <w:r>
        <w:separator/>
      </w:r>
    </w:p>
  </w:endnote>
  <w:endnote w:type="continuationSeparator" w:id="0">
    <w:p w14:paraId="66452899" w14:textId="77777777" w:rsidR="00B05941" w:rsidRDefault="00B05941"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B0CA" w14:textId="77777777" w:rsidR="00B05941" w:rsidRDefault="00B05941" w:rsidP="00116C1B">
      <w:r>
        <w:separator/>
      </w:r>
    </w:p>
  </w:footnote>
  <w:footnote w:type="continuationSeparator" w:id="0">
    <w:p w14:paraId="1D0486D9" w14:textId="77777777" w:rsidR="00B05941" w:rsidRDefault="00B05941"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3"/>
  </w:num>
  <w:num w:numId="3" w16cid:durableId="288322076">
    <w:abstractNumId w:val="1"/>
  </w:num>
  <w:num w:numId="4" w16cid:durableId="6268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669CF"/>
    <w:rsid w:val="00267DE5"/>
    <w:rsid w:val="00295F94"/>
    <w:rsid w:val="002A2EEC"/>
    <w:rsid w:val="003A5CBD"/>
    <w:rsid w:val="003F56E9"/>
    <w:rsid w:val="004B6769"/>
    <w:rsid w:val="005F3649"/>
    <w:rsid w:val="00626D02"/>
    <w:rsid w:val="006614BE"/>
    <w:rsid w:val="006D1D91"/>
    <w:rsid w:val="00781F11"/>
    <w:rsid w:val="007A140C"/>
    <w:rsid w:val="008413E1"/>
    <w:rsid w:val="008C2303"/>
    <w:rsid w:val="00925AD6"/>
    <w:rsid w:val="0094462D"/>
    <w:rsid w:val="0098083E"/>
    <w:rsid w:val="00994801"/>
    <w:rsid w:val="00A71935"/>
    <w:rsid w:val="00A910B1"/>
    <w:rsid w:val="00AF721E"/>
    <w:rsid w:val="00B02484"/>
    <w:rsid w:val="00B05941"/>
    <w:rsid w:val="00B6041A"/>
    <w:rsid w:val="00B700A2"/>
    <w:rsid w:val="00B72A3C"/>
    <w:rsid w:val="00BE32E1"/>
    <w:rsid w:val="00C12BC9"/>
    <w:rsid w:val="00C56873"/>
    <w:rsid w:val="00C63327"/>
    <w:rsid w:val="00CC222D"/>
    <w:rsid w:val="00CC6695"/>
    <w:rsid w:val="00D932D2"/>
    <w:rsid w:val="00DD32E3"/>
    <w:rsid w:val="00DD4F9C"/>
    <w:rsid w:val="00DD642F"/>
    <w:rsid w:val="00DE6A1D"/>
    <w:rsid w:val="00E346C6"/>
    <w:rsid w:val="00F5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2377</Words>
  <Characters>14026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4</cp:revision>
  <cp:lastPrinted>2022-09-09T11:40:00Z</cp:lastPrinted>
  <dcterms:created xsi:type="dcterms:W3CDTF">2022-09-05T12:55:00Z</dcterms:created>
  <dcterms:modified xsi:type="dcterms:W3CDTF">2022-09-09T11:40:00Z</dcterms:modified>
</cp:coreProperties>
</file>