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19710" distL="114300" distR="114300" simplePos="0" relativeHeight="125829378" behindDoc="0" locked="0" layoutInCell="1" allowOverlap="1">
            <wp:simplePos x="0" y="0"/>
            <wp:positionH relativeFrom="page">
              <wp:posOffset>5600065</wp:posOffset>
            </wp:positionH>
            <wp:positionV relativeFrom="paragraph">
              <wp:posOffset>12700</wp:posOffset>
            </wp:positionV>
            <wp:extent cx="1499870" cy="48768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9870" cy="4876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549275</wp:posOffset>
                </wp:positionV>
                <wp:extent cx="597535" cy="17081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2022006296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8.25pt;margin-top:43.25pt;width:47.050000000000004pt;height:13.4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2022006296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5"/>
        </w:rPr>
        <w:t>RÁMCOVÁ KUPNÍ SMLOUVA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2080" w:right="0" w:hanging="1320"/>
        <w:jc w:val="left"/>
      </w:pPr>
      <w:r>
        <w:rPr>
          <w:rStyle w:val="CharStyle10"/>
          <w:sz w:val="20"/>
          <w:szCs w:val="20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741"/>
        <w:gridCol w:w="6374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 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8"/>
                <w:shd w:val="clear" w:color="auto" w:fill="000000"/>
              </w:rPr>
              <w:t>..</w:t>
            </w:r>
            <w:r>
              <w:rPr>
                <w:rStyle w:val="CharStyle17"/>
                <w:spacing w:val="9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"/>
                <w:shd w:val="clear" w:color="auto" w:fill="000000"/>
              </w:rPr>
              <w:t>...</w:t>
            </w:r>
            <w:r>
              <w:rPr>
                <w:rStyle w:val="CharStyle17"/>
                <w:spacing w:val="2"/>
                <w:shd w:val="clear" w:color="auto" w:fill="000000"/>
              </w:rPr>
              <w:t>............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17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17"/>
                <w:color w:val="609CD7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17"/>
              </w:rPr>
              <w:t>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0"/>
          <w:szCs w:val="20"/>
        </w:rPr>
      </w:pPr>
      <w:r>
        <w:rPr>
          <w:rStyle w:val="CharStyle13"/>
          <w:sz w:val="20"/>
          <w:szCs w:val="20"/>
        </w:rPr>
        <w:t xml:space="preserve">(dále jen </w:t>
      </w:r>
      <w:r>
        <w:rPr>
          <w:rStyle w:val="CharStyle13"/>
          <w:b/>
          <w:bCs/>
          <w:i/>
          <w:iCs/>
          <w:sz w:val="20"/>
          <w:szCs w:val="20"/>
        </w:rPr>
        <w:t>„kupující“)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1"/>
        <w:gridCol w:w="6370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GPD a.s.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Předmostí 1860/6, 405 02 Děčín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Bc.Michal Babička a Jaroslav Bartoš, předseda a člen představenstva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1"/>
                <w:shd w:val="clear" w:color="auto" w:fill="000000"/>
              </w:rPr>
              <w:t>...............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</w:t>
            </w:r>
            <w:r>
              <w:rPr>
                <w:rStyle w:val="CharStyle17"/>
                <w:spacing w:val="3"/>
                <w:shd w:val="clear" w:color="auto" w:fill="000000"/>
              </w:rPr>
              <w:t>............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25031881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CZ25031881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oddíl B, vložka 1625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Česká spořitelna, 921201309/0800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20"/>
          <w:szCs w:val="20"/>
        </w:rPr>
      </w:pPr>
      <w:r>
        <w:rPr>
          <w:rStyle w:val="CharStyle13"/>
          <w:sz w:val="20"/>
          <w:szCs w:val="20"/>
        </w:rPr>
        <w:t xml:space="preserve">(dále jen </w:t>
      </w:r>
      <w:r>
        <w:rPr>
          <w:rStyle w:val="CharStyle13"/>
          <w:b/>
          <w:bCs/>
          <w:i/>
          <w:iCs/>
          <w:sz w:val="20"/>
          <w:szCs w:val="20"/>
        </w:rPr>
        <w:t>„prodávající</w:t>
      </w:r>
    </w:p>
    <w:p>
      <w:pPr>
        <w:widowControl w:val="0"/>
        <w:spacing w:after="47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 xml:space="preserve">Prodávající je oprávněn na základě svého vlastnického práva nakládat se zbožím v podobě </w:t>
      </w:r>
      <w:r>
        <w:rPr>
          <w:rStyle w:val="CharStyle10"/>
          <w:b/>
          <w:bCs/>
        </w:rPr>
        <w:t xml:space="preserve">nových zimních pneumatik. </w:t>
      </w:r>
      <w:r>
        <w:rPr>
          <w:rStyle w:val="CharStyle10"/>
        </w:rPr>
        <w:t>Bližší specifikace tohoto zboží je uvedena v příloze č. 1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Prodávající se zavazuje dodávat zboží podle čl. 1 této smlouvy kupujícímu, a převádět na Jihomoravský kraj, jako jeho zřizovatele, vlastnické právo k tomuto zboží, a to ve lhůtě podle čl. 4 této smlouvy a ve specifikaci a rozsahu dle jednotlivých dílčích kupních smluv. Dílčí kupní smlouva se přitom považuje za uzavřenou doručením jednotlivé objednávky kupujícího v písemné nebo elektronické formě, a to ve znění, daném objednávkou a touto kupní smlouvou.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0"/>
        </w:rPr>
        <w:t>Součástí závazku prodávajícího podle čl. 2 této smlouvy je jeho povinnost ke zpětnému bezplatnému odběru použitého zboží podle čl. 1 této smlouvy za účelem zajištění jeho ekologické likvidace podle ustanovení § 38 zákona č. 185/2001 Sb. o odpadech a o změně některých dalších zákonů, ve znění pozdějších předpisů, a to v rozsahu dle potřeby objednatele. Prodávající se přitom zavazuje vystavit o tomto zpětném odběru kupujícímu na jeho žádost písemné potvrzení.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 xml:space="preserve">Prodávající se zavazuje dodávat zboží podle čl. 1 této smlouvy ve lhůtě </w:t>
      </w:r>
      <w:r>
        <w:rPr>
          <w:rStyle w:val="CharStyle10"/>
          <w:b/>
          <w:bCs/>
        </w:rPr>
        <w:t xml:space="preserve">do 5-ti dnů </w:t>
      </w:r>
      <w:r>
        <w:rPr>
          <w:rStyle w:val="CharStyle10"/>
        </w:rPr>
        <w:t>od doručení objednávky podle čl. 2 a 3 této smlouvy. Místem plnění se rozumí autodílna ZZS, Křižíkova 15, 612 00 Brno.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60"/>
        <w:ind w:left="400" w:right="0" w:hanging="400"/>
        <w:jc w:val="both"/>
      </w:pPr>
      <w:r>
        <w:rPr>
          <w:rStyle w:val="CharStyle10"/>
        </w:rPr>
        <w:t>Závazek prodávajícího k dodávce zboží podle čl. 1 této smlouvy se považuje v každém jednotlivém případě za splněný předáním a převzetím příslušného zboží formou písemného předávacího protokolu, podepsaného oběma stranami. Tímto splněním závazku také přechází z prodávajícího na kupujícího nebezpečí škody na převáděném zboží a na zřizovatele kupujícího vlastnické právo k tomuto zboží.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0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1 této smlouvy, která je nedílnou součástí této smlouvy. Součástí těchto cen jsou veškeré náklady prodávajícího na splnění jeho závazku k dodání zboží podle této smlouvy. Výše uvedené ceny se prodávající zavazuje garantovat po dobu podle čl. 14 této smlouvy. Změna ceny je možná pouze v případě změny zákonné sazby DPH.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0"/>
        </w:rPr>
        <w:t>Nebude-li mezi oběma stranami v jednotlivém případě dohodnuto jinak, je kupní cena podle čl. 6 této smlouvy splatná po splnění závazku prodávajícího k dodávce zboží způsobem podle čl. 5 této smlouvy, a to ve lhůtě do 30 dnů ode dne doručení jejího písemného vyúčtování (faktury/daňového dokladu). Faktura bude doručena elektronicky na email:</w:t>
      </w:r>
      <w:r>
        <w:rPr>
          <w:rStyle w:val="CharStyle10"/>
          <w:shd w:val="clear" w:color="auto" w:fill="000000"/>
        </w:rPr>
        <w:t>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10"/>
          <w:color w:val="609CD7"/>
          <w:u w:val="single"/>
          <w:lang w:val="en-US" w:eastAsia="en-US" w:bidi="en-US"/>
        </w:rPr>
        <w:t xml:space="preserve"> 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27"/>
          <w:shd w:val="clear" w:color="auto" w:fill="000000"/>
        </w:rPr>
        <w:t>.</w:t>
      </w:r>
      <w:r>
        <w:rPr>
          <w:rStyle w:val="CharStyle10"/>
          <w:spacing w:val="28"/>
          <w:shd w:val="clear" w:color="auto" w:fill="000000"/>
        </w:rPr>
        <w:t>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10"/>
          <w:shd w:val="clear" w:color="auto" w:fill="000000"/>
          <w:lang w:val="en-US" w:eastAsia="en-US" w:bidi="en-US"/>
        </w:rPr>
        <w:t>.</w:t>
      </w:r>
      <w:r>
        <w:rPr>
          <w:rStyle w:val="CharStyle10"/>
          <w:color w:val="609CD7"/>
          <w:lang w:val="en-US" w:eastAsia="en-US" w:bidi="en-US"/>
        </w:rPr>
        <w:t xml:space="preserve"> </w:t>
      </w:r>
      <w:r>
        <w:rPr>
          <w:rStyle w:val="CharStyle10"/>
        </w:rPr>
        <w:t xml:space="preserve">Na faktuře musí být mimo jiné vždy uvedeno toto číslo veřejné zakázky, ke které se faktura vztahuje: </w:t>
      </w:r>
      <w:r>
        <w:rPr>
          <w:rStyle w:val="CharStyle10"/>
          <w:b/>
          <w:bCs/>
        </w:rPr>
        <w:t xml:space="preserve">P22V00003078. </w:t>
      </w:r>
      <w:r>
        <w:rPr>
          <w:rStyle w:val="CharStyle10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69" w:lineRule="auto"/>
        <w:ind w:left="400" w:right="0" w:hanging="400"/>
        <w:jc w:val="both"/>
      </w:pPr>
      <w:r>
        <w:rPr>
          <w:rStyle w:val="CharStyle10"/>
        </w:rPr>
        <w:t>S převodem zboží podle čl. 1 této smlouvy je spojena záruka za jeho jakost v trvání 24 měsíců od převzetí zboží kupujícím. V rámci této záruky za jakost se prodávající zavazuje vyřizovat jednotlivé reklamace kupujícího vždy nejpozději do 3 dnů od jejího doručení.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0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69" w:lineRule="auto"/>
        <w:ind w:left="400" w:right="0" w:hanging="400"/>
        <w:jc w:val="both"/>
      </w:pPr>
      <w:r>
        <w:rPr>
          <w:rStyle w:val="CharStyle10"/>
        </w:rPr>
        <w:t>Pro případ prodlení se splněním jeho závazku k dodání zboží ve lhůtě podle čl. 4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 případ prodlení se splněním závazku prodávajícího k dodání zboží ve lhůtě podle čl. 4 této smlouvy o více než dva týdny nebo pro případ výskytu neodstranitelné vady resp. výskytu tří a více vad, a to i postupně, je kupující oprávněn odstoupit od této smlouvy i od příslušné dílčí kupní smlouvy s účinky extunc.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 případ prodlení kupujícího se zaplacením kupní ceny nebo její části ve lhůtě podle čl. 7 této smlouvy o více než 2 týdny, je prodávající oprávněn od této smlouvy odstoupit s účinky extunc.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0"/>
        </w:rPr>
        <w:t>Není-li touto smlouvou ujednáno jinak, řídí se vzájemný právní vztah mezi kupujícím a prodávajícím při realizaci této smlouvy ust. § 2079 a násl. zákona č. 89/2012 Sb.,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10"/>
        </w:rPr>
        <w:t xml:space="preserve">Tato smlouva se uzavírá na dobu určitou do </w:t>
      </w:r>
      <w:r>
        <w:rPr>
          <w:rStyle w:val="CharStyle10"/>
          <w:b/>
          <w:bCs/>
        </w:rPr>
        <w:t>31. 03. 2023.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560" w:right="0" w:hanging="560"/>
        <w:jc w:val="left"/>
      </w:pPr>
      <w:r>
        <w:rPr>
          <w:rStyle w:val="CharStyle10"/>
        </w:rPr>
        <w:t>Tuto smlouvu lze změnit nebo zrušit pouze jinou písemnou dohodou obou smluvních stran mající formu číslovaného dodatků k této smlouvě.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left"/>
      </w:pPr>
      <w:r>
        <w:rPr>
          <w:rStyle w:val="CharStyle10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left"/>
      </w:pPr>
      <w:r>
        <w:rPr>
          <w:rStyle w:val="CharStyle10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10"/>
        </w:rPr>
        <w:t>Tato smlouva nabývá účinnosti dnem jejího uveřejnění v registru smluv dle čl. 18.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 w:line="276" w:lineRule="auto"/>
        <w:ind w:left="400" w:right="0" w:hanging="40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481" w:right="1430" w:bottom="956" w:left="1340" w:header="1053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152400" distB="0" distL="114300" distR="114300" simplePos="0" relativeHeight="125829379" behindDoc="0" locked="0" layoutInCell="1" allowOverlap="1">
            <wp:simplePos x="0" y="0"/>
            <wp:positionH relativeFrom="page">
              <wp:posOffset>1550670</wp:posOffset>
            </wp:positionH>
            <wp:positionV relativeFrom="margin">
              <wp:posOffset>2956560</wp:posOffset>
            </wp:positionV>
            <wp:extent cx="1212850" cy="2679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21285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550545</wp:posOffset>
            </wp:positionH>
            <wp:positionV relativeFrom="margin">
              <wp:posOffset>3020695</wp:posOffset>
            </wp:positionV>
            <wp:extent cx="2127250" cy="134112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127250" cy="1341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3153410</wp:posOffset>
            </wp:positionH>
            <wp:positionV relativeFrom="margin">
              <wp:posOffset>2865120</wp:posOffset>
            </wp:positionV>
            <wp:extent cx="2602865" cy="149987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602865" cy="14998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0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6" w:right="0" w:bottom="611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12700</wp:posOffset>
                </wp:positionV>
                <wp:extent cx="1432560" cy="50609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7.599999999999994pt;margin-top:1.pt;width:112.8pt;height:3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MUDr. Hana Albrechtová ředitelka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40" w:line="276" w:lineRule="auto"/>
        <w:ind w:left="2760" w:right="0" w:firstLine="0"/>
        <w:jc w:val="left"/>
      </w:pPr>
      <w:r>
        <w:rPr>
          <w:rStyle w:val="CharStyle10"/>
        </w:rPr>
        <w:t xml:space="preserve">Bc. Michal Babička a Jaroslav Bartoš Předseda a člen představenstva </w:t>
      </w:r>
      <w:r>
        <w:rPr>
          <w:rStyle w:val="CharStyle10"/>
          <w:b/>
          <w:bCs/>
          <w:i/>
          <w:iCs/>
        </w:rPr>
        <w:t>Prodávající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 xml:space="preserve">Příloha č. 1 </w:t>
      </w:r>
      <w:r>
        <w:rPr>
          <w:rStyle w:val="CharStyle10"/>
        </w:rPr>
        <w:t>Seznam zboží, ceník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0"/>
          <w:i/>
          <w:iCs/>
          <w:sz w:val="19"/>
          <w:szCs w:val="19"/>
        </w:rPr>
        <w:t>Příloha č. 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3"/>
          <w:b/>
          <w:bCs/>
          <w:sz w:val="20"/>
          <w:szCs w:val="20"/>
        </w:rPr>
        <w:t>Seznam zboží, ceník</w:t>
      </w:r>
    </w:p>
    <w:tbl>
      <w:tblPr>
        <w:tblOverlap w:val="never"/>
        <w:jc w:val="center"/>
        <w:tblLayout w:type="fixed"/>
      </w:tblPr>
      <w:tblGrid>
        <w:gridCol w:w="1699"/>
        <w:gridCol w:w="2410"/>
        <w:gridCol w:w="1560"/>
        <w:gridCol w:w="1843"/>
        <w:gridCol w:w="2002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Rozměr,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Značka,výrobce pneumatiky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Hmotnostní a rychlostní limit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Cena za 1 ks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Cena za 1 ks v Kč vč. DPH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235/65 R16C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Hankook RW12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121/R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3 045,00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3 684,45 Kč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205/55 R16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Kumho WP52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94/V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1 515,00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1 833,15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205/55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Michelin Alpin 6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95/V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3 300,00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3 993,00 Kč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215/55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Uniroyal WinterExpert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98/V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2 475,00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2 994,75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225/40 ZR18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Michelin PilotAlpin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92W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3 070,00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3 714,70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225/55 R17 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Nokian Snowproof 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109/107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4 225,00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5 112,25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215/60 R17C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Barum SnoVanis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2 925,00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3 539,25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265/60 R18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Bridgestone LM005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114H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3 540,00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4 283,40 Kč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205/75 R16C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Hankook RW12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110/108R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1 990,00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2 407,90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205/50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Michelin Alpin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93/V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2 915,00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3 527,15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10R22.5 M840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Bridgestone M840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144/142K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9 650,00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sz w:val="20"/>
                <w:szCs w:val="20"/>
              </w:rPr>
              <w:t>11 676,50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215/65 R17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Bridgestone LM005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103/H 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2 790,00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3 375,90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195/65 R15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Kumho WP52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91 /H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1 020,00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1 234,20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255/55 R19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Hankook W 330A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111/V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7"/>
                <w:sz w:val="20"/>
                <w:szCs w:val="20"/>
              </w:rPr>
              <w:t>3 720,00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7"/>
                <w:sz w:val="20"/>
                <w:szCs w:val="20"/>
              </w:rPr>
              <w:t>4 501,20 Kč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Style w:val="CharStyle13"/>
          <w:b/>
          <w:bCs/>
          <w:i/>
          <w:iCs/>
          <w:sz w:val="20"/>
          <w:szCs w:val="20"/>
        </w:rPr>
        <w:t xml:space="preserve">Poznámka: </w:t>
      </w:r>
      <w:r>
        <w:rPr>
          <w:rStyle w:val="CharStyle13"/>
          <w:i/>
          <w:iCs/>
        </w:rPr>
        <w:t>Jedná se o nové pneumatiky, ne protektory. Roky výroby dodávaných pneumatik: max.</w:t>
      </w:r>
      <w:r>
        <w:rPr>
          <w:rStyle w:val="CharStyle13"/>
          <w:sz w:val="20"/>
          <w:szCs w:val="20"/>
        </w:rPr>
        <w:t xml:space="preserve"> 2 </w:t>
      </w:r>
      <w:r>
        <w:rPr>
          <w:rStyle w:val="CharStyle13"/>
          <w:i/>
          <w:iCs/>
        </w:rPr>
        <w:t>roky od objednání.</w:t>
      </w:r>
    </w:p>
    <w:p>
      <w:pPr>
        <w:widowControl w:val="0"/>
        <w:spacing w:after="81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273935" cy="76200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273935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10"/>
        </w:rPr>
        <w:t>Bc. Michal Babička a Jaroslav Bartoš Předseda a člen představenstva Prodávající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66" w:right="1014" w:bottom="6116" w:left="1348" w:header="43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10270490</wp:posOffset>
              </wp:positionV>
              <wp:extent cx="188976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8976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color w:val="8D99A0"/>
                              <w:sz w:val="19"/>
                              <w:szCs w:val="19"/>
                            </w:rPr>
                            <w:t>VZ 21-22 Zimní pneumatiky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8.950000000000003pt;margin-top:808.70000000000005pt;width:148.80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color w:val="8D99A0"/>
                        <w:sz w:val="19"/>
                        <w:szCs w:val="19"/>
                      </w:rPr>
                      <w:t>VZ 21-22 Zimní pneumatiky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28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2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2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/Relationships>
</file>