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17" w:rsidRDefault="00DF7917" w:rsidP="00DF7917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>Rámcová příkazní smlouva</w:t>
      </w:r>
    </w:p>
    <w:p w:rsidR="00DF7917" w:rsidRDefault="00DF7917" w:rsidP="00DF791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k provedení služeb</w:t>
      </w:r>
    </w:p>
    <w:p w:rsidR="00DF7917" w:rsidRDefault="00DF7917" w:rsidP="00DF791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434DF" w:rsidRDefault="003434DF" w:rsidP="00DF7917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Právní služby pro </w:t>
      </w:r>
      <w:r>
        <w:rPr>
          <w:rFonts w:ascii="Arial" w:hAnsi="Arial" w:cs="Arial"/>
          <w:b/>
          <w:sz w:val="28"/>
          <w:szCs w:val="28"/>
          <w:lang w:val="cs-CZ"/>
        </w:rPr>
        <w:t>administraci veřejných zakázek IROP</w:t>
      </w:r>
    </w:p>
    <w:p w:rsidR="00DF7917" w:rsidRDefault="003434DF" w:rsidP="00DF7917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2"/>
          <w:lang w:val="cs-CZ"/>
        </w:rPr>
        <w:t xml:space="preserve">– </w:t>
      </w:r>
      <w:r>
        <w:rPr>
          <w:rFonts w:ascii="Arial" w:hAnsi="Arial" w:cs="Arial"/>
          <w:b/>
          <w:sz w:val="28"/>
          <w:szCs w:val="28"/>
          <w:lang w:val="cs-CZ"/>
        </w:rPr>
        <w:t xml:space="preserve">ČÁST III – </w:t>
      </w:r>
      <w:r>
        <w:rPr>
          <w:rFonts w:ascii="Arial" w:hAnsi="Arial" w:cs="Arial"/>
          <w:b/>
          <w:sz w:val="28"/>
          <w:szCs w:val="28"/>
          <w:lang w:val="cs-CZ"/>
        </w:rPr>
        <w:br/>
        <w:t>Provozně nízkonákladový depozitář NZM v Čáslavi</w:t>
      </w:r>
    </w:p>
    <w:p w:rsidR="00DF7917" w:rsidRDefault="00DF7917" w:rsidP="00DF7917">
      <w:pPr>
        <w:pStyle w:val="Zkladntext"/>
        <w:spacing w:line="276" w:lineRule="auto"/>
        <w:jc w:val="both"/>
        <w:rPr>
          <w:rFonts w:ascii="Arial" w:hAnsi="Arial" w:cs="Arial"/>
          <w:szCs w:val="22"/>
        </w:rPr>
      </w:pPr>
    </w:p>
    <w:p w:rsidR="00DF7917" w:rsidRDefault="00DF7917" w:rsidP="00DF7917">
      <w:pPr>
        <w:pStyle w:val="Zkladntext"/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uzavřená níže </w:t>
      </w:r>
      <w:r w:rsidR="003434DF">
        <w:rPr>
          <w:rFonts w:ascii="Arial" w:hAnsi="Arial" w:cs="Arial"/>
          <w:szCs w:val="22"/>
        </w:rPr>
        <w:t>uvedeného</w:t>
      </w:r>
      <w:r>
        <w:rPr>
          <w:rFonts w:ascii="Arial" w:hAnsi="Arial" w:cs="Arial"/>
          <w:szCs w:val="22"/>
        </w:rPr>
        <w:t xml:space="preserve"> dne měsíce a roku podle § 1746 odst. 2 a § 2430 a násl. zákona č. 89/2012 Sb., občanský zákoník, v platném znění (dále jen „</w:t>
      </w:r>
      <w:r>
        <w:rPr>
          <w:rFonts w:ascii="Arial" w:hAnsi="Arial" w:cs="Arial"/>
          <w:b/>
          <w:szCs w:val="22"/>
        </w:rPr>
        <w:t>občanský zákoník</w:t>
      </w:r>
      <w:r>
        <w:rPr>
          <w:rFonts w:ascii="Arial" w:hAnsi="Arial" w:cs="Arial"/>
          <w:szCs w:val="22"/>
        </w:rPr>
        <w:t>“), mezi smluvními stranami:</w:t>
      </w: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Národní zemědělské muzeum, s.p.o.</w:t>
      </w:r>
    </w:p>
    <w:p w:rsidR="002B5A0A" w:rsidRPr="002B5A0A" w:rsidRDefault="002B5A0A" w:rsidP="00DF791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státní příspěvková organizace</w:t>
      </w:r>
    </w:p>
    <w:p w:rsidR="00DF7917" w:rsidRDefault="00DF7917" w:rsidP="00DF7917">
      <w:pPr>
        <w:pStyle w:val="Zkladntext"/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Sídlo: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Kostelní 1300/44, 170 00 Praha 7</w:t>
      </w:r>
    </w:p>
    <w:p w:rsidR="00DF7917" w:rsidRDefault="00DF7917" w:rsidP="00DF791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IČ</w:t>
      </w:r>
      <w:r w:rsidR="002B5A0A">
        <w:rPr>
          <w:rFonts w:ascii="Arial" w:hAnsi="Arial" w:cs="Arial"/>
          <w:sz w:val="22"/>
          <w:szCs w:val="22"/>
          <w:lang w:val="cs-CZ"/>
        </w:rPr>
        <w:t>O</w:t>
      </w:r>
      <w:r>
        <w:rPr>
          <w:rFonts w:ascii="Arial" w:hAnsi="Arial" w:cs="Arial"/>
          <w:sz w:val="22"/>
          <w:szCs w:val="22"/>
          <w:lang w:val="cs-CZ"/>
        </w:rPr>
        <w:t xml:space="preserve">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75075741</w:t>
      </w:r>
    </w:p>
    <w:p w:rsidR="00DF7917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DIČ: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CZ75075741</w:t>
      </w:r>
    </w:p>
    <w:p w:rsidR="00DF7917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>
        <w:rPr>
          <w:rFonts w:ascii="Arial" w:hAnsi="Arial" w:cs="Arial"/>
          <w:sz w:val="22"/>
          <w:szCs w:val="22"/>
          <w:lang w:val="cs-CZ"/>
        </w:rPr>
        <w:tab/>
      </w:r>
      <w:r w:rsidR="006369F7">
        <w:rPr>
          <w:rFonts w:ascii="Arial" w:hAnsi="Arial" w:cs="Arial"/>
          <w:sz w:val="22"/>
          <w:szCs w:val="22"/>
          <w:lang w:val="cs-CZ"/>
        </w:rPr>
        <w:t>xxx</w:t>
      </w:r>
    </w:p>
    <w:p w:rsidR="00DF7917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účtu: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6369F7">
        <w:rPr>
          <w:rFonts w:ascii="Arial" w:hAnsi="Arial" w:cs="Arial"/>
          <w:sz w:val="22"/>
          <w:szCs w:val="22"/>
          <w:lang w:val="cs-CZ"/>
        </w:rPr>
        <w:t>xxx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DF7917" w:rsidRDefault="00DF7917" w:rsidP="00DF7917">
      <w:pPr>
        <w:numPr>
          <w:ilvl w:val="12"/>
          <w:numId w:val="0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zastoupená: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doc. Ing. Milanem J. Půčkem, MBA, Ph.D.</w:t>
      </w:r>
    </w:p>
    <w:p w:rsidR="00DF7917" w:rsidRDefault="00DF7917" w:rsidP="00DF7917">
      <w:pPr>
        <w:numPr>
          <w:ilvl w:val="12"/>
          <w:numId w:val="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(dále jen “</w:t>
      </w:r>
      <w:r>
        <w:rPr>
          <w:rFonts w:ascii="Arial" w:hAnsi="Arial" w:cs="Arial"/>
          <w:b/>
          <w:bCs/>
          <w:sz w:val="22"/>
          <w:szCs w:val="22"/>
          <w:lang w:val="cs-CZ"/>
        </w:rPr>
        <w:t>příkazce</w:t>
      </w:r>
      <w:r>
        <w:rPr>
          <w:rFonts w:ascii="Arial" w:hAnsi="Arial" w:cs="Arial"/>
          <w:sz w:val="22"/>
          <w:szCs w:val="22"/>
          <w:lang w:val="cs-CZ"/>
        </w:rPr>
        <w:t>” nebo také „</w:t>
      </w:r>
      <w:r>
        <w:rPr>
          <w:rFonts w:ascii="Arial" w:hAnsi="Arial" w:cs="Arial"/>
          <w:b/>
          <w:sz w:val="22"/>
          <w:szCs w:val="22"/>
          <w:lang w:val="cs-CZ"/>
        </w:rPr>
        <w:t>zadavatel</w:t>
      </w:r>
      <w:r>
        <w:rPr>
          <w:rFonts w:ascii="Arial" w:hAnsi="Arial" w:cs="Arial"/>
          <w:sz w:val="22"/>
          <w:szCs w:val="22"/>
          <w:lang w:val="cs-CZ"/>
        </w:rPr>
        <w:t>“)</w:t>
      </w:r>
    </w:p>
    <w:p w:rsidR="00DF7917" w:rsidRDefault="00DF7917" w:rsidP="00DF7917">
      <w:pPr>
        <w:numPr>
          <w:ilvl w:val="12"/>
          <w:numId w:val="0"/>
        </w:numPr>
        <w:spacing w:line="276" w:lineRule="auto"/>
        <w:ind w:hanging="284"/>
        <w:jc w:val="both"/>
        <w:rPr>
          <w:rFonts w:ascii="Arial" w:hAnsi="Arial" w:cs="Arial"/>
          <w:sz w:val="22"/>
          <w:szCs w:val="22"/>
          <w:lang w:val="cs-CZ"/>
        </w:rPr>
      </w:pPr>
    </w:p>
    <w:p w:rsidR="00DF7917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a</w:t>
      </w:r>
    </w:p>
    <w:p w:rsidR="00C937EF" w:rsidRPr="00C937EF" w:rsidRDefault="00C937EF" w:rsidP="00C937EF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937EF">
        <w:rPr>
          <w:rFonts w:ascii="Arial" w:hAnsi="Arial" w:cs="Arial"/>
          <w:b/>
          <w:color w:val="000000"/>
          <w:sz w:val="22"/>
          <w:szCs w:val="22"/>
        </w:rPr>
        <w:t xml:space="preserve">Advokátní kancelář Janstová, Smetana &amp; Nevečeřal </w:t>
      </w:r>
    </w:p>
    <w:p w:rsidR="00C937EF" w:rsidRDefault="00C937EF" w:rsidP="00C937EF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937EF">
        <w:rPr>
          <w:rFonts w:ascii="Arial" w:hAnsi="Arial" w:cs="Arial"/>
          <w:b/>
          <w:color w:val="000000"/>
          <w:sz w:val="22"/>
          <w:szCs w:val="22"/>
        </w:rPr>
        <w:t>JUDr. Tomáš Nevečeřal, advokát,</w:t>
      </w:r>
    </w:p>
    <w:p w:rsidR="0019514A" w:rsidRDefault="0019514A" w:rsidP="0019514A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Sídlo: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Vinohradská 404/19, 120 00 Praha 2</w:t>
      </w:r>
    </w:p>
    <w:p w:rsidR="00DF7917" w:rsidRPr="000143B4" w:rsidRDefault="00DF7917" w:rsidP="00C937EF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43B4">
        <w:rPr>
          <w:rFonts w:ascii="Arial" w:hAnsi="Arial" w:cs="Arial"/>
          <w:sz w:val="22"/>
          <w:szCs w:val="22"/>
          <w:lang w:val="cs-CZ"/>
        </w:rPr>
        <w:t>IČ</w:t>
      </w:r>
      <w:r w:rsidR="002B5A0A" w:rsidRPr="000143B4">
        <w:rPr>
          <w:rFonts w:ascii="Arial" w:hAnsi="Arial" w:cs="Arial"/>
          <w:sz w:val="22"/>
          <w:szCs w:val="22"/>
          <w:lang w:val="cs-CZ"/>
        </w:rPr>
        <w:t>O</w:t>
      </w:r>
      <w:r w:rsidRPr="000143B4">
        <w:rPr>
          <w:rFonts w:ascii="Arial" w:hAnsi="Arial" w:cs="Arial"/>
          <w:sz w:val="22"/>
          <w:szCs w:val="22"/>
          <w:lang w:val="cs-CZ"/>
        </w:rPr>
        <w:t xml:space="preserve">: </w:t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bookmarkStart w:id="0" w:name="_GoBack"/>
      <w:r w:rsidR="007955E8">
        <w:rPr>
          <w:rFonts w:ascii="Arial" w:hAnsi="Arial" w:cs="Arial"/>
          <w:color w:val="000000"/>
          <w:sz w:val="22"/>
          <w:szCs w:val="22"/>
        </w:rPr>
        <w:t>71466126</w:t>
      </w:r>
      <w:bookmarkEnd w:id="0"/>
    </w:p>
    <w:p w:rsidR="00DF7917" w:rsidRPr="000143B4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43B4">
        <w:rPr>
          <w:rFonts w:ascii="Arial" w:hAnsi="Arial" w:cs="Arial"/>
          <w:sz w:val="22"/>
          <w:szCs w:val="22"/>
          <w:lang w:val="cs-CZ"/>
        </w:rPr>
        <w:t xml:space="preserve">DIČ: </w:t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="006369F7">
        <w:rPr>
          <w:rFonts w:ascii="Arial" w:hAnsi="Arial" w:cs="Arial"/>
          <w:color w:val="000000"/>
          <w:sz w:val="22"/>
          <w:szCs w:val="22"/>
        </w:rPr>
        <w:t>xxx</w:t>
      </w:r>
    </w:p>
    <w:p w:rsidR="00DF7917" w:rsidRPr="000143B4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43B4">
        <w:rPr>
          <w:rFonts w:ascii="Arial" w:hAnsi="Arial" w:cs="Arial"/>
          <w:sz w:val="22"/>
          <w:szCs w:val="22"/>
        </w:rPr>
        <w:t xml:space="preserve">bankovní spojení: </w:t>
      </w:r>
      <w:r w:rsidRPr="000143B4">
        <w:rPr>
          <w:rFonts w:ascii="Arial" w:hAnsi="Arial" w:cs="Arial"/>
          <w:sz w:val="22"/>
          <w:szCs w:val="22"/>
        </w:rPr>
        <w:tab/>
      </w:r>
      <w:r w:rsidR="006369F7">
        <w:rPr>
          <w:rFonts w:ascii="Arial" w:hAnsi="Arial" w:cs="Arial"/>
          <w:color w:val="000000"/>
          <w:sz w:val="22"/>
          <w:szCs w:val="22"/>
        </w:rPr>
        <w:t>xxx</w:t>
      </w:r>
    </w:p>
    <w:p w:rsidR="00DF7917" w:rsidRPr="000143B4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43B4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="006369F7">
        <w:rPr>
          <w:rFonts w:ascii="Arial" w:hAnsi="Arial" w:cs="Arial"/>
          <w:color w:val="000000"/>
          <w:sz w:val="22"/>
          <w:szCs w:val="22"/>
        </w:rPr>
        <w:t>xxx</w:t>
      </w:r>
    </w:p>
    <w:p w:rsidR="00DF7917" w:rsidRPr="000143B4" w:rsidRDefault="00DF7917" w:rsidP="000143B4">
      <w:pPr>
        <w:numPr>
          <w:ilvl w:val="12"/>
          <w:numId w:val="0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143B4">
        <w:rPr>
          <w:rFonts w:ascii="Arial" w:hAnsi="Arial" w:cs="Arial"/>
          <w:sz w:val="22"/>
          <w:szCs w:val="22"/>
          <w:lang w:val="cs-CZ"/>
        </w:rPr>
        <w:t xml:space="preserve">zastoupená: </w:t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Pr="000143B4">
        <w:rPr>
          <w:rFonts w:ascii="Arial" w:hAnsi="Arial" w:cs="Arial"/>
          <w:sz w:val="22"/>
          <w:szCs w:val="22"/>
          <w:lang w:val="cs-CZ"/>
        </w:rPr>
        <w:tab/>
      </w:r>
      <w:r w:rsidR="00C937EF" w:rsidRPr="000143B4">
        <w:rPr>
          <w:rFonts w:ascii="Arial" w:hAnsi="Arial" w:cs="Arial"/>
          <w:sz w:val="22"/>
          <w:szCs w:val="22"/>
          <w:lang w:val="cs-CZ"/>
        </w:rPr>
        <w:t>JUDr. Tomášem Nevečeřalem</w:t>
      </w:r>
    </w:p>
    <w:p w:rsidR="00DF7917" w:rsidRDefault="00C937EF" w:rsidP="00DF7917">
      <w:pPr>
        <w:pStyle w:val="Zkladntext"/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DF7917">
        <w:rPr>
          <w:rFonts w:ascii="Arial" w:hAnsi="Arial" w:cs="Arial"/>
          <w:szCs w:val="22"/>
        </w:rPr>
        <w:t>(dále jen “</w:t>
      </w:r>
      <w:r w:rsidR="00DF7917">
        <w:rPr>
          <w:rFonts w:ascii="Arial" w:hAnsi="Arial" w:cs="Arial"/>
          <w:b/>
          <w:bCs/>
          <w:szCs w:val="22"/>
        </w:rPr>
        <w:t>příkazník</w:t>
      </w:r>
      <w:r w:rsidR="00DF7917">
        <w:rPr>
          <w:rFonts w:ascii="Arial" w:hAnsi="Arial" w:cs="Arial"/>
          <w:szCs w:val="22"/>
        </w:rPr>
        <w:t>”)</w:t>
      </w:r>
    </w:p>
    <w:p w:rsidR="00DF7917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 </w:t>
      </w:r>
    </w:p>
    <w:p w:rsidR="00DF7917" w:rsidRDefault="0005282E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>t a k t o</w:t>
      </w:r>
      <w:r w:rsidR="00DF7917">
        <w:rPr>
          <w:rFonts w:ascii="Arial" w:hAnsi="Arial" w:cs="Arial"/>
          <w:b/>
          <w:sz w:val="22"/>
          <w:lang w:val="cs-CZ"/>
        </w:rPr>
        <w:t>:</w:t>
      </w:r>
    </w:p>
    <w:p w:rsidR="00DF7917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b/>
          <w:lang w:val="cs-CZ"/>
        </w:rPr>
      </w:pPr>
    </w:p>
    <w:p w:rsidR="00DF7917" w:rsidRDefault="00DF7917" w:rsidP="00DF7917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ČLÁNEK I.</w:t>
      </w: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sz w:val="22"/>
          <w:lang w:val="cs-CZ"/>
        </w:rPr>
        <w:t>Předmět smlouvy</w:t>
      </w:r>
    </w:p>
    <w:p w:rsidR="00DF7917" w:rsidRDefault="00DF7917" w:rsidP="00DF7917">
      <w:pPr>
        <w:pStyle w:val="Odstavecseseznamem1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napToGrid w:val="0"/>
        </w:rPr>
      </w:pPr>
      <w:r>
        <w:rPr>
          <w:rFonts w:ascii="Arial" w:hAnsi="Arial" w:cs="Arial"/>
        </w:rPr>
        <w:t xml:space="preserve">Tato rámcová smlouva je uzavírána v návaznosti na řízení o zadání veřejné zakázky malého rozsahu s názvem: </w:t>
      </w:r>
      <w:r w:rsidR="003434DF">
        <w:rPr>
          <w:rFonts w:ascii="Arial" w:hAnsi="Arial" w:cs="Arial"/>
        </w:rPr>
        <w:t>„Právní služby pro administraci veřejných zakázek IROP – ČÁST III – Provozně nízkonákladový depozitář NZM v Čáslavi“.</w:t>
      </w:r>
      <w:r>
        <w:rPr>
          <w:rFonts w:ascii="Arial" w:hAnsi="Arial" w:cs="Arial"/>
        </w:rPr>
        <w:t xml:space="preserve">  Předmětem této rámcové smlouvy je úprava vzájemných vztahů mezi smluvními stranami a podmínek týkajících se zadávání dílčích objednávek na služby spočívající v zajištění celého administrativního procesu zadávacích řízení </w:t>
      </w:r>
      <w:r w:rsidR="00DA6516">
        <w:rPr>
          <w:rFonts w:ascii="Arial" w:hAnsi="Arial" w:cs="Arial"/>
        </w:rPr>
        <w:t xml:space="preserve">- specifikovaných v příloze č. 1 této </w:t>
      </w:r>
      <w:r w:rsidR="00DA6516">
        <w:rPr>
          <w:rFonts w:ascii="Arial" w:hAnsi="Arial" w:cs="Arial"/>
        </w:rPr>
        <w:lastRenderedPageBreak/>
        <w:t xml:space="preserve">smlouvy - </w:t>
      </w:r>
      <w:r>
        <w:rPr>
          <w:rFonts w:ascii="Arial" w:hAnsi="Arial" w:cs="Arial"/>
        </w:rPr>
        <w:t>dle příslušné legislativy a dle stavu rozhodovací a přezkumné praxe dotčených orgánů, resp. interních pravidel příkazce, a dalšího odborných konzultací týkajících se zadávání veřejných zakázek dle této smlouvy (zejména v případě odborné pomoci příkazci se specifikací předmětu plnění apod.) (dále jen „</w:t>
      </w:r>
      <w:r>
        <w:rPr>
          <w:rFonts w:ascii="Arial" w:hAnsi="Arial" w:cs="Arial"/>
          <w:b/>
        </w:rPr>
        <w:t>služby</w:t>
      </w:r>
      <w:r>
        <w:rPr>
          <w:rFonts w:ascii="Arial" w:hAnsi="Arial" w:cs="Arial"/>
        </w:rPr>
        <w:t>“).</w:t>
      </w:r>
    </w:p>
    <w:p w:rsidR="00DF7917" w:rsidRDefault="00DF7917" w:rsidP="00DF7917">
      <w:pPr>
        <w:pStyle w:val="Odstavecseseznamem1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Jednotlivá dílčí plnění realizovaná na základě této rámcové smlouvy budou uskutečňována vždy na základě aktuální potřeby příkazce po předchozí písemné výzvě k poskytnutí plnění (dále jen „</w:t>
      </w:r>
      <w:r>
        <w:rPr>
          <w:rFonts w:ascii="Arial" w:hAnsi="Arial" w:cs="Arial"/>
          <w:b/>
        </w:rPr>
        <w:t>objednávka</w:t>
      </w:r>
      <w:r>
        <w:rPr>
          <w:rFonts w:ascii="Arial" w:hAnsi="Arial" w:cs="Arial"/>
        </w:rPr>
        <w:t>“). Písemné potvrzení objednávky je pak přijetím objednávky. Přijatá objednávka představuje příkaz dle ustanovení § 2430 a násl. občanského zákoníku.</w:t>
      </w:r>
    </w:p>
    <w:p w:rsidR="00DF7917" w:rsidRDefault="00DF7917" w:rsidP="00DF7917">
      <w:pPr>
        <w:pStyle w:val="Odstavecseseznamem1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není povinen služby poptat v předpokládaném rozsahu, a to zcela ani z části. Pokud příkazce dílčí služby poptá, bude odměna příkazníka určena dle paušálních / jednotkových cen dle čl. IV této smlouvy.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II.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>Místo plnění</w:t>
      </w:r>
    </w:p>
    <w:p w:rsidR="00DF7917" w:rsidRDefault="00DF7917" w:rsidP="00DF7917">
      <w:pPr>
        <w:pStyle w:val="Odstavecseseznamem1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4"/>
        </w:rPr>
      </w:pPr>
      <w:r>
        <w:rPr>
          <w:rFonts w:ascii="Arial" w:hAnsi="Arial" w:cs="Arial"/>
        </w:rPr>
        <w:t>Místem plnění je sídlo příkazníka, nebude-li příkazcem určeno jinak (vybrané úkony mohou na žádost příkazce probíhat v jím určených prostorách, zejména v prostorách umístěných na adrese sídla příkazce).</w:t>
      </w:r>
    </w:p>
    <w:p w:rsidR="00DF7917" w:rsidRDefault="00DF7917" w:rsidP="00DF7917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III.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Rozsah plnění</w:t>
      </w:r>
    </w:p>
    <w:p w:rsidR="00DF7917" w:rsidRDefault="00DF7917" w:rsidP="00DF7917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Příkazník se zavazuje pro příkazce poskytovat služby dle platných českých i evropských právních předpisů, a to zejména v níže uvedeném rozsahu: </w:t>
      </w:r>
    </w:p>
    <w:p w:rsidR="00DF7917" w:rsidRDefault="00DF7917" w:rsidP="00DF7917">
      <w:pPr>
        <w:pStyle w:val="Nadpis2"/>
        <w:numPr>
          <w:ilvl w:val="0"/>
          <w:numId w:val="4"/>
        </w:numPr>
        <w:spacing w:after="120" w:line="276" w:lineRule="auto"/>
        <w:ind w:left="426"/>
        <w:jc w:val="both"/>
        <w:rPr>
          <w:sz w:val="22"/>
        </w:rPr>
      </w:pPr>
      <w:bookmarkStart w:id="1" w:name="_Toc465713407"/>
      <w:r>
        <w:rPr>
          <w:sz w:val="22"/>
        </w:rPr>
        <w:t>Úkony spojené s přípravou zadávacího řízení a jeho zveřejnění, zejména:</w:t>
      </w:r>
      <w:bookmarkEnd w:id="1"/>
    </w:p>
    <w:p w:rsidR="00DF7917" w:rsidRDefault="00DF7917" w:rsidP="00DF7917">
      <w:pPr>
        <w:pStyle w:val="Style3"/>
        <w:numPr>
          <w:ilvl w:val="0"/>
          <w:numId w:val="5"/>
        </w:numPr>
        <w:spacing w:after="120" w:line="242" w:lineRule="auto"/>
        <w:ind w:left="567" w:hanging="357"/>
        <w:jc w:val="both"/>
        <w:rPr>
          <w:rFonts w:ascii="Arial" w:hAnsi="Arial" w:cs="Arial"/>
          <w:sz w:val="22"/>
        </w:rPr>
      </w:pPr>
      <w:r>
        <w:rPr>
          <w:rStyle w:val="CharacterStyle1"/>
          <w:rFonts w:ascii="Arial" w:hAnsi="Arial" w:cs="Arial"/>
          <w:sz w:val="22"/>
        </w:rPr>
        <w:t>převzetí veškerých podkladů k zadání veřejné zakázky od příkazce, projednání s příkazcem, přípravu podkladů pro rozhodnutí o způsobu zahájení zakázky, navržení strategie a harmonogramu postupu pro zadávací řízení.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příprava předběžného oznámení k veřejné zakázce a zajištění jeho zveřejnění,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a kompletace zadávací dokumentace vč. zpracování návrhu požadavků na prokázání kvalifikace a jejich konzultace se zadavatelem a zpracování návrhu hodnotících kritérií a jejich konzultace se zadavatelem,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návrhu smlouvy a jeho konzultace se zadavatelem,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sestavení kvalifikační dokumentace a její kompletace, 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sestavení formulářů pro doložení údajů, které jsou předmětem posouzení kvalifikace,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sestavení formulářů pro doložení údajů, které jsou předmětem hodnocení hodnotících kritérií,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sestavení podmínek a požadavků na zpracování nabídky dle charakteru plnění veřejné zakázky,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zveřejnění oznámení o zahájení zadávacího řízení na předepsaném formuláři a vyhotovení objednávky ke zveřejnění v informačním systému,</w:t>
      </w:r>
    </w:p>
    <w:p w:rsidR="00DF7917" w:rsidRDefault="00DF7917" w:rsidP="00DF7917">
      <w:pPr>
        <w:pStyle w:val="Odstavecseseznamem1"/>
        <w:numPr>
          <w:ilvl w:val="0"/>
          <w:numId w:val="5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veškerých úkonů vázaných k profilu zadavatele.</w:t>
      </w:r>
    </w:p>
    <w:p w:rsidR="00DF7917" w:rsidRDefault="00DF7917" w:rsidP="00DF7917">
      <w:pPr>
        <w:pStyle w:val="Nadpis2"/>
        <w:numPr>
          <w:ilvl w:val="0"/>
          <w:numId w:val="4"/>
        </w:numPr>
        <w:spacing w:after="120" w:line="276" w:lineRule="auto"/>
        <w:ind w:left="426"/>
        <w:jc w:val="both"/>
        <w:rPr>
          <w:sz w:val="22"/>
        </w:rPr>
      </w:pPr>
      <w:bookmarkStart w:id="2" w:name="_Toc465713408"/>
      <w:r>
        <w:rPr>
          <w:sz w:val="22"/>
        </w:rPr>
        <w:lastRenderedPageBreak/>
        <w:t>Činnosti spojené s běžící lhůtou pro podání nabídek, zejména:</w:t>
      </w:r>
      <w:bookmarkEnd w:id="2"/>
    </w:p>
    <w:p w:rsidR="00DF7917" w:rsidRDefault="00DF7917" w:rsidP="00DF7917">
      <w:pPr>
        <w:pStyle w:val="Odstavecseseznamem1"/>
        <w:numPr>
          <w:ilvl w:val="0"/>
          <w:numId w:val="6"/>
        </w:numPr>
        <w:tabs>
          <w:tab w:val="left" w:pos="993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případné vysvětlení, změna a doplnění zadávací dokumentace (dodatečné informace) samostatně, pokud se týkají aspektů odbornosti příkazníka, resp. ve spolupráci se zadavatelem, pokud se týkají jiných aspektů než aspektů odbornosti příkazníka, včetně zveřejnění a distribuce dodatečných informací k zadávacím podmínkách,</w:t>
      </w:r>
    </w:p>
    <w:p w:rsidR="00DF7917" w:rsidRDefault="00DF7917" w:rsidP="00DF7917">
      <w:pPr>
        <w:pStyle w:val="Odstavecseseznamem1"/>
        <w:numPr>
          <w:ilvl w:val="0"/>
          <w:numId w:val="6"/>
        </w:numPr>
        <w:tabs>
          <w:tab w:val="left" w:pos="993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pokynů a formulářů pro přijímání obálek s nabídkami,</w:t>
      </w:r>
    </w:p>
    <w:p w:rsidR="00DF7917" w:rsidRDefault="00DF7917" w:rsidP="00DF7917">
      <w:pPr>
        <w:pStyle w:val="Odstavecseseznamem1"/>
        <w:numPr>
          <w:ilvl w:val="0"/>
          <w:numId w:val="6"/>
        </w:numPr>
        <w:tabs>
          <w:tab w:val="left" w:pos="993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seznamu doručených a přijatých nabídek,</w:t>
      </w:r>
    </w:p>
    <w:p w:rsidR="00DF7917" w:rsidRDefault="00DF7917" w:rsidP="00DF7917">
      <w:pPr>
        <w:pStyle w:val="Odstavecseseznamem1"/>
        <w:numPr>
          <w:ilvl w:val="0"/>
          <w:numId w:val="6"/>
        </w:numPr>
        <w:tabs>
          <w:tab w:val="left" w:pos="993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příprava formulářů nutných a potřebných k řádnému průběhu otevírání obálek s nabídkami, </w:t>
      </w:r>
    </w:p>
    <w:p w:rsidR="00DF7917" w:rsidRDefault="00DF7917" w:rsidP="00DF7917">
      <w:pPr>
        <w:pStyle w:val="Odstavecseseznamem1"/>
        <w:numPr>
          <w:ilvl w:val="0"/>
          <w:numId w:val="6"/>
        </w:numPr>
        <w:tabs>
          <w:tab w:val="left" w:pos="993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formulářů a podkladů nutných a potřebných k řádnému průběhu jednání posouzení splnění kvalifikace a posouzení nabídek z hlediska splnění zákonných požadavků a požadavků zadavatele uvedených v zadávací dokumentaci,</w:t>
      </w:r>
    </w:p>
    <w:p w:rsidR="00DF7917" w:rsidRDefault="00DF7917" w:rsidP="00DF7917">
      <w:pPr>
        <w:pStyle w:val="Odstavecseseznamem1"/>
        <w:numPr>
          <w:ilvl w:val="0"/>
          <w:numId w:val="6"/>
        </w:numPr>
        <w:tabs>
          <w:tab w:val="left" w:pos="993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formulářů a podkladů nutných a potřebných k řádnému průběhu jednání hodnotící komise,</w:t>
      </w:r>
    </w:p>
    <w:p w:rsidR="00DF7917" w:rsidRDefault="00DF7917" w:rsidP="00DF7917">
      <w:pPr>
        <w:pStyle w:val="Odstavecseseznamem1"/>
        <w:numPr>
          <w:ilvl w:val="0"/>
          <w:numId w:val="6"/>
        </w:numPr>
        <w:tabs>
          <w:tab w:val="left" w:pos="993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a zajištění jmenovacích dekretů a čestných prohlášení pro členy a náhradníky členů komisí ve spolupráci se zadavatelem.</w:t>
      </w:r>
    </w:p>
    <w:p w:rsidR="00DF7917" w:rsidRDefault="00DF7917" w:rsidP="00DF7917">
      <w:pPr>
        <w:pStyle w:val="Style3"/>
        <w:numPr>
          <w:ilvl w:val="0"/>
          <w:numId w:val="6"/>
        </w:numPr>
        <w:spacing w:after="120" w:line="242" w:lineRule="auto"/>
        <w:ind w:left="567" w:hanging="357"/>
        <w:jc w:val="both"/>
        <w:rPr>
          <w:rFonts w:ascii="Arial" w:hAnsi="Arial" w:cs="Arial"/>
          <w:sz w:val="22"/>
        </w:rPr>
      </w:pPr>
      <w:r>
        <w:rPr>
          <w:rStyle w:val="CharacterStyle1"/>
          <w:rFonts w:ascii="Arial" w:hAnsi="Arial" w:cs="Arial"/>
          <w:sz w:val="22"/>
        </w:rPr>
        <w:t xml:space="preserve">zabezpečení vydávání zadávací dokumentace dodavatelům a ve spolupráci s příkazcem její zveřejnění. </w:t>
      </w:r>
    </w:p>
    <w:p w:rsidR="00DF7917" w:rsidRDefault="00DF7917" w:rsidP="00DF7917">
      <w:pPr>
        <w:pStyle w:val="Nadpis2"/>
        <w:numPr>
          <w:ilvl w:val="0"/>
          <w:numId w:val="4"/>
        </w:numPr>
        <w:spacing w:after="120" w:line="276" w:lineRule="auto"/>
        <w:ind w:left="426"/>
        <w:jc w:val="both"/>
        <w:rPr>
          <w:sz w:val="22"/>
        </w:rPr>
      </w:pPr>
      <w:bookmarkStart w:id="3" w:name="_Toc465713409"/>
      <w:r>
        <w:rPr>
          <w:sz w:val="22"/>
        </w:rPr>
        <w:t>Činnosti spojené s průběhem zadávací lhůty, zejména:</w:t>
      </w:r>
      <w:bookmarkEnd w:id="3"/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organizační zajištění jednání komise pro otevírání obálek s nabídkami,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administrace v rámci procesu otevírání obálek a hodnocení nabídek,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protokolu o jednání komise pro otevírání obálek s nabídkami,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oznámení vyloučení uchazečům, jejichž nabídky komise pro otevírání obálek </w:t>
      </w:r>
      <w:r>
        <w:rPr>
          <w:rFonts w:ascii="Arial" w:eastAsia="MingLiU" w:hAnsi="Arial" w:cs="Arial"/>
        </w:rPr>
        <w:br/>
      </w:r>
      <w:r>
        <w:rPr>
          <w:rFonts w:ascii="Arial" w:hAnsi="Arial" w:cs="Arial"/>
        </w:rPr>
        <w:t>s nabídkami vyřadila z další účasti v zadávacím řízení,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organizační zajištění jednání komise pro posouzení kvalifikace,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řízení jednání komise pro posouzení kvalifikace do volby předsedy a místopředsedy komise, řízení komise pro posouzení kvalifikace v průběhu jejích jednotlivých jednání,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podkladů na jednání komise a zpracování protokolu o jednání komise pro posouzení kvalifikace,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dle potřeby příprava a odeslání výzev uchazečům k doplnění nebo vysvětlení nabídek,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rozbor nabídek uchazečů z hlediska splnění kvalifikace,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oznámení rozhodnutí o vyloučení uchazečům, jejichž nabídky komise pro posouzení kvalifikace vyřadila z další účasti v zadávacím řízení.</w:t>
      </w:r>
    </w:p>
    <w:p w:rsidR="00DF7917" w:rsidRDefault="00DF7917" w:rsidP="00DF7917">
      <w:pPr>
        <w:pStyle w:val="Nadpis2"/>
        <w:numPr>
          <w:ilvl w:val="0"/>
          <w:numId w:val="4"/>
        </w:numPr>
        <w:spacing w:after="120" w:line="276" w:lineRule="auto"/>
        <w:ind w:left="426"/>
        <w:jc w:val="both"/>
        <w:rPr>
          <w:sz w:val="22"/>
        </w:rPr>
      </w:pPr>
      <w:bookmarkStart w:id="4" w:name="_Toc465713410"/>
      <w:r>
        <w:rPr>
          <w:sz w:val="22"/>
        </w:rPr>
        <w:t>Činnosti spojené s ukončením zadávacího řízení, zejména:</w:t>
      </w:r>
      <w:bookmarkEnd w:id="4"/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vypracování podkladů pro rozhodnutí zadavatele o výběru nejvhodnější nabídky,</w:t>
      </w:r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oznámení o výběru nejvhodnější nabídky, </w:t>
      </w:r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doručení oznámení o výběru nejvhodnější nabídky účastníkům, kteří nebyli ze zadávacího řízení vyloučeni,</w:t>
      </w:r>
    </w:p>
    <w:p w:rsidR="00830BAC" w:rsidRDefault="00830BAC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podkladů pro zjištění vlastnické struktury u vybraného dodavatele (§122 odst. 4 a 5 ZZVZ)</w:t>
      </w:r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vyřízení event. námitek,</w:t>
      </w:r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zpracování a zajištění zveřejnění oznámení o výsledku zadávacího řízení a zajištění jeho zveřejnění podle zákona,</w:t>
      </w:r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úkonů vázaných k uveřejnění na profilu zadavatele,</w:t>
      </w:r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písemné zprávy zadavatele,</w:t>
      </w:r>
    </w:p>
    <w:p w:rsidR="00DF7917" w:rsidRDefault="00DF7917" w:rsidP="00DF7917">
      <w:pPr>
        <w:pStyle w:val="Odstavecseseznamem1"/>
        <w:numPr>
          <w:ilvl w:val="0"/>
          <w:numId w:val="8"/>
        </w:numPr>
        <w:spacing w:after="120" w:line="276" w:lineRule="auto"/>
        <w:ind w:left="56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zrušení zadávacího řízení zajištění zpracování oznámení o zrušení zadávacího</w:t>
      </w:r>
      <w:r w:rsidR="009C57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řízení a zajištění jeho zveřejnění podle zákona a pravidel</w:t>
      </w:r>
      <w:r w:rsidR="00830BAC">
        <w:rPr>
          <w:rFonts w:ascii="Arial" w:hAnsi="Arial" w:cs="Arial"/>
        </w:rPr>
        <w:t>,</w:t>
      </w:r>
    </w:p>
    <w:p w:rsidR="00830BAC" w:rsidRDefault="00830BAC" w:rsidP="00830BAC">
      <w:pPr>
        <w:pStyle w:val="Odstavecseseznamem1"/>
        <w:spacing w:after="120" w:line="276" w:lineRule="auto"/>
        <w:ind w:left="567"/>
        <w:jc w:val="both"/>
        <w:rPr>
          <w:rFonts w:ascii="Arial" w:hAnsi="Arial" w:cs="Arial"/>
        </w:rPr>
      </w:pPr>
    </w:p>
    <w:p w:rsidR="00DF7917" w:rsidRDefault="00DF7917" w:rsidP="00DF7917">
      <w:pPr>
        <w:pStyle w:val="Nadpis2"/>
        <w:numPr>
          <w:ilvl w:val="0"/>
          <w:numId w:val="4"/>
        </w:numPr>
        <w:spacing w:after="120" w:line="276" w:lineRule="auto"/>
        <w:ind w:left="426" w:hanging="357"/>
        <w:jc w:val="both"/>
        <w:rPr>
          <w:sz w:val="22"/>
        </w:rPr>
      </w:pPr>
      <w:bookmarkStart w:id="5" w:name="_Toc465713411"/>
      <w:r>
        <w:rPr>
          <w:sz w:val="22"/>
        </w:rPr>
        <w:t>Kompletace dokumentace veřejné zakázky a další činnosti, zejména:</w:t>
      </w:r>
      <w:bookmarkEnd w:id="5"/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komplementace celé dokumentace z průběhu zadávacího řízení veřejné zakázky,</w:t>
      </w:r>
    </w:p>
    <w:p w:rsidR="00DF7917" w:rsidRDefault="00DF7917" w:rsidP="00DF7917">
      <w:pPr>
        <w:pStyle w:val="Odstavecseseznamem1"/>
        <w:numPr>
          <w:ilvl w:val="0"/>
          <w:numId w:val="7"/>
        </w:numPr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uveřejnění podepsané smlouvy s vítězným uchazečem na profil zadavatele.</w:t>
      </w:r>
    </w:p>
    <w:p w:rsidR="00DF7917" w:rsidRDefault="00DF7917" w:rsidP="00DF7917">
      <w:pPr>
        <w:pStyle w:val="Style3"/>
        <w:numPr>
          <w:ilvl w:val="0"/>
          <w:numId w:val="7"/>
        </w:numPr>
        <w:spacing w:after="120" w:line="242" w:lineRule="auto"/>
        <w:ind w:left="567" w:hanging="357"/>
        <w:jc w:val="both"/>
        <w:rPr>
          <w:rStyle w:val="CharacterStyle1"/>
          <w:rFonts w:ascii="Arial" w:hAnsi="Arial"/>
          <w:sz w:val="22"/>
        </w:rPr>
      </w:pPr>
      <w:r>
        <w:rPr>
          <w:rStyle w:val="CharacterStyle1"/>
          <w:rFonts w:ascii="Arial" w:hAnsi="Arial" w:cs="Arial"/>
          <w:sz w:val="22"/>
        </w:rPr>
        <w:t>poskytnutí služeb a zpracování dalších dokumentů a podkladů, které vyplývají z příslušné legislativy a/nebo o které příkazce příkazníka požádá v souvislosti se zadáním veřejné zakázky.</w:t>
      </w:r>
    </w:p>
    <w:p w:rsidR="00DF7917" w:rsidRDefault="00DF7917" w:rsidP="00DF7917">
      <w:pPr>
        <w:pStyle w:val="Nadpis2"/>
        <w:numPr>
          <w:ilvl w:val="0"/>
          <w:numId w:val="4"/>
        </w:numPr>
        <w:spacing w:after="120" w:line="276" w:lineRule="auto"/>
        <w:ind w:left="426" w:hanging="357"/>
        <w:jc w:val="both"/>
      </w:pPr>
      <w:r>
        <w:rPr>
          <w:sz w:val="22"/>
        </w:rPr>
        <w:t>Námitky</w:t>
      </w:r>
    </w:p>
    <w:p w:rsidR="00DF7917" w:rsidRDefault="00DF7917" w:rsidP="00DF7917">
      <w:pPr>
        <w:pStyle w:val="Style3"/>
        <w:numPr>
          <w:ilvl w:val="0"/>
          <w:numId w:val="7"/>
        </w:numPr>
        <w:spacing w:after="120" w:line="242" w:lineRule="auto"/>
        <w:ind w:left="567" w:hanging="357"/>
        <w:jc w:val="both"/>
        <w:rPr>
          <w:rStyle w:val="CharacterStyle1"/>
          <w:rFonts w:ascii="Arial" w:hAnsi="Arial" w:cs="Arial"/>
        </w:rPr>
      </w:pPr>
      <w:r>
        <w:rPr>
          <w:rStyle w:val="CharacterStyle1"/>
          <w:rFonts w:ascii="Arial" w:hAnsi="Arial" w:cs="Arial"/>
          <w:sz w:val="22"/>
        </w:rPr>
        <w:t>ve spolupráci s příkazcem zpracování podkladů pro rozhodnutí příkazce o námitkách,</w:t>
      </w:r>
    </w:p>
    <w:p w:rsidR="00DF7917" w:rsidRPr="00715855" w:rsidRDefault="00DF7917" w:rsidP="00DF7917">
      <w:pPr>
        <w:pStyle w:val="Style3"/>
        <w:numPr>
          <w:ilvl w:val="0"/>
          <w:numId w:val="7"/>
        </w:numPr>
        <w:spacing w:after="120" w:line="242" w:lineRule="auto"/>
        <w:ind w:left="567" w:hanging="357"/>
        <w:jc w:val="both"/>
        <w:rPr>
          <w:rStyle w:val="CharacterStyle1"/>
          <w:rFonts w:ascii="Arial" w:hAnsi="Arial" w:cs="Arial"/>
        </w:rPr>
      </w:pPr>
      <w:r>
        <w:rPr>
          <w:rStyle w:val="CharacterStyle1"/>
          <w:rFonts w:ascii="Arial" w:hAnsi="Arial" w:cs="Arial"/>
          <w:sz w:val="22"/>
        </w:rPr>
        <w:t>poskytnutí podpory zadavateli v případě řízení před UOHS.</w:t>
      </w:r>
    </w:p>
    <w:p w:rsidR="00715855" w:rsidRDefault="00715855" w:rsidP="00715855">
      <w:pPr>
        <w:pStyle w:val="Style3"/>
        <w:spacing w:after="120" w:line="242" w:lineRule="auto"/>
        <w:ind w:left="567"/>
        <w:jc w:val="both"/>
        <w:rPr>
          <w:rStyle w:val="CharacterStyle1"/>
          <w:rFonts w:ascii="Arial" w:hAnsi="Arial" w:cs="Arial"/>
        </w:rPr>
      </w:pPr>
    </w:p>
    <w:p w:rsidR="00DF7917" w:rsidRDefault="00DF7917" w:rsidP="00715855">
      <w:pPr>
        <w:pStyle w:val="Style3"/>
        <w:numPr>
          <w:ilvl w:val="0"/>
          <w:numId w:val="3"/>
        </w:numPr>
        <w:spacing w:after="120" w:line="242" w:lineRule="auto"/>
        <w:jc w:val="both"/>
        <w:rPr>
          <w:rStyle w:val="CharacterStyle1"/>
          <w:rFonts w:ascii="Arial" w:hAnsi="Arial" w:cs="Arial"/>
          <w:sz w:val="22"/>
        </w:rPr>
      </w:pPr>
      <w:r>
        <w:rPr>
          <w:rStyle w:val="CharacterStyle1"/>
          <w:rFonts w:ascii="Arial" w:hAnsi="Arial" w:cs="Arial"/>
          <w:sz w:val="22"/>
        </w:rPr>
        <w:t>Předmět plnění není posouzení nabídkových cen účastníků v podrobnostech výkazu výměr, a zda obsahují mimořádně nízkou nabídkovou cenu.</w:t>
      </w:r>
    </w:p>
    <w:p w:rsidR="00DF7917" w:rsidRDefault="00DF7917" w:rsidP="00715855">
      <w:pPr>
        <w:pStyle w:val="Style3"/>
        <w:numPr>
          <w:ilvl w:val="0"/>
          <w:numId w:val="3"/>
        </w:numPr>
        <w:spacing w:after="120" w:line="242" w:lineRule="auto"/>
        <w:jc w:val="both"/>
        <w:rPr>
          <w:szCs w:val="22"/>
        </w:rPr>
      </w:pPr>
      <w:r>
        <w:rPr>
          <w:rStyle w:val="CharacterStyle1"/>
          <w:rFonts w:ascii="Arial" w:hAnsi="Arial" w:cs="Arial"/>
          <w:sz w:val="22"/>
        </w:rPr>
        <w:t xml:space="preserve">Příkazník se zároveň zavazuje poskytnout příkazci </w:t>
      </w:r>
      <w:r>
        <w:rPr>
          <w:rFonts w:ascii="Arial" w:hAnsi="Arial" w:cs="Arial"/>
          <w:sz w:val="22"/>
          <w:szCs w:val="22"/>
        </w:rPr>
        <w:t>odborné konzultace týkající se zadávání veřejných zakázek v předpokládaném rozsahu 20 hodin.</w:t>
      </w:r>
    </w:p>
    <w:p w:rsidR="00834BBB" w:rsidRDefault="00DF7917" w:rsidP="00715855">
      <w:pPr>
        <w:pStyle w:val="Style3"/>
        <w:numPr>
          <w:ilvl w:val="0"/>
          <w:numId w:val="3"/>
        </w:numPr>
        <w:spacing w:after="120" w:line="24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 je povinen poskytovat sjednané služby v obvyklých lhůtách jednotlivých úkonů v rámci příslušného druhu řízení dle přílohy č</w:t>
      </w:r>
      <w:r w:rsidR="00F21249">
        <w:rPr>
          <w:rFonts w:ascii="Arial" w:hAnsi="Arial" w:cs="Arial"/>
          <w:sz w:val="22"/>
          <w:szCs w:val="22"/>
        </w:rPr>
        <w:t>. 2</w:t>
      </w:r>
      <w:r w:rsidR="000528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smlouvy, která</w:t>
      </w:r>
      <w:r w:rsidR="00F67FA3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je</w:t>
      </w:r>
      <w:r w:rsidR="0005282E">
        <w:rPr>
          <w:rFonts w:ascii="Arial" w:hAnsi="Arial" w:cs="Arial"/>
          <w:sz w:val="22"/>
          <w:szCs w:val="22"/>
        </w:rPr>
        <w:t>jí</w:t>
      </w:r>
      <w:r>
        <w:rPr>
          <w:rFonts w:ascii="Arial" w:hAnsi="Arial" w:cs="Arial"/>
          <w:sz w:val="22"/>
          <w:szCs w:val="22"/>
        </w:rPr>
        <w:t xml:space="preserve"> </w:t>
      </w:r>
      <w:r w:rsidR="00834BBB">
        <w:rPr>
          <w:rFonts w:ascii="Arial" w:hAnsi="Arial" w:cs="Arial"/>
          <w:sz w:val="22"/>
          <w:szCs w:val="22"/>
        </w:rPr>
        <w:t>nedílnou součástí, přičemž platí, že pokud je v příloze č. 2 počet dnů uveden u jednotlivého úkonu v rozsahu od do (např. 1 –</w:t>
      </w:r>
      <w:r w:rsidR="00AA56BA">
        <w:rPr>
          <w:rFonts w:ascii="Arial" w:hAnsi="Arial" w:cs="Arial"/>
          <w:sz w:val="22"/>
          <w:szCs w:val="22"/>
        </w:rPr>
        <w:t xml:space="preserve"> 3</w:t>
      </w:r>
      <w:r w:rsidR="00834BBB">
        <w:rPr>
          <w:rFonts w:ascii="Arial" w:hAnsi="Arial" w:cs="Arial"/>
          <w:sz w:val="22"/>
          <w:szCs w:val="22"/>
        </w:rPr>
        <w:t xml:space="preserve"> dny), pak je pro příkazníka závazná střední hodnota (tedy např. rozsah 1 - </w:t>
      </w:r>
      <w:r w:rsidR="00AA56BA">
        <w:rPr>
          <w:rFonts w:ascii="Arial" w:hAnsi="Arial" w:cs="Arial"/>
          <w:sz w:val="22"/>
          <w:szCs w:val="22"/>
        </w:rPr>
        <w:t>3</w:t>
      </w:r>
      <w:r w:rsidR="00834BBB">
        <w:rPr>
          <w:rFonts w:ascii="Arial" w:hAnsi="Arial" w:cs="Arial"/>
          <w:sz w:val="22"/>
          <w:szCs w:val="22"/>
        </w:rPr>
        <w:t xml:space="preserve"> dny = 1,5 dne, to je 8 + 4 hodiny pracovního dne). </w:t>
      </w:r>
      <w:r w:rsidR="00AA56BA">
        <w:rPr>
          <w:rFonts w:ascii="Arial" w:hAnsi="Arial" w:cs="Arial"/>
          <w:sz w:val="22"/>
          <w:szCs w:val="22"/>
        </w:rPr>
        <w:t>V mimořádně složitém případě</w:t>
      </w:r>
      <w:r w:rsidR="00834BBB">
        <w:rPr>
          <w:rFonts w:ascii="Arial" w:hAnsi="Arial" w:cs="Arial"/>
          <w:sz w:val="22"/>
          <w:szCs w:val="22"/>
        </w:rPr>
        <w:t xml:space="preserve"> je příkazník oprávněn využít maximální rozsah dnů jednotlivých úkonů (tedy např. rozsah 1 – 2 dny = 2 dny, to je 8 + 8 hodin pracovního dne).</w:t>
      </w:r>
    </w:p>
    <w:p w:rsidR="00DF7917" w:rsidRDefault="00DF7917" w:rsidP="00715855">
      <w:pPr>
        <w:pStyle w:val="Style3"/>
        <w:numPr>
          <w:ilvl w:val="0"/>
          <w:numId w:val="3"/>
        </w:numPr>
        <w:spacing w:after="120" w:line="24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Opakované porušení obvyklých lhůt dle předchozí</w:t>
      </w:r>
      <w:r w:rsidR="00AA56BA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="00AA56BA">
        <w:rPr>
          <w:rFonts w:ascii="Arial" w:hAnsi="Arial" w:cs="Arial"/>
          <w:sz w:val="22"/>
          <w:szCs w:val="22"/>
        </w:rPr>
        <w:t>bodu</w:t>
      </w:r>
      <w:r>
        <w:rPr>
          <w:rFonts w:ascii="Arial" w:hAnsi="Arial" w:cs="Arial"/>
          <w:sz w:val="22"/>
          <w:szCs w:val="22"/>
        </w:rPr>
        <w:t xml:space="preserve"> bude považováno za podstatné porušení smlouvy za předpokladu, že příkazník ani přes předchozí písemnou výzvu příkazce nezjedná nápravu. V případě marného uplynutí dodatečně stanovené lhůty k plnění v rámci výzvy dle předchozí věty</w:t>
      </w:r>
      <w:r w:rsidR="000528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příkazce vůči příkazníkovi oprávněn uplatnit smluvní pokutu ve výši 1.000,- Kč za každý den prodlení.</w:t>
      </w: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b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IV.</w:t>
      </w:r>
    </w:p>
    <w:p w:rsidR="00DF7917" w:rsidRDefault="00DF7917" w:rsidP="00DF7917">
      <w:pPr>
        <w:pStyle w:val="Nadpis2"/>
        <w:keepLines/>
        <w:widowControl/>
        <w:spacing w:after="120" w:line="276" w:lineRule="auto"/>
        <w:ind w:firstLine="0"/>
        <w:jc w:val="both"/>
        <w:rPr>
          <w:sz w:val="22"/>
          <w:szCs w:val="24"/>
        </w:rPr>
      </w:pPr>
      <w:r>
        <w:rPr>
          <w:sz w:val="22"/>
          <w:szCs w:val="24"/>
        </w:rPr>
        <w:t>Celková cena</w:t>
      </w:r>
    </w:p>
    <w:p w:rsidR="00DF7917" w:rsidRPr="003434DF" w:rsidRDefault="00DF7917" w:rsidP="00DF7917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Příkazce se zavazuje zaplatit příkazníkovi za skutečné poskytnutí služeb odměnu dle této </w:t>
      </w:r>
      <w:r w:rsidRPr="003434DF">
        <w:rPr>
          <w:rFonts w:ascii="Arial" w:hAnsi="Arial" w:cs="Arial"/>
          <w:sz w:val="22"/>
          <w:lang w:val="cs-CZ"/>
        </w:rPr>
        <w:t>smlouvy ve výši níže uvedených paušálních / jednotkových cen za dílčí služby.</w:t>
      </w:r>
    </w:p>
    <w:p w:rsidR="00DF7917" w:rsidRPr="003434DF" w:rsidRDefault="00DF7917" w:rsidP="00DF7917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 w:rsidRPr="003434DF">
        <w:rPr>
          <w:rFonts w:ascii="Arial" w:hAnsi="Arial" w:cs="Arial"/>
          <w:sz w:val="22"/>
          <w:lang w:val="cs-CZ"/>
        </w:rPr>
        <w:lastRenderedPageBreak/>
        <w:t>Cena za kompletní administraci</w:t>
      </w:r>
      <w:r w:rsidRPr="003434DF">
        <w:rPr>
          <w:rStyle w:val="Znakapoznpodarou"/>
          <w:rFonts w:ascii="Arial" w:hAnsi="Arial" w:cs="Arial"/>
          <w:sz w:val="22"/>
          <w:lang w:val="cs-CZ"/>
        </w:rPr>
        <w:footnoteReference w:id="1"/>
      </w:r>
      <w:r w:rsidRPr="003434DF">
        <w:rPr>
          <w:rFonts w:ascii="Arial" w:hAnsi="Arial" w:cs="Arial"/>
          <w:sz w:val="22"/>
          <w:lang w:val="cs-CZ"/>
        </w:rPr>
        <w:t xml:space="preserve">: </w:t>
      </w:r>
    </w:p>
    <w:p w:rsidR="00DF7917" w:rsidRDefault="00DF7917" w:rsidP="003434DF">
      <w:pPr>
        <w:pStyle w:val="Odstavecseseznamem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 w:rsidRPr="003434DF">
        <w:rPr>
          <w:rFonts w:ascii="Arial" w:hAnsi="Arial" w:cs="Arial"/>
          <w:sz w:val="22"/>
          <w:lang w:val="cs-CZ"/>
        </w:rPr>
        <w:t xml:space="preserve">otevřeného řízení pro podlimitní veřejnou zakázku činí </w:t>
      </w:r>
      <w:r w:rsidR="000143B4" w:rsidRPr="0019514A">
        <w:rPr>
          <w:rFonts w:ascii="Arial" w:hAnsi="Arial" w:cs="Arial"/>
          <w:b/>
          <w:color w:val="000000"/>
          <w:sz w:val="22"/>
          <w:szCs w:val="22"/>
          <w:lang w:val="cs-CZ"/>
        </w:rPr>
        <w:t>115.000,-</w:t>
      </w:r>
      <w:r w:rsidRPr="003434DF">
        <w:rPr>
          <w:rFonts w:ascii="Arial" w:hAnsi="Arial" w:cs="Arial"/>
          <w:sz w:val="22"/>
          <w:lang w:val="cs-CZ"/>
        </w:rPr>
        <w:t xml:space="preserve"> Kč bez DPH</w:t>
      </w:r>
    </w:p>
    <w:p w:rsidR="00EA576A" w:rsidRPr="00EA576A" w:rsidRDefault="00EA576A" w:rsidP="00A37345">
      <w:pPr>
        <w:pStyle w:val="Odstavecseseznamem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 w:rsidRPr="00EA576A">
        <w:rPr>
          <w:rFonts w:ascii="Arial" w:hAnsi="Arial" w:cs="Arial"/>
          <w:sz w:val="22"/>
          <w:lang w:val="cs-CZ"/>
        </w:rPr>
        <w:t xml:space="preserve">řízení pro veřejnou zakázku malého rozsahu činí </w:t>
      </w:r>
      <w:r w:rsidR="000143B4" w:rsidRPr="0019514A">
        <w:rPr>
          <w:rFonts w:ascii="Arial" w:hAnsi="Arial" w:cs="Arial"/>
          <w:b/>
          <w:color w:val="000000"/>
          <w:sz w:val="22"/>
          <w:szCs w:val="22"/>
          <w:lang w:val="cs-CZ"/>
        </w:rPr>
        <w:t>40.000,-</w:t>
      </w:r>
      <w:r w:rsidRPr="00EA576A">
        <w:rPr>
          <w:rFonts w:ascii="Arial" w:hAnsi="Arial" w:cs="Arial"/>
          <w:sz w:val="22"/>
          <w:lang w:val="cs-CZ"/>
        </w:rPr>
        <w:t xml:space="preserve"> Kč bez DPH</w:t>
      </w:r>
    </w:p>
    <w:p w:rsidR="00DF7917" w:rsidRDefault="00DF7917" w:rsidP="00DF7917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Hodinová sazba za poskytnutí odborných konzultací při zadávání veřejných zakázek činí </w:t>
      </w:r>
      <w:r w:rsidR="000143B4" w:rsidRPr="0019514A">
        <w:rPr>
          <w:rFonts w:ascii="Arial" w:hAnsi="Arial" w:cs="Arial"/>
          <w:b/>
          <w:color w:val="000000"/>
          <w:sz w:val="22"/>
          <w:szCs w:val="22"/>
          <w:lang w:val="cs-CZ"/>
        </w:rPr>
        <w:t>1.750</w:t>
      </w:r>
      <w:r>
        <w:rPr>
          <w:rFonts w:ascii="Arial" w:hAnsi="Arial" w:cs="Arial"/>
          <w:sz w:val="22"/>
          <w:lang w:val="cs-CZ"/>
        </w:rPr>
        <w:t>,- Kč bez DPH.</w:t>
      </w:r>
    </w:p>
    <w:p w:rsidR="00DF7917" w:rsidRDefault="00DF7917" w:rsidP="00DF7917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Výše uvedené ceny jsou konečné a nepřekročitelné a zahrnují veškeré náklady vynaložené v souvislosti s poskytování</w:t>
      </w:r>
      <w:r w:rsidR="00FC651E">
        <w:rPr>
          <w:rFonts w:ascii="Arial" w:hAnsi="Arial" w:cs="Arial"/>
          <w:sz w:val="22"/>
          <w:lang w:val="cs-CZ"/>
        </w:rPr>
        <w:t>m</w:t>
      </w:r>
      <w:r>
        <w:rPr>
          <w:rFonts w:ascii="Arial" w:hAnsi="Arial" w:cs="Arial"/>
          <w:sz w:val="22"/>
          <w:lang w:val="cs-CZ"/>
        </w:rPr>
        <w:t xml:space="preserve"> služeb dle této smlouvy, včetně nákladů na uveřejňování, nákladů na administrativu, cestovné, poštovné, náklady na kopírování apod. </w:t>
      </w:r>
    </w:p>
    <w:p w:rsidR="00DF7917" w:rsidRDefault="00DF7917" w:rsidP="00DF7917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Nejvyšší souhrnná odměna příkazníka za poskytnuté služby nepřesáhne</w:t>
      </w:r>
      <w:r w:rsidR="000143B4">
        <w:rPr>
          <w:rFonts w:ascii="Arial" w:hAnsi="Arial" w:cs="Arial"/>
          <w:sz w:val="22"/>
          <w:lang w:val="cs-CZ"/>
        </w:rPr>
        <w:t xml:space="preserve"> </w:t>
      </w:r>
      <w:r w:rsidR="000143B4" w:rsidRPr="000143B4">
        <w:rPr>
          <w:rFonts w:ascii="Arial" w:hAnsi="Arial" w:cs="Arial"/>
          <w:b/>
          <w:sz w:val="22"/>
          <w:lang w:val="cs-CZ"/>
        </w:rPr>
        <w:t>460.000,-</w:t>
      </w:r>
      <w:r w:rsidR="00EA5520">
        <w:rPr>
          <w:rFonts w:ascii="Arial" w:hAnsi="Arial" w:cs="Arial"/>
          <w:sz w:val="22"/>
          <w:lang w:val="cs-CZ"/>
        </w:rPr>
        <w:t xml:space="preserve"> </w:t>
      </w:r>
      <w:r w:rsidRPr="003434DF">
        <w:rPr>
          <w:rFonts w:ascii="Arial" w:hAnsi="Arial" w:cs="Arial"/>
          <w:sz w:val="22"/>
          <w:lang w:val="cs-CZ"/>
        </w:rPr>
        <w:t>Kč</w:t>
      </w:r>
      <w:r>
        <w:rPr>
          <w:rFonts w:ascii="Arial" w:hAnsi="Arial" w:cs="Arial"/>
          <w:sz w:val="22"/>
          <w:lang w:val="cs-CZ"/>
        </w:rPr>
        <w:t xml:space="preserve"> bez DPH. Tato odměna je odměnou, která bude uhrazena za poskytování služeb dle této smlouvy na základě paušální / jednotkové ceny jako nejvýše přípustná.</w:t>
      </w:r>
    </w:p>
    <w:p w:rsidR="00DF7917" w:rsidRDefault="00DF7917" w:rsidP="00DF7917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K cenám bez DPH bude připočteno DPH v zákonné výši. 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V.</w:t>
      </w:r>
    </w:p>
    <w:p w:rsidR="00DF7917" w:rsidRDefault="00DF7917" w:rsidP="00DF7917">
      <w:pPr>
        <w:pStyle w:val="Nadpis2"/>
        <w:keepLines/>
        <w:widowControl/>
        <w:spacing w:after="120" w:line="276" w:lineRule="auto"/>
        <w:ind w:firstLine="0"/>
        <w:jc w:val="both"/>
        <w:rPr>
          <w:sz w:val="22"/>
          <w:szCs w:val="24"/>
        </w:rPr>
      </w:pPr>
      <w:r>
        <w:rPr>
          <w:sz w:val="22"/>
          <w:szCs w:val="24"/>
        </w:rPr>
        <w:t>Platební podmínky</w:t>
      </w:r>
    </w:p>
    <w:p w:rsidR="00DF7917" w:rsidRDefault="00DF7917" w:rsidP="00FC651E">
      <w:pPr>
        <w:pStyle w:val="Odstavecseseznamem1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</w:rPr>
        <w:t xml:space="preserve">Cenu za plnění předmětu smlouvy spočívající v kompletní administraci zadávacího řízení uhradí příkazce postupně za skutečně poskytnuté a příkazcem schválené služby na základě faktur vystavených příkazníkem. </w:t>
      </w:r>
      <w:r w:rsidR="0005282E">
        <w:rPr>
          <w:rFonts w:ascii="Arial" w:hAnsi="Arial" w:cs="Arial"/>
        </w:rPr>
        <w:t>P</w:t>
      </w:r>
      <w:r>
        <w:rPr>
          <w:rFonts w:ascii="Arial" w:hAnsi="Arial" w:cs="Arial"/>
        </w:rPr>
        <w:t>říkazník je oprávněn vystavit fakturu vždy po kompletním provedení dílčí služby</w:t>
      </w:r>
      <w:r w:rsidR="00830BAC">
        <w:rPr>
          <w:rFonts w:ascii="Arial" w:hAnsi="Arial" w:cs="Arial"/>
        </w:rPr>
        <w:t>, (případně po předchozí dohodě s příkazcem, je příkazník oprávněn vystavit fakturu po poskytnutí vybraných úkonů příkazníka dle čl. III této smlouvy)</w:t>
      </w:r>
      <w:r>
        <w:rPr>
          <w:rFonts w:ascii="Arial" w:hAnsi="Arial" w:cs="Arial"/>
        </w:rPr>
        <w:t>. Kompletním poskytnutím služby se rozumí</w:t>
      </w:r>
      <w:r w:rsidR="00830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 každé zadávací řízení</w:t>
      </w:r>
      <w:r w:rsidR="00830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vyhotovení rozhodnutí o výběru nejvhodnější nabídky (nebo rozhodnutí o zrušení zadávacího řízení), případně ukončení řízení po rozhodnutí o námitkách, případně po ukončení řízení před UHOS.</w:t>
      </w:r>
      <w:r w:rsidR="001D698E">
        <w:rPr>
          <w:rFonts w:ascii="Arial" w:hAnsi="Arial" w:cs="Arial"/>
        </w:rPr>
        <w:t xml:space="preserve"> Přílohou faktury bude předávací protokol podepsaný oběma stranami obsahující seznam dokumentů k veřejné zakázce předaných příkazníkem příkazci.</w:t>
      </w:r>
    </w:p>
    <w:p w:rsidR="00DF7917" w:rsidRDefault="00DF7917" w:rsidP="00FC651E">
      <w:pPr>
        <w:pStyle w:val="Odstavecseseznamem1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Smluvní strany se dohodly na lhůtě splatnosti </w:t>
      </w:r>
      <w:r w:rsidR="009C5714" w:rsidRPr="00F67FA3">
        <w:rPr>
          <w:rFonts w:ascii="Arial" w:hAnsi="Arial" w:cs="Arial"/>
        </w:rPr>
        <w:t>40</w:t>
      </w:r>
      <w:r w:rsidRPr="00F67FA3">
        <w:rPr>
          <w:rFonts w:ascii="Arial" w:hAnsi="Arial" w:cs="Arial"/>
        </w:rPr>
        <w:t xml:space="preserve"> kalendářních dnů</w:t>
      </w:r>
      <w:r>
        <w:rPr>
          <w:rFonts w:ascii="Arial" w:hAnsi="Arial" w:cs="Arial"/>
        </w:rPr>
        <w:t xml:space="preserve"> ode dne doručení faktury příkazci. </w:t>
      </w:r>
    </w:p>
    <w:p w:rsidR="00DF7917" w:rsidRDefault="00DF7917" w:rsidP="00FC651E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Příkazce nebude poskytovat </w:t>
      </w:r>
      <w:r>
        <w:rPr>
          <w:rFonts w:ascii="Arial" w:hAnsi="Arial" w:cs="Arial"/>
          <w:sz w:val="22"/>
          <w:szCs w:val="22"/>
          <w:lang w:val="cs-CZ"/>
        </w:rPr>
        <w:t xml:space="preserve">příkazníkovi </w:t>
      </w:r>
      <w:r>
        <w:rPr>
          <w:rFonts w:ascii="Arial" w:hAnsi="Arial" w:cs="Arial"/>
          <w:sz w:val="22"/>
          <w:lang w:val="cs-CZ"/>
        </w:rPr>
        <w:t>žádné zálohy na cenu za plnění předmětu smlouvy v jakékoliv formě.</w:t>
      </w:r>
    </w:p>
    <w:p w:rsidR="00DF7917" w:rsidRDefault="00DF7917" w:rsidP="00FC651E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se zavazuje, že bankovní účet jím určený pro zaplacení jakéhokoliv závazku příkazce</w:t>
      </w:r>
      <w:r w:rsidR="00F67FA3">
        <w:rPr>
          <w:rFonts w:ascii="Arial" w:hAnsi="Arial" w:cs="Arial"/>
          <w:sz w:val="22"/>
          <w:szCs w:val="22"/>
          <w:lang w:val="cs-CZ"/>
        </w:rPr>
        <w:t>m</w:t>
      </w:r>
      <w:r>
        <w:rPr>
          <w:rFonts w:ascii="Arial" w:hAnsi="Arial" w:cs="Arial"/>
          <w:sz w:val="22"/>
          <w:szCs w:val="22"/>
          <w:lang w:val="cs-CZ"/>
        </w:rPr>
        <w:t xml:space="preserve"> na základě této smlouvy</w:t>
      </w:r>
      <w:r w:rsidR="00F67FA3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bude od data podpisu této smlouvy do ukončení její platnosti zveřejněn způsobem umožňujícím dálkový přístup ve smyslu § 96 odst. 2</w:t>
      </w:r>
      <w:r w:rsidR="00F67FA3">
        <w:rPr>
          <w:rFonts w:ascii="Arial" w:hAnsi="Arial" w:cs="Arial"/>
          <w:sz w:val="22"/>
          <w:szCs w:val="22"/>
          <w:lang w:val="cs-CZ"/>
        </w:rPr>
        <w:t xml:space="preserve"> zákona č. 235/2004 Sb., o dani z přidané hodnoty (déle „</w:t>
      </w:r>
      <w:r>
        <w:rPr>
          <w:rFonts w:ascii="Arial" w:hAnsi="Arial" w:cs="Arial"/>
          <w:sz w:val="22"/>
          <w:szCs w:val="22"/>
          <w:lang w:val="cs-CZ"/>
        </w:rPr>
        <w:t>ZDPH</w:t>
      </w:r>
      <w:r w:rsidR="00F67FA3">
        <w:rPr>
          <w:rFonts w:ascii="Arial" w:hAnsi="Arial" w:cs="Arial"/>
          <w:sz w:val="22"/>
          <w:szCs w:val="22"/>
          <w:lang w:val="cs-CZ"/>
        </w:rPr>
        <w:t>“)</w:t>
      </w:r>
      <w:r>
        <w:rPr>
          <w:rFonts w:ascii="Arial" w:hAnsi="Arial" w:cs="Arial"/>
          <w:sz w:val="22"/>
          <w:szCs w:val="22"/>
          <w:lang w:val="cs-CZ"/>
        </w:rPr>
        <w:t>, v opačném případě je příkazník povinen sdělit příkazci jiný bankovní účet řádně zveřejněný ve smyslu § 96 ZDPH.</w:t>
      </w:r>
    </w:p>
    <w:p w:rsidR="00DF7917" w:rsidRDefault="00DF7917" w:rsidP="00FC651E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Pokud příkazci vznikne podle § 109 ZDPH ručení za nezaplacenou DPH z přijatého zdanitelného plnění od příkazníka, má příkazce právo bez souhlasu příkazníka uplatnit </w:t>
      </w:r>
      <w:r>
        <w:rPr>
          <w:rFonts w:ascii="Arial" w:hAnsi="Arial" w:cs="Arial"/>
          <w:sz w:val="22"/>
          <w:szCs w:val="22"/>
          <w:lang w:val="cs-CZ"/>
        </w:rPr>
        <w:lastRenderedPageBreak/>
        <w:t>postup zvláštního způsobu zajištění daně</w:t>
      </w:r>
      <w:r w:rsidRPr="00ED5233">
        <w:rPr>
          <w:rFonts w:ascii="Arial" w:hAnsi="Arial" w:cs="Arial"/>
          <w:sz w:val="22"/>
          <w:szCs w:val="22"/>
          <w:lang w:val="cs-CZ"/>
        </w:rPr>
        <w:t>, tzn.,</w:t>
      </w:r>
      <w:r>
        <w:rPr>
          <w:rFonts w:ascii="Arial" w:hAnsi="Arial" w:cs="Arial"/>
          <w:sz w:val="22"/>
          <w:szCs w:val="22"/>
          <w:lang w:val="cs-CZ"/>
        </w:rPr>
        <w:t xml:space="preserve"> že je příkazce oprávněn odvést částku DPH podle faktury</w:t>
      </w:r>
      <w:r w:rsidR="00ED5233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-</w:t>
      </w:r>
      <w:r w:rsidR="00ED5233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daňového dokladu vystavené příkazníkem přímo příslušnému finančnímu úřadu</w:t>
      </w:r>
      <w:r w:rsidR="00ED5233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a to v návaznosti na §109 a §109a ZDPH.</w:t>
      </w:r>
    </w:p>
    <w:p w:rsidR="00DF7917" w:rsidRDefault="00DF7917" w:rsidP="00FC651E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Úhradou DPH na účet finančního úřadu se pohledávka příkazníka vůči příkazci v částce uhrazené DPH považuje bez ohledu na další ustanovení smlouvy za uhrazenou. Zároveň je příkazce povinen příkazníka o takové úhradě bezprostředně po jejím uskutečnění písemně informovat.</w:t>
      </w:r>
    </w:p>
    <w:p w:rsidR="00DF7917" w:rsidRDefault="00DF7917" w:rsidP="00FC651E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Veškeré faktury (daňové doklady) musí obsahovat náležitosti stanovené právními předpisy a touto smlouvou, evidenční číslo smlouvy a číslo příslušného písemného požadavku příkazce. V případě, že faktura nebude obsahovat požadované náležitosti, je příkazce oprávněn zaslat ji ve lhůtě splatnosti zpět </w:t>
      </w:r>
      <w:r>
        <w:rPr>
          <w:rFonts w:ascii="Arial" w:hAnsi="Arial" w:cs="Arial"/>
          <w:sz w:val="22"/>
          <w:szCs w:val="22"/>
          <w:lang w:val="cs-CZ"/>
        </w:rPr>
        <w:t xml:space="preserve">příkazníkovi </w:t>
      </w:r>
      <w:r>
        <w:rPr>
          <w:rFonts w:ascii="Arial" w:hAnsi="Arial" w:cs="Arial"/>
          <w:sz w:val="22"/>
          <w:lang w:val="cs-CZ"/>
        </w:rPr>
        <w:t>k doplnění, aniž se tím dostane do prodlení. Lhůta splatnosti v takovém případě počíná běžet znovu ode dne doručení náležitě doplněné či opravené faktury příkazci.</w:t>
      </w:r>
    </w:p>
    <w:p w:rsidR="00DF7917" w:rsidRDefault="00DF7917" w:rsidP="00DF7917">
      <w:pPr>
        <w:pStyle w:val="Zkladntext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VI.</w:t>
      </w:r>
    </w:p>
    <w:p w:rsidR="00DF7917" w:rsidRDefault="00DF7917" w:rsidP="00DF7917">
      <w:pPr>
        <w:pStyle w:val="Zkladntext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Pověřené osoby</w:t>
      </w:r>
    </w:p>
    <w:p w:rsidR="00DF7917" w:rsidRDefault="00DF7917" w:rsidP="00DF7917">
      <w:pPr>
        <w:numPr>
          <w:ilvl w:val="0"/>
          <w:numId w:val="11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Není-li v dílčí objednávce uvedeno jinak, platí, že veškerá oznámení, žádosti nebo jiná sdělení učiněná některou ze smluvních stran na základě této smlouvy budou uskutečněna písemně a budou považována za řádně učiněná, jakmile budou doručena druhé smluvní straně.</w:t>
      </w:r>
    </w:p>
    <w:p w:rsidR="00DF7917" w:rsidRDefault="00DF7917" w:rsidP="00DF7917">
      <w:pPr>
        <w:pStyle w:val="Zkladntext"/>
        <w:suppressAutoHyphens/>
        <w:spacing w:after="120"/>
        <w:ind w:left="4248" w:hanging="382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Kontaktní osoba příkazce:</w:t>
      </w:r>
      <w:r>
        <w:rPr>
          <w:rFonts w:ascii="Arial" w:hAnsi="Arial" w:cs="Arial"/>
          <w:szCs w:val="22"/>
        </w:rPr>
        <w:tab/>
      </w:r>
      <w:r w:rsidR="006369F7">
        <w:rPr>
          <w:rFonts w:ascii="Arial" w:hAnsi="Arial" w:cs="Arial"/>
          <w:szCs w:val="22"/>
        </w:rPr>
        <w:t>xxx</w:t>
      </w:r>
    </w:p>
    <w:p w:rsidR="00DF7917" w:rsidRPr="000143B4" w:rsidRDefault="00DF7917" w:rsidP="000143B4">
      <w:pPr>
        <w:pStyle w:val="Zkladntext"/>
        <w:suppressAutoHyphens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2"/>
        </w:rPr>
        <w:t xml:space="preserve">Kontaktní osoba příkazníka: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6369F7">
        <w:rPr>
          <w:rFonts w:ascii="Arial" w:hAnsi="Arial" w:cs="Arial"/>
          <w:color w:val="000000"/>
          <w:sz w:val="20"/>
          <w:szCs w:val="20"/>
        </w:rPr>
        <w:t>xxx</w:t>
      </w:r>
    </w:p>
    <w:p w:rsidR="00DF7917" w:rsidRDefault="00DF7917" w:rsidP="00DF7917">
      <w:pPr>
        <w:numPr>
          <w:ilvl w:val="0"/>
          <w:numId w:val="11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19514A">
        <w:rPr>
          <w:rFonts w:ascii="Arial" w:hAnsi="Arial" w:cs="Arial"/>
          <w:szCs w:val="22"/>
          <w:lang w:val="cs-CZ"/>
        </w:rPr>
        <w:t>S</w:t>
      </w:r>
      <w:r>
        <w:rPr>
          <w:rFonts w:ascii="Arial" w:hAnsi="Arial" w:cs="Arial"/>
          <w:sz w:val="22"/>
          <w:szCs w:val="22"/>
          <w:lang w:val="cs-CZ"/>
        </w:rPr>
        <w:t>mluvní strany jsou povinny na změnu kontaktní osoby, jakož i adresy určené pro komunikaci bez zbytečného odkladu písemně upozornit druhou smluvní stranu. Změna kontaktní osob</w:t>
      </w:r>
      <w:r w:rsidR="00830BAC">
        <w:rPr>
          <w:rFonts w:ascii="Arial" w:hAnsi="Arial" w:cs="Arial"/>
          <w:sz w:val="22"/>
          <w:szCs w:val="22"/>
          <w:lang w:val="cs-CZ"/>
        </w:rPr>
        <w:t>y</w:t>
      </w:r>
      <w:r>
        <w:rPr>
          <w:rFonts w:ascii="Arial" w:hAnsi="Arial" w:cs="Arial"/>
          <w:sz w:val="22"/>
          <w:szCs w:val="22"/>
          <w:lang w:val="cs-CZ"/>
        </w:rPr>
        <w:t xml:space="preserve"> není důvodem pro sepsání dodatku k této smlouvě.</w:t>
      </w:r>
    </w:p>
    <w:p w:rsidR="00DF7917" w:rsidRDefault="00DF7917" w:rsidP="00DF7917">
      <w:pPr>
        <w:numPr>
          <w:ilvl w:val="0"/>
          <w:numId w:val="11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je oprávněn provádět část činnosti prostřednictvím třetích osob, zejména se může jednat o vypracování odborných a znaleckých posudků. Tyto osoby učiní před zahájením své činnosti čestné prohlášení o nepodjatosti a mlčenlivosti.</w:t>
      </w: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b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VII.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>Další práva a povinnost smluvních stran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prohlašuje, že je k veškerým činnostem, které jsou předmětem této smlouvy, právně oprávněný a plně odborně způsobilý a kapacitně, materiálově i technicky vybavený.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je povinen újmu způsobenou při plněni této smlouvy nahradit tehdy, pokud ji způsobil nedbalostí či úmyslem, či pokud ji takto způsobily osoby, které ke své činnosti použil.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je oprávněn se odchýlit od pokynů příkazce, jen pokud je to nezbytné v zájmu příkazce a pokud nemůže včas obdržet jeho souhlas.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Příkazník prohlašuje, že se před uzavřením této smlouvy nedopustil v souvislosti se zadávacím řízením sám nebo prostřednictvím jiné osoby žádného jednání, jež by odporovalo platným právním předpisům nebo dobrým mravům nebo by platné právní předpisy obcházelo, a současně se zavazuje, že se ani žádného obdobného jednání v budoucnu ve vztahu k předmětné veřejné zakázce nedopustí. V případě, že se toto prohlášen</w:t>
      </w:r>
      <w:r w:rsidR="009C5714">
        <w:rPr>
          <w:rFonts w:ascii="Arial" w:hAnsi="Arial" w:cs="Arial"/>
          <w:sz w:val="22"/>
          <w:szCs w:val="22"/>
          <w:lang w:val="cs-CZ"/>
        </w:rPr>
        <w:t>í ukáže jako nepravdivé, má pří</w:t>
      </w:r>
      <w:r>
        <w:rPr>
          <w:rFonts w:ascii="Arial" w:hAnsi="Arial" w:cs="Arial"/>
          <w:sz w:val="22"/>
          <w:szCs w:val="22"/>
          <w:lang w:val="cs-CZ"/>
        </w:rPr>
        <w:t>kazce právo od této smlouvy odstoupit.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je povinen oznámit příkazci všechny okolnosti, které zjistil v průběhu plnění této smlouvy a které mohou mít vliv na plnění předmětu této smlouvy. Příkazník je povinen akceptovat doplňující pokyny a připomínky příkazce ke specifikaci a způsobu plnění předmětu smlouvy.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je oprávněn plnění předmětu smlouvy provést prostřednictvím třetích osob (subdodavatelů). V případě plnění předmětu smlouvy prostřednictvím subdodavatele příkazník odpovídá, jako by plnění provedl sám.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je povinen mít po dobu účinnosti této smlouvy uzavřeno pojištění pro případ vzniku odpovědnosti za škodu způsobenou třetí osobě v souvislosti s plněním této smlouvy, a to s poji</w:t>
      </w:r>
      <w:r w:rsidR="00CB5E6D">
        <w:rPr>
          <w:rFonts w:ascii="Arial" w:hAnsi="Arial" w:cs="Arial"/>
          <w:sz w:val="22"/>
          <w:szCs w:val="22"/>
          <w:lang w:val="cs-CZ"/>
        </w:rPr>
        <w:t>stným plněním ve výši nejméně 8</w:t>
      </w:r>
      <w:r>
        <w:rPr>
          <w:rFonts w:ascii="Arial" w:hAnsi="Arial" w:cs="Arial"/>
          <w:sz w:val="22"/>
          <w:szCs w:val="22"/>
          <w:lang w:val="cs-CZ"/>
        </w:rPr>
        <w:t>0.000.000,- Kč. Doklad o pojištění dle předchozí věty předložil příkazník příkazci před podpisem této smlouvy. Kdykoliv v průběhu t</w:t>
      </w:r>
      <w:r w:rsidR="009C5714">
        <w:rPr>
          <w:rFonts w:ascii="Arial" w:hAnsi="Arial" w:cs="Arial"/>
          <w:sz w:val="22"/>
          <w:szCs w:val="22"/>
          <w:lang w:val="cs-CZ"/>
        </w:rPr>
        <w:t>r</w:t>
      </w:r>
      <w:r>
        <w:rPr>
          <w:rFonts w:ascii="Arial" w:hAnsi="Arial" w:cs="Arial"/>
          <w:sz w:val="22"/>
          <w:szCs w:val="22"/>
          <w:lang w:val="cs-CZ"/>
        </w:rPr>
        <w:t>vání této smlouvy je příkazník povinen na vyzvání příkazce tomuto předložit aktuální potvrzení o trvání uvedeného pojištění.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se zavazují poskytovat si součinnost za účelem dosažení účelu a předmětu této smlouvy. Příkazce se zavazuje poskytnout příkazníkovi nezbytnou součinnost, tedy zejména:</w:t>
      </w:r>
    </w:p>
    <w:p w:rsidR="00DF7917" w:rsidRDefault="00830BAC" w:rsidP="00DF7917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doložení veškerých podkladů potřebných k řádnému plnění této smlouvy příkazníkem,</w:t>
      </w:r>
    </w:p>
    <w:p w:rsidR="00DF7917" w:rsidRDefault="00DF7917" w:rsidP="00DF7917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zajistit zveřejnění příslušných dokumentů na profilu zadavatele nebo v registru smluv dle obecně závazných právních předpisů,</w:t>
      </w:r>
    </w:p>
    <w:p w:rsidR="00DF7917" w:rsidRDefault="00DF7917" w:rsidP="00DF7917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zajistit součinnost zpracovatele technických podkladů, a to zejména při zpracování dodatečných informací a při posouzení nabídek.</w:t>
      </w:r>
    </w:p>
    <w:p w:rsidR="00DF7917" w:rsidRDefault="00DF7917" w:rsidP="00DF7917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se zavazuje poskytnout příkazci na jeho žádost veškeré informace a podklady, které příkazník shromáždil v souvislosti s poskytováním služeb dle této smlouvy.</w:t>
      </w:r>
    </w:p>
    <w:p w:rsidR="00CB6066" w:rsidRPr="00CB6066" w:rsidRDefault="00CB6066" w:rsidP="00CB6066">
      <w:pPr>
        <w:numPr>
          <w:ilvl w:val="0"/>
          <w:numId w:val="12"/>
        </w:numPr>
        <w:spacing w:after="120" w:line="276" w:lineRule="auto"/>
        <w:ind w:left="426" w:hanging="502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</w:t>
      </w:r>
      <w:r w:rsidRPr="00CB6066">
        <w:rPr>
          <w:rFonts w:ascii="Arial" w:hAnsi="Arial" w:cs="Arial"/>
          <w:sz w:val="22"/>
          <w:szCs w:val="22"/>
          <w:lang w:val="cs-CZ"/>
        </w:rPr>
        <w:t xml:space="preserve"> je povinen uchovávat veškerou dokumentaci související s realizací projektu včetně účetních dokladů minimálně do konce roku 2028. Pokud je v českých právních předpisech stanovena lhůta delší, musí ji </w:t>
      </w:r>
      <w:r>
        <w:rPr>
          <w:rFonts w:ascii="Arial" w:hAnsi="Arial" w:cs="Arial"/>
          <w:sz w:val="22"/>
          <w:szCs w:val="22"/>
          <w:lang w:val="cs-CZ"/>
        </w:rPr>
        <w:t>příkazník</w:t>
      </w:r>
      <w:r w:rsidRPr="00CB6066">
        <w:rPr>
          <w:rFonts w:ascii="Arial" w:hAnsi="Arial" w:cs="Arial"/>
          <w:sz w:val="22"/>
          <w:szCs w:val="22"/>
          <w:lang w:val="cs-CZ"/>
        </w:rPr>
        <w:t xml:space="preserve"> použít. </w:t>
      </w:r>
    </w:p>
    <w:p w:rsidR="00CB6066" w:rsidRPr="00CB6066" w:rsidRDefault="00CB6066" w:rsidP="00CB6066">
      <w:pPr>
        <w:numPr>
          <w:ilvl w:val="0"/>
          <w:numId w:val="12"/>
        </w:numPr>
        <w:spacing w:after="120" w:line="276" w:lineRule="auto"/>
        <w:ind w:left="426" w:hanging="502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 je povinen každou fakturu příkazníka</w:t>
      </w:r>
      <w:r w:rsidRPr="00CB6066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označit</w:t>
      </w:r>
      <w:r w:rsidRPr="00CB6066">
        <w:rPr>
          <w:rFonts w:ascii="Arial" w:hAnsi="Arial" w:cs="Arial"/>
          <w:sz w:val="22"/>
          <w:szCs w:val="22"/>
          <w:lang w:val="cs-CZ"/>
        </w:rPr>
        <w:t xml:space="preserve"> číslem projektu. </w:t>
      </w:r>
    </w:p>
    <w:p w:rsidR="00CB6066" w:rsidRDefault="00CB6066" w:rsidP="00CB6066">
      <w:pPr>
        <w:numPr>
          <w:ilvl w:val="0"/>
          <w:numId w:val="12"/>
        </w:numPr>
        <w:spacing w:after="120" w:line="276" w:lineRule="auto"/>
        <w:ind w:left="426" w:hanging="502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Příkazník</w:t>
      </w:r>
      <w:r w:rsidRPr="00CB6066">
        <w:rPr>
          <w:rFonts w:ascii="Arial" w:hAnsi="Arial" w:cs="Arial"/>
          <w:sz w:val="22"/>
          <w:szCs w:val="22"/>
          <w:lang w:val="cs-CZ"/>
        </w:rPr>
        <w:t xml:space="preserve">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VIII.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 xml:space="preserve">Předání a převzetí plnění </w:t>
      </w:r>
    </w:p>
    <w:p w:rsidR="00DF7917" w:rsidRDefault="00DF7917" w:rsidP="00DF7917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Příkazník </w:t>
      </w:r>
      <w:r>
        <w:rPr>
          <w:rFonts w:ascii="Arial" w:hAnsi="Arial" w:cs="Arial"/>
          <w:sz w:val="22"/>
          <w:lang w:val="cs-CZ"/>
        </w:rPr>
        <w:t xml:space="preserve">splní svoji smluvní povinnost poskytnout dílčí služby dle konkrétní dílčí objednávky dnem předání řádného a úplného plnění bez zjevných vad a nedodělků příkazci. </w:t>
      </w:r>
      <w:r w:rsidR="00435EEC">
        <w:rPr>
          <w:rFonts w:ascii="Arial" w:hAnsi="Arial" w:cs="Arial"/>
          <w:sz w:val="22"/>
          <w:lang w:val="cs-CZ"/>
        </w:rPr>
        <w:t>O předání a převzetí plnění bude sepsán předávací protokol.</w:t>
      </w: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IX.</w:t>
      </w:r>
    </w:p>
    <w:p w:rsidR="00DF7917" w:rsidRDefault="00DF7917" w:rsidP="00DF7917">
      <w:pPr>
        <w:pStyle w:val="Zkladntext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Porušení smluvních povinností</w:t>
      </w:r>
    </w:p>
    <w:p w:rsidR="00DF7917" w:rsidRDefault="00DF7917" w:rsidP="00DF7917">
      <w:pPr>
        <w:pStyle w:val="Zkladntext"/>
        <w:numPr>
          <w:ilvl w:val="3"/>
          <w:numId w:val="15"/>
        </w:numPr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v případě, kdy příkazce neuhradí ve stanovené lhůtě splatnosti faktury za výše uvedenou cenu za poskytované služby dle této smlouvy, je příkazce povinen zaplatit příkazníkovi úrok v zákonné výši z dlužné částky za každý den prodlení.</w:t>
      </w:r>
    </w:p>
    <w:p w:rsidR="00DF7917" w:rsidRDefault="00DF7917" w:rsidP="00DF7917">
      <w:pPr>
        <w:pStyle w:val="Zkladntext"/>
        <w:numPr>
          <w:ilvl w:val="3"/>
          <w:numId w:val="15"/>
        </w:numPr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prokazatelného porušení povinností příkazníka plynoucích z této smlouvy je příkazník povinen zaplatit příkazci pokutu ve výši 1.000,- Kč, a to za každý jednotlivý případ.</w:t>
      </w:r>
    </w:p>
    <w:p w:rsidR="00DF7917" w:rsidRDefault="00DF7917" w:rsidP="00DF7917">
      <w:pPr>
        <w:pStyle w:val="Zkladntext"/>
        <w:numPr>
          <w:ilvl w:val="3"/>
          <w:numId w:val="15"/>
        </w:numPr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prokazatelného porušení povinností smluvních stran k zachování mlčenlivosti podle článku XIII. této smlouvy</w:t>
      </w:r>
      <w:r w:rsidR="007158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smluvní strana, která povinnost porušila, povinna zaplatit druhé smluvní straně smluvní pokutu ve výši 20.000,- Kč, a to za každý jednotlivý případ.</w:t>
      </w:r>
    </w:p>
    <w:p w:rsidR="00DF7917" w:rsidRDefault="00DF7917" w:rsidP="00DF7917">
      <w:pPr>
        <w:pStyle w:val="Zkladntext"/>
        <w:numPr>
          <w:ilvl w:val="3"/>
          <w:numId w:val="15"/>
        </w:numPr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Zaplacením smluvních pokut není dotčeno právo na náhradu škody způsobené porušením povinnosti i v případě, že jde o porušení povinnosti, na kterou se vztahuje smluvní pokuta. Smluvní strany tedy výslovně vylučují u smluvního vztahu založeným touto smlouvou aplikaci ustanovení § 2050 </w:t>
      </w:r>
      <w:r w:rsidR="00715855">
        <w:rPr>
          <w:rFonts w:ascii="Arial" w:hAnsi="Arial" w:cs="Arial"/>
        </w:rPr>
        <w:t>občanského zákoníku</w:t>
      </w:r>
      <w:r>
        <w:rPr>
          <w:rFonts w:ascii="Arial" w:hAnsi="Arial" w:cs="Arial"/>
        </w:rPr>
        <w:t>. Náhrada škody zahrnuje skutečnou škodu a ušlý zisk.</w:t>
      </w: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lang w:val="cs-CZ"/>
        </w:rPr>
      </w:pPr>
    </w:p>
    <w:p w:rsidR="00DF7917" w:rsidRDefault="00DF7917" w:rsidP="00DF7917">
      <w:pPr>
        <w:spacing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X.</w:t>
      </w:r>
    </w:p>
    <w:p w:rsidR="00DF7917" w:rsidRDefault="00DF7917" w:rsidP="00DF7917">
      <w:pPr>
        <w:spacing w:after="120" w:line="276" w:lineRule="auto"/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>Doba trvání smlouvy a ukončení smlouvy, zánik příkazu</w:t>
      </w:r>
    </w:p>
    <w:p w:rsidR="00401580" w:rsidRDefault="00DF7917" w:rsidP="00401580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Tato smlouva se uzavírá na dobu určitou</w:t>
      </w:r>
      <w:r w:rsidR="00401580">
        <w:rPr>
          <w:rFonts w:ascii="Arial" w:hAnsi="Arial" w:cs="Arial"/>
          <w:sz w:val="22"/>
          <w:lang w:val="cs-CZ"/>
        </w:rPr>
        <w:t>,</w:t>
      </w:r>
      <w:r>
        <w:rPr>
          <w:rFonts w:ascii="Arial" w:hAnsi="Arial" w:cs="Arial"/>
          <w:sz w:val="22"/>
          <w:lang w:val="cs-CZ"/>
        </w:rPr>
        <w:t xml:space="preserve"> </w:t>
      </w:r>
      <w:r w:rsidR="00401580">
        <w:rPr>
          <w:rFonts w:ascii="Arial" w:hAnsi="Arial" w:cs="Arial"/>
          <w:sz w:val="22"/>
          <w:lang w:val="cs-CZ"/>
        </w:rPr>
        <w:t xml:space="preserve">a to do 30. 11. 2019 nebo do splnění předmětu dle této smlouvy. </w:t>
      </w:r>
    </w:p>
    <w:p w:rsidR="00DF7917" w:rsidRDefault="00DF7917" w:rsidP="00DF7917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do splnění předmětu dle této smlouvy. </w:t>
      </w:r>
    </w:p>
    <w:p w:rsidR="00DF7917" w:rsidRDefault="00DF7917" w:rsidP="00DF7917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Tato rámcová smlouva nabývá účinnosti dnem jejího podpisu oběma smluvními stranami. </w:t>
      </w:r>
    </w:p>
    <w:p w:rsidR="00DF7917" w:rsidRDefault="00DF7917" w:rsidP="00DF7917">
      <w:p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3.   Tato rámcová smlouva může před uplynutím doby jejího trvání zaniknout:</w:t>
      </w:r>
    </w:p>
    <w:p w:rsidR="00DF7917" w:rsidRDefault="00DF7917" w:rsidP="00DF7917">
      <w:pPr>
        <w:numPr>
          <w:ilvl w:val="0"/>
          <w:numId w:val="17"/>
        </w:numPr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na základě písemné dohody smluvních stran,</w:t>
      </w:r>
    </w:p>
    <w:p w:rsidR="00DF7917" w:rsidRDefault="00DF7917" w:rsidP="00DF7917">
      <w:pPr>
        <w:numPr>
          <w:ilvl w:val="0"/>
          <w:numId w:val="17"/>
        </w:numPr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odstoupením jedné smluvní strany ze zákonných důvodů, nebo jestliže druhá ze smluvních stran nedodrží své závazky dané touto rámcovou smlouvou, resp. dílčí objednávkou a ve lhůtě 10 pracovních dnů po obdržení písemného upozornění na tuto skutečnost nezjedná nápravu; smluvní strana může odstoupit od rámcové </w:t>
      </w:r>
      <w:r>
        <w:rPr>
          <w:rFonts w:ascii="Arial" w:hAnsi="Arial" w:cs="Arial"/>
          <w:sz w:val="22"/>
          <w:szCs w:val="22"/>
          <w:lang w:val="cs-CZ"/>
        </w:rPr>
        <w:lastRenderedPageBreak/>
        <w:t>smlouvy, aniž by se zbavovala jakýchkoliv svých jiných práv. V takovém případě účinky odstoupení od rámcové smlouvy nastanou okamžikem doručení písemného projevu vůle odstoupit od smlouvy druhé smluvní straně,</w:t>
      </w:r>
    </w:p>
    <w:p w:rsidR="00DF7917" w:rsidRDefault="00DF7917" w:rsidP="00DF7917">
      <w:pPr>
        <w:numPr>
          <w:ilvl w:val="0"/>
          <w:numId w:val="17"/>
        </w:numPr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Výpovědí kteroukoliv ze stran bez udání důvodů s tříměsíční výpovědní lhůtou, která začne běžet prvního dne měsíce následujícího po doručení výpovědi druhé smluvní straně. Výpověď nemůže dát příkazník, pokud již přijal dílčí objednávku dle článku I. odst. 2 této smlouvy.</w:t>
      </w:r>
    </w:p>
    <w:p w:rsidR="00DF7917" w:rsidRDefault="00DF7917" w:rsidP="00DF7917">
      <w:pPr>
        <w:pStyle w:val="Odstavecseseznamem1"/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Právo na náhradu škody strany odstupující smluvní strany není dotčeno.</w:t>
      </w:r>
    </w:p>
    <w:p w:rsidR="00DF7917" w:rsidRDefault="00DF7917" w:rsidP="00DF7917">
      <w:pPr>
        <w:pStyle w:val="Odstavecseseznamem1"/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zavazují, že v případě ukončení této rámcové smlouvy z jakéhokoli důvodu, provedou řádné vypořádání veškerých vzájemných závazků a pohledávek ve lhůtě 2 měsíců od ukončení této rámcové smlouvy.</w:t>
      </w:r>
    </w:p>
    <w:p w:rsidR="00DF7917" w:rsidRDefault="00DF7917" w:rsidP="00DF7917">
      <w:pPr>
        <w:pStyle w:val="Odstavecseseznamem1"/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Účinky odstoupení od smlouvy nastávají dnem doručení písemného oznámení o odstoupení druhé smluvní straně. V případě odstoupení od smlouvy se poskytnuté plnění nevrací.</w:t>
      </w:r>
    </w:p>
    <w:p w:rsidR="00DF7917" w:rsidRDefault="00DF7917" w:rsidP="00DF7917">
      <w:pPr>
        <w:pStyle w:val="Odstavecseseznamem1"/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Ukončením účinnosti smlouvy není dotčen nárok na zaplacení smluvní pokuty nebo úroku z prodlení, pokud již dospěl, případně nárok na náhradu škody vzniklé porušením této smlouvy.</w:t>
      </w:r>
    </w:p>
    <w:p w:rsidR="00DF7917" w:rsidRDefault="00DF7917" w:rsidP="00DF7917">
      <w:pPr>
        <w:pStyle w:val="Odstavecseseznamem1"/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může příkaz kdykoliv částečně nebo v celém rozsahu odvolat a od objednávky odstoupit bez uvedení důvodu. Příkazník v takovém případě předloží příkazci vyúčtování za řádně poskytnuté služby a předá příkazci veškeré podklady a dokumenty související s dosavadním poskytnutím služeb dle této smlouvy. V případě odvolání příkazu ve fázi řízení do podání nabídek má příkazník právo na úhradu 50 % odměny uvedené v čl. IV odst. 2 této smlouvy, ve fázi po podání nabídek 100 % odměny uvedené v čl. IV odst. 2 této smlouvy. V případě, že příkazce odvolá příkaz z důvodu podstatného porušení smlouvy příkazníkem, nebo v případě, kdy příkazník nedodrží své závazky a ve lhůtě 5 pracovních dnů po obdržení písemného upozornění na tuto nezjedná nápravu, nemá příkazník nárok na úhradu (ani části) odměny dle čl. IV této smlouvy.</w:t>
      </w:r>
    </w:p>
    <w:p w:rsidR="00DF7917" w:rsidRDefault="00DF7917" w:rsidP="00DF7917">
      <w:pPr>
        <w:pStyle w:val="Odstavecseseznamem1"/>
        <w:spacing w:after="120" w:line="276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F7917" w:rsidRDefault="00DF7917" w:rsidP="00DF7917">
      <w:pPr>
        <w:pStyle w:val="Odstavecseseznamem1"/>
        <w:spacing w:line="276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</w:rPr>
        <w:t>ČLÁNEK XI.</w:t>
      </w:r>
    </w:p>
    <w:p w:rsidR="00DF7917" w:rsidRDefault="00DF7917" w:rsidP="00DF7917">
      <w:pPr>
        <w:pStyle w:val="Nadpis1"/>
        <w:keepLines w:val="0"/>
        <w:spacing w:before="0" w:after="120" w:line="276" w:lineRule="auto"/>
        <w:jc w:val="both"/>
        <w:rPr>
          <w:rFonts w:ascii="Arial" w:hAnsi="Arial" w:cs="Arial"/>
          <w:b/>
          <w:color w:val="auto"/>
          <w:sz w:val="22"/>
          <w:szCs w:val="22"/>
          <w:lang w:val="cs-CZ"/>
        </w:rPr>
      </w:pPr>
      <w:r>
        <w:rPr>
          <w:rFonts w:ascii="Arial" w:hAnsi="Arial" w:cs="Arial"/>
          <w:b/>
          <w:color w:val="auto"/>
          <w:sz w:val="22"/>
          <w:szCs w:val="22"/>
          <w:lang w:val="cs-CZ"/>
        </w:rPr>
        <w:t>Ochrana a bezpečnost informací</w:t>
      </w:r>
    </w:p>
    <w:p w:rsidR="00DF7917" w:rsidRDefault="00DF7917" w:rsidP="00DF7917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Žádná ze smluvních stran není oprávněna poskytnout třetím osobám jakékoliv informace o podmínkách této smlouvy a souvisejících s touto smlouvou, jejichž obsahem mohou být důvěrné informace, osobní a citlivé údaje, informace týkající se obchodního tajemství, technologie nebo know-how, s výjimkou povinnosti poskytovat informace podle zvláštních právních předpisů. </w:t>
      </w:r>
    </w:p>
    <w:p w:rsidR="00DF7917" w:rsidRDefault="00DF7917" w:rsidP="00DF7917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Příkazník se zavazuje nesdělovat nikomu informace související s činností a bezpečnostní ochranou příkazce, které by se dozvěděl v souvislosti s plněním této rámcové smlouvy. Příkazce upozorňuje příkazníka, že tyto informace jsou informacemi neveřejnými, s povinností dodržování mlčenlivosti.</w:t>
      </w:r>
    </w:p>
    <w:p w:rsidR="00DF7917" w:rsidRDefault="00DF7917" w:rsidP="00DF7917">
      <w:pPr>
        <w:pStyle w:val="Zkladntext"/>
        <w:numPr>
          <w:ilvl w:val="0"/>
          <w:numId w:val="19"/>
        </w:numPr>
        <w:tabs>
          <w:tab w:val="left" w:pos="0"/>
        </w:tabs>
        <w:spacing w:after="120" w:line="276" w:lineRule="auto"/>
        <w:ind w:left="426" w:hanging="426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Příkazník se též zavazuje, že informace, které získá o příkazci při provádění činností podle této rámcové smlouvy, a které nejsou veřejně dostupné, bude považovat za neveřejné (dále jen „</w:t>
      </w:r>
      <w:r>
        <w:rPr>
          <w:rFonts w:ascii="Arial" w:eastAsiaTheme="minorHAnsi" w:hAnsi="Arial" w:cs="Arial"/>
          <w:b/>
          <w:szCs w:val="22"/>
          <w:lang w:eastAsia="en-US"/>
        </w:rPr>
        <w:t>neveřejné informace</w:t>
      </w:r>
      <w:r>
        <w:rPr>
          <w:rFonts w:ascii="Arial" w:eastAsiaTheme="minorHAnsi" w:hAnsi="Arial" w:cs="Arial"/>
          <w:szCs w:val="22"/>
          <w:lang w:eastAsia="en-US"/>
        </w:rPr>
        <w:t>“).</w:t>
      </w:r>
    </w:p>
    <w:p w:rsidR="00DF7917" w:rsidRDefault="00DF7917" w:rsidP="00DF7917">
      <w:pPr>
        <w:pStyle w:val="Zkladntext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lastRenderedPageBreak/>
        <w:t xml:space="preserve">Příkazník se zavazuje, že zabezpečí všechny převzaté informace (v jakékoli podobě), které získá v souvislosti s plněním předmětu této smlouvy, před zneužitím třetími osobami a že nepoužije údaje týkající se příkazce v rozporu s jejich účelem. </w:t>
      </w:r>
    </w:p>
    <w:p w:rsidR="00DF7917" w:rsidRDefault="00DF7917" w:rsidP="00DF7917">
      <w:pPr>
        <w:pStyle w:val="Zkladntext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Příkazník se též zavazuje, že poučí oprávněné osoby, které budou provádět činnosti podle této rámcové smlouvy, o povinnosti zachovávat mlčenlivost ve věcech souvisejících s předmětem této rámcové smlouvy, jakož i nesdělovat nikomu informace, které by se v souvislosti s tímto smluvním vztahem dověděli. </w:t>
      </w:r>
    </w:p>
    <w:p w:rsidR="00DF7917" w:rsidRDefault="00DF7917" w:rsidP="00DF7917">
      <w:pPr>
        <w:pStyle w:val="Zkladntext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Příkazník si je vědom, že povinnost dodržovat mlčenlivost o informacích získaných v souvislosti s plněním </w:t>
      </w:r>
      <w:r>
        <w:rPr>
          <w:rFonts w:ascii="Arial" w:eastAsiaTheme="minorHAnsi" w:hAnsi="Arial" w:cs="Arial"/>
          <w:szCs w:val="22"/>
          <w:lang w:eastAsia="en-US"/>
        </w:rPr>
        <w:t>předmětu</w:t>
      </w:r>
      <w:r>
        <w:rPr>
          <w:rFonts w:ascii="Arial" w:hAnsi="Arial" w:cs="Arial"/>
          <w:szCs w:val="22"/>
        </w:rPr>
        <w:t xml:space="preserve"> této rámcové smlouvy trvá i po skončení platnosti této rámcové smlouvy</w:t>
      </w: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lang w:val="cs-CZ"/>
        </w:rPr>
      </w:pP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ČLÁNEK XII.</w:t>
      </w: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lang w:val="cs-CZ"/>
        </w:rPr>
      </w:pPr>
      <w:r>
        <w:rPr>
          <w:rFonts w:ascii="Arial" w:eastAsia="Times New Roman" w:hAnsi="Arial" w:cs="Arial"/>
          <w:b/>
          <w:sz w:val="22"/>
          <w:lang w:val="cs-CZ"/>
        </w:rPr>
        <w:t>Závěrečná ustanovení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Příkazník </w:t>
      </w:r>
      <w:r>
        <w:rPr>
          <w:rFonts w:ascii="Arial" w:eastAsia="Times New Roman" w:hAnsi="Arial" w:cs="Arial"/>
        </w:rPr>
        <w:t>není</w:t>
      </w:r>
      <w:r>
        <w:rPr>
          <w:rFonts w:ascii="Arial" w:hAnsi="Arial" w:cs="Arial"/>
        </w:rPr>
        <w:t xml:space="preserve"> oprávněn postoupit nebo jakkoliv převést svá práva a povinnosti vyplývající z této smlouvy bez předchozího souhlasu druhé smluvní strany.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Tato rámcová smlouva nabývá platnosti a účinnosti dnem podpisu oprávněnými zástupci obou smluvních stran. 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Tato smlouva může být měněna či doplňována pouze písemnými oboustranně dohodnutými, postupně číslovanými dodatky, které musí být podepsány oběma smluvními stranami. Tyto dodatky se stávají nedílnou součástí smlouvy</w:t>
      </w:r>
      <w:r>
        <w:rPr>
          <w:rFonts w:ascii="Arial" w:eastAsia="Times New Roman" w:hAnsi="Arial" w:cs="Arial"/>
        </w:rPr>
        <w:t xml:space="preserve">. 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Smlouvou neupravené vztahy se řídí obecně platnými právními předpisy platnými na území České republiky, zejména občanským zákoníkem.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Příkazník bere na vědomí, že tato smlouva bude zveřejněna v registru smluv v souladu se zákonem č. 340/2015 Sb., o registru smluv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Smlouva je vyhotovena ve 4 stejnopisech s platností originálu, z nichž 2 obdrží příkazce a 2 příkazník.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Smluvní strany této smlouvy prohlašují a stvrzují svými podpisy, že mají plnou způsobilost k právním úkonům, a že tuto smlouvu uzavírají svobodně a vážně, že ji neuzavírají v tísni ani za nápadně nevýhodných podmínek, že si ji řádně přečetly a jsou srozuměny s jejím obsahem a že smlouva nesměřuje ke zhoršení právního postavení účastníka smlouvy, který není podnikatelem. </w:t>
      </w:r>
    </w:p>
    <w:p w:rsidR="00DF7917" w:rsidRDefault="00DF7917" w:rsidP="00DF7917">
      <w:pPr>
        <w:pStyle w:val="Odstavecseseznamem1"/>
        <w:numPr>
          <w:ilvl w:val="2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1"/>
        </w:rPr>
      </w:pPr>
      <w:r>
        <w:rPr>
          <w:rFonts w:ascii="Arial" w:hAnsi="Arial" w:cs="Arial"/>
        </w:rPr>
        <w:t xml:space="preserve">Tato smlouva bude v souladu s příslušnými ustanoveními právního řádu České republiky zveřejněna. </w:t>
      </w:r>
    </w:p>
    <w:p w:rsidR="00DF7917" w:rsidRDefault="00DF7917" w:rsidP="00DF7917">
      <w:pPr>
        <w:spacing w:after="120" w:line="276" w:lineRule="auto"/>
        <w:jc w:val="both"/>
        <w:rPr>
          <w:rFonts w:ascii="Arial" w:eastAsia="Times New Roman" w:hAnsi="Arial" w:cs="Arial"/>
          <w:sz w:val="22"/>
          <w:lang w:val="cs-CZ"/>
        </w:rPr>
      </w:pPr>
    </w:p>
    <w:p w:rsidR="0019514A" w:rsidRDefault="0019514A" w:rsidP="0019514A">
      <w:pPr>
        <w:spacing w:after="120" w:line="276" w:lineRule="auto"/>
        <w:jc w:val="both"/>
        <w:rPr>
          <w:rFonts w:ascii="Arial" w:eastAsia="Times New Roman" w:hAnsi="Arial" w:cs="Arial"/>
          <w:sz w:val="22"/>
          <w:lang w:val="cs-CZ"/>
        </w:rPr>
      </w:pPr>
    </w:p>
    <w:p w:rsidR="0019514A" w:rsidRDefault="0019514A" w:rsidP="0019514A">
      <w:pPr>
        <w:spacing w:after="120" w:line="276" w:lineRule="auto"/>
        <w:jc w:val="both"/>
        <w:rPr>
          <w:rFonts w:ascii="Arial" w:eastAsia="Times New Roman" w:hAnsi="Arial" w:cs="Arial"/>
          <w:sz w:val="22"/>
          <w:lang w:val="cs-CZ"/>
        </w:rPr>
      </w:pPr>
      <w:r>
        <w:rPr>
          <w:rFonts w:ascii="Arial" w:eastAsia="Times New Roman" w:hAnsi="Arial" w:cs="Arial"/>
          <w:sz w:val="22"/>
          <w:lang w:val="cs-CZ"/>
        </w:rPr>
        <w:t>V Praze dne</w:t>
      </w:r>
      <w:r>
        <w:rPr>
          <w:rFonts w:ascii="Arial" w:eastAsia="Times New Roman" w:hAnsi="Arial" w:cs="Arial"/>
          <w:sz w:val="22"/>
          <w:lang w:val="cs-CZ"/>
        </w:rPr>
        <w:tab/>
      </w:r>
      <w:r>
        <w:rPr>
          <w:rFonts w:ascii="Arial" w:eastAsia="Times New Roman" w:hAnsi="Arial" w:cs="Arial"/>
          <w:sz w:val="22"/>
          <w:lang w:val="cs-CZ"/>
        </w:rPr>
        <w:tab/>
      </w:r>
      <w:r>
        <w:rPr>
          <w:rFonts w:ascii="Arial" w:eastAsia="Times New Roman" w:hAnsi="Arial" w:cs="Arial"/>
          <w:sz w:val="22"/>
          <w:lang w:val="cs-CZ"/>
        </w:rPr>
        <w:tab/>
      </w:r>
      <w:r>
        <w:rPr>
          <w:rFonts w:ascii="Arial" w:eastAsia="Times New Roman" w:hAnsi="Arial" w:cs="Arial"/>
          <w:sz w:val="22"/>
          <w:lang w:val="cs-CZ"/>
        </w:rPr>
        <w:tab/>
      </w:r>
      <w:r>
        <w:rPr>
          <w:rFonts w:ascii="Arial" w:eastAsia="Times New Roman" w:hAnsi="Arial" w:cs="Arial"/>
          <w:sz w:val="22"/>
          <w:lang w:val="cs-CZ"/>
        </w:rPr>
        <w:tab/>
        <w:t xml:space="preserve"> </w:t>
      </w:r>
      <w:r w:rsidR="006369F7">
        <w:rPr>
          <w:rFonts w:ascii="Arial" w:eastAsia="Times New Roman" w:hAnsi="Arial" w:cs="Arial"/>
          <w:sz w:val="22"/>
          <w:lang w:val="cs-CZ"/>
        </w:rPr>
        <w:t xml:space="preserve">               </w:t>
      </w:r>
      <w:r>
        <w:rPr>
          <w:rFonts w:ascii="Arial" w:eastAsia="Times New Roman" w:hAnsi="Arial" w:cs="Arial"/>
          <w:sz w:val="22"/>
          <w:lang w:val="cs-CZ"/>
        </w:rPr>
        <w:t xml:space="preserve">V Praze dne </w:t>
      </w:r>
    </w:p>
    <w:p w:rsidR="0019514A" w:rsidRDefault="0019514A" w:rsidP="0019514A">
      <w:pPr>
        <w:spacing w:after="120" w:line="276" w:lineRule="auto"/>
        <w:jc w:val="both"/>
        <w:rPr>
          <w:rFonts w:ascii="Arial" w:eastAsia="Times New Roman" w:hAnsi="Arial" w:cs="Arial"/>
          <w:sz w:val="22"/>
          <w:lang w:val="cs-CZ"/>
        </w:rPr>
      </w:pPr>
    </w:p>
    <w:p w:rsidR="0019514A" w:rsidRDefault="0019514A" w:rsidP="0019514A">
      <w:pPr>
        <w:spacing w:after="120" w:line="276" w:lineRule="auto"/>
        <w:jc w:val="both"/>
        <w:rPr>
          <w:rFonts w:ascii="Arial" w:eastAsia="Times New Roman" w:hAnsi="Arial" w:cs="Arial"/>
          <w:sz w:val="22"/>
          <w:lang w:val="cs-CZ"/>
        </w:rPr>
      </w:pPr>
    </w:p>
    <w:p w:rsidR="0019514A" w:rsidRDefault="0019514A" w:rsidP="0019514A">
      <w:p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</w:p>
    <w:p w:rsidR="0019514A" w:rsidRDefault="0019514A" w:rsidP="0019514A">
      <w:p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……………………………………..</w:t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 xml:space="preserve"> ……………………………………..</w:t>
      </w:r>
    </w:p>
    <w:p w:rsidR="0019514A" w:rsidRDefault="0019514A" w:rsidP="0019514A">
      <w:p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                 za příkazce                                          </w:t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 xml:space="preserve">             za příkazníka</w:t>
      </w:r>
    </w:p>
    <w:p w:rsidR="0019514A" w:rsidRPr="009D3B6C" w:rsidRDefault="0019514A" w:rsidP="0019514A">
      <w:p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 w:rsidRPr="009D3B6C">
        <w:rPr>
          <w:rFonts w:ascii="Arial" w:hAnsi="Arial" w:cs="Arial"/>
          <w:b/>
          <w:sz w:val="22"/>
          <w:szCs w:val="22"/>
          <w:lang w:val="cs-CZ"/>
        </w:rPr>
        <w:t xml:space="preserve">Národní </w:t>
      </w:r>
      <w:r w:rsidRPr="009D3B6C">
        <w:rPr>
          <w:rFonts w:ascii="Arial" w:hAnsi="Arial" w:cs="Arial"/>
          <w:b/>
          <w:sz w:val="22"/>
          <w:lang w:val="cs-CZ"/>
        </w:rPr>
        <w:t>zemědělské</w:t>
      </w:r>
      <w:r w:rsidRPr="009D3B6C">
        <w:rPr>
          <w:rFonts w:ascii="Arial" w:hAnsi="Arial" w:cs="Arial"/>
          <w:b/>
          <w:sz w:val="22"/>
          <w:szCs w:val="22"/>
          <w:lang w:val="cs-CZ"/>
        </w:rPr>
        <w:t xml:space="preserve"> muzeum, s.p.o.</w:t>
      </w:r>
      <w:r w:rsidRPr="009D3B6C">
        <w:rPr>
          <w:rFonts w:ascii="Arial" w:hAnsi="Arial" w:cs="Arial"/>
          <w:b/>
          <w:sz w:val="22"/>
          <w:lang w:val="cs-CZ"/>
        </w:rPr>
        <w:tab/>
      </w:r>
      <w:r w:rsidRPr="009D3B6C">
        <w:rPr>
          <w:rFonts w:ascii="Arial" w:hAnsi="Arial" w:cs="Arial"/>
          <w:b/>
          <w:sz w:val="22"/>
          <w:lang w:val="cs-CZ"/>
        </w:rPr>
        <w:tab/>
      </w:r>
      <w:r>
        <w:rPr>
          <w:rFonts w:ascii="Arial" w:hAnsi="Arial" w:cs="Arial"/>
          <w:b/>
          <w:sz w:val="22"/>
          <w:lang w:val="cs-CZ"/>
        </w:rPr>
        <w:t xml:space="preserve">      </w:t>
      </w:r>
      <w:r w:rsidRPr="009D3B6C">
        <w:rPr>
          <w:rFonts w:ascii="Arial" w:hAnsi="Arial" w:cs="Arial"/>
          <w:b/>
          <w:sz w:val="22"/>
          <w:lang w:val="cs-CZ"/>
        </w:rPr>
        <w:t xml:space="preserve">AK Janstová, Smetana &amp; Nevečeřal </w:t>
      </w:r>
    </w:p>
    <w:p w:rsidR="0019514A" w:rsidRPr="009D3B6C" w:rsidRDefault="0019514A" w:rsidP="0019514A">
      <w:pPr>
        <w:spacing w:after="120" w:line="276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</w:t>
      </w:r>
    </w:p>
    <w:sectPr w:rsidR="0019514A" w:rsidRPr="009D3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6D" w:rsidRDefault="0055286D" w:rsidP="00DF7917">
      <w:r>
        <w:separator/>
      </w:r>
    </w:p>
  </w:endnote>
  <w:endnote w:type="continuationSeparator" w:id="0">
    <w:p w:rsidR="0055286D" w:rsidRDefault="0055286D" w:rsidP="00DF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47" w:rsidRDefault="008276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061749"/>
      <w:docPartObj>
        <w:docPartGallery w:val="Page Numbers (Bottom of Page)"/>
        <w:docPartUnique/>
      </w:docPartObj>
    </w:sdtPr>
    <w:sdtEndPr/>
    <w:sdtContent>
      <w:p w:rsidR="00CB6066" w:rsidRDefault="00CB6066" w:rsidP="00CB60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5E8" w:rsidRPr="007955E8">
          <w:rPr>
            <w:noProof/>
            <w:lang w:val="cs-CZ"/>
          </w:rPr>
          <w:t>11</w:t>
        </w:r>
        <w:r>
          <w:fldChar w:fldCharType="end"/>
        </w:r>
      </w:p>
    </w:sdtContent>
  </w:sdt>
  <w:p w:rsidR="00CB6066" w:rsidRDefault="00CB60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47" w:rsidRDefault="00827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6D" w:rsidRDefault="0055286D" w:rsidP="00DF7917">
      <w:r>
        <w:separator/>
      </w:r>
    </w:p>
  </w:footnote>
  <w:footnote w:type="continuationSeparator" w:id="0">
    <w:p w:rsidR="0055286D" w:rsidRDefault="0055286D" w:rsidP="00DF7917">
      <w:r>
        <w:continuationSeparator/>
      </w:r>
    </w:p>
  </w:footnote>
  <w:footnote w:id="1">
    <w:p w:rsidR="00DF7917" w:rsidRDefault="00DF7917" w:rsidP="00DF7917">
      <w:pPr>
        <w:pStyle w:val="Textpoznpodarou"/>
        <w:rPr>
          <w:lang w:val="cs-CZ"/>
        </w:rPr>
      </w:pPr>
      <w:r>
        <w:rPr>
          <w:rStyle w:val="Znakapoznpodarou"/>
          <w:lang w:eastAsia="zh-CN"/>
        </w:rPr>
        <w:footnoteRef/>
      </w:r>
      <w:r>
        <w:rPr>
          <w:rFonts w:hint="eastAsia"/>
          <w:lang w:eastAsia="zh-CN"/>
        </w:rPr>
        <w:t xml:space="preserve"> </w:t>
      </w:r>
      <w:r>
        <w:rPr>
          <w:lang w:val="cs-CZ"/>
        </w:rPr>
        <w:t>není-li některá z položek pro danou část veřejné zakázky relevantní, dodavatel ji vypustí, nebo nevyplní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47" w:rsidRDefault="008276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47" w:rsidRDefault="00827647">
    <w:pPr>
      <w:pStyle w:val="Zhlav"/>
    </w:pPr>
    <w:r w:rsidRPr="00827647">
      <w:rPr>
        <w:noProof/>
        <w:lang w:val="cs-CZ" w:eastAsia="cs-CZ"/>
      </w:rPr>
      <w:drawing>
        <wp:inline distT="0" distB="0" distL="0" distR="0" wp14:anchorId="39817331" wp14:editId="362CFA37">
          <wp:extent cx="5760720" cy="949635"/>
          <wp:effectExtent l="0" t="0" r="0" b="3175"/>
          <wp:docPr id="1" name="Obrázek 1" descr="C:\Users\roman.kuruc\Desktop\NZM_stolní\IROP\LOGO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man.kuruc\Desktop\NZM_stolní\IROP\LOGO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47" w:rsidRDefault="00827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966"/>
    <w:multiLevelType w:val="hybridMultilevel"/>
    <w:tmpl w:val="0376F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7CF"/>
    <w:multiLevelType w:val="multilevel"/>
    <w:tmpl w:val="041427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1ECC"/>
    <w:multiLevelType w:val="multilevel"/>
    <w:tmpl w:val="05071E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2A75"/>
    <w:multiLevelType w:val="multilevel"/>
    <w:tmpl w:val="14F52A7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C1269"/>
    <w:multiLevelType w:val="multilevel"/>
    <w:tmpl w:val="1D4C126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3A10"/>
    <w:multiLevelType w:val="multilevel"/>
    <w:tmpl w:val="1F373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721F8"/>
    <w:multiLevelType w:val="multilevel"/>
    <w:tmpl w:val="29A721F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5288"/>
    <w:multiLevelType w:val="multilevel"/>
    <w:tmpl w:val="2A665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4F73"/>
    <w:multiLevelType w:val="multilevel"/>
    <w:tmpl w:val="30C24F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627E0"/>
    <w:multiLevelType w:val="multilevel"/>
    <w:tmpl w:val="35C62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161F6"/>
    <w:multiLevelType w:val="multilevel"/>
    <w:tmpl w:val="42516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05487"/>
    <w:multiLevelType w:val="multilevel"/>
    <w:tmpl w:val="4CA05487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5D3E6359"/>
    <w:multiLevelType w:val="multilevel"/>
    <w:tmpl w:val="5D3E635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516744"/>
    <w:multiLevelType w:val="multilevel"/>
    <w:tmpl w:val="6351674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4880295"/>
    <w:multiLevelType w:val="multilevel"/>
    <w:tmpl w:val="6488029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Roman"/>
      <w:lvlText w:val="%2."/>
      <w:lvlJc w:val="right"/>
      <w:pPr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D20B01"/>
    <w:multiLevelType w:val="multilevel"/>
    <w:tmpl w:val="6FD20B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90220"/>
    <w:multiLevelType w:val="multilevel"/>
    <w:tmpl w:val="72590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2593A"/>
    <w:multiLevelType w:val="multilevel"/>
    <w:tmpl w:val="74E2593A"/>
    <w:lvl w:ilvl="0">
      <w:start w:val="4"/>
      <w:numFmt w:val="decimal"/>
      <w:lvlText w:val="%1."/>
      <w:lvlJc w:val="left"/>
      <w:pPr>
        <w:tabs>
          <w:tab w:val="left" w:pos="357"/>
        </w:tabs>
        <w:ind w:left="357" w:hanging="357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769F7826"/>
    <w:multiLevelType w:val="multilevel"/>
    <w:tmpl w:val="769F7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61C67"/>
    <w:multiLevelType w:val="multilevel"/>
    <w:tmpl w:val="76F61C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97A73"/>
    <w:multiLevelType w:val="multilevel"/>
    <w:tmpl w:val="7EF97A7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17"/>
    <w:rsid w:val="000143B4"/>
    <w:rsid w:val="00022A65"/>
    <w:rsid w:val="0005282E"/>
    <w:rsid w:val="00053146"/>
    <w:rsid w:val="0019514A"/>
    <w:rsid w:val="001B3C84"/>
    <w:rsid w:val="001D698E"/>
    <w:rsid w:val="00203F35"/>
    <w:rsid w:val="002863DA"/>
    <w:rsid w:val="002B5A0A"/>
    <w:rsid w:val="002D0F74"/>
    <w:rsid w:val="002E3E8D"/>
    <w:rsid w:val="003434DF"/>
    <w:rsid w:val="003E54B3"/>
    <w:rsid w:val="003E7988"/>
    <w:rsid w:val="00401580"/>
    <w:rsid w:val="00433FF1"/>
    <w:rsid w:val="00435EEC"/>
    <w:rsid w:val="00492944"/>
    <w:rsid w:val="004C6998"/>
    <w:rsid w:val="005170A8"/>
    <w:rsid w:val="00551AB3"/>
    <w:rsid w:val="0055286D"/>
    <w:rsid w:val="006369F7"/>
    <w:rsid w:val="00715855"/>
    <w:rsid w:val="007955E8"/>
    <w:rsid w:val="007F56F1"/>
    <w:rsid w:val="00827647"/>
    <w:rsid w:val="00830BAC"/>
    <w:rsid w:val="00834BBB"/>
    <w:rsid w:val="009C5714"/>
    <w:rsid w:val="009F22B9"/>
    <w:rsid w:val="00A0121F"/>
    <w:rsid w:val="00A73D3C"/>
    <w:rsid w:val="00AA56BA"/>
    <w:rsid w:val="00B178E1"/>
    <w:rsid w:val="00B56A51"/>
    <w:rsid w:val="00C167B5"/>
    <w:rsid w:val="00C72288"/>
    <w:rsid w:val="00C937EF"/>
    <w:rsid w:val="00CB5E6D"/>
    <w:rsid w:val="00CB6066"/>
    <w:rsid w:val="00D302A2"/>
    <w:rsid w:val="00DA6516"/>
    <w:rsid w:val="00DB01C8"/>
    <w:rsid w:val="00DF7917"/>
    <w:rsid w:val="00E95DB2"/>
    <w:rsid w:val="00EA5520"/>
    <w:rsid w:val="00EA576A"/>
    <w:rsid w:val="00ED5233"/>
    <w:rsid w:val="00F21249"/>
    <w:rsid w:val="00F464DF"/>
    <w:rsid w:val="00F67FA3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E99E"/>
  <w15:docId w15:val="{C48953DF-F2B6-4D75-B040-90499FBD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917"/>
    <w:pPr>
      <w:spacing w:after="0" w:line="240" w:lineRule="auto"/>
    </w:pPr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F7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DF7917"/>
    <w:pPr>
      <w:keepNext/>
      <w:widowControl w:val="0"/>
      <w:autoSpaceDE w:val="0"/>
      <w:autoSpaceDN w:val="0"/>
      <w:adjustRightInd w:val="0"/>
      <w:ind w:firstLine="340"/>
      <w:jc w:val="center"/>
      <w:outlineLvl w:val="1"/>
    </w:pPr>
    <w:rPr>
      <w:rFonts w:ascii="Arial" w:eastAsia="Times New Roman" w:hAnsi="Arial" w:cs="Arial"/>
      <w:b/>
      <w:sz w:val="28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9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F7917"/>
    <w:rPr>
      <w:rFonts w:ascii="Arial" w:eastAsia="Times New Roman" w:hAnsi="Arial" w:cs="Arial"/>
      <w:b/>
      <w:sz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7917"/>
    <w:rPr>
      <w:rFonts w:ascii="Times New Roman" w:eastAsia="Times New Roman" w:hAnsi="Times New Roman" w:cs="Times New Roman"/>
      <w:sz w:val="20"/>
      <w:szCs w:val="20"/>
      <w:lang w:val="zh-CN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7917"/>
    <w:rPr>
      <w:rFonts w:ascii="Times New Roman" w:eastAsia="Times New Roman" w:hAnsi="Times New Roman" w:cs="Times New Roman"/>
      <w:sz w:val="20"/>
      <w:szCs w:val="20"/>
      <w:lang w:val="zh-CN" w:eastAsia="cs-CZ"/>
    </w:rPr>
  </w:style>
  <w:style w:type="paragraph" w:styleId="Zkladntext">
    <w:name w:val="Body Text"/>
    <w:basedOn w:val="Normln"/>
    <w:link w:val="ZkladntextChar"/>
    <w:semiHidden/>
    <w:unhideWhenUsed/>
    <w:rsid w:val="00DF7917"/>
    <w:rPr>
      <w:rFonts w:ascii="Calibri" w:eastAsia="Times New Roman" w:hAnsi="Calibri" w:cs="Times New Roman"/>
      <w:sz w:val="22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7917"/>
    <w:rPr>
      <w:rFonts w:ascii="Calibri" w:eastAsia="Times New Roman" w:hAnsi="Calibri" w:cs="Times New Roman"/>
      <w:szCs w:val="24"/>
      <w:lang w:eastAsia="cs-CZ"/>
    </w:rPr>
  </w:style>
  <w:style w:type="character" w:customStyle="1" w:styleId="OdstavecseseznamemChar">
    <w:name w:val="Odstavec se seznamem Char"/>
    <w:link w:val="Odstavecseseznamem1"/>
    <w:uiPriority w:val="34"/>
    <w:qFormat/>
    <w:locked/>
    <w:rsid w:val="00DF7917"/>
  </w:style>
  <w:style w:type="paragraph" w:customStyle="1" w:styleId="Odstavecseseznamem1">
    <w:name w:val="Odstavec se seznamem1"/>
    <w:basedOn w:val="Normln"/>
    <w:link w:val="OdstavecseseznamemChar"/>
    <w:uiPriority w:val="34"/>
    <w:qFormat/>
    <w:rsid w:val="00DF7917"/>
    <w:pPr>
      <w:ind w:left="720"/>
      <w:contextualSpacing/>
    </w:pPr>
    <w:rPr>
      <w:sz w:val="22"/>
      <w:szCs w:val="22"/>
      <w:lang w:val="cs-CZ"/>
    </w:rPr>
  </w:style>
  <w:style w:type="paragraph" w:customStyle="1" w:styleId="Style3">
    <w:name w:val="Style 3"/>
    <w:rsid w:val="00DF7917"/>
    <w:pPr>
      <w:widowControl w:val="0"/>
      <w:autoSpaceDE w:val="0"/>
      <w:autoSpaceDN w:val="0"/>
      <w:spacing w:after="0" w:line="240" w:lineRule="auto"/>
      <w:ind w:left="36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DF7917"/>
    <w:rPr>
      <w:vertAlign w:val="superscript"/>
    </w:rPr>
  </w:style>
  <w:style w:type="character" w:customStyle="1" w:styleId="CharacterStyle1">
    <w:name w:val="Character Style 1"/>
    <w:qFormat/>
    <w:rsid w:val="00DF7917"/>
    <w:rPr>
      <w:rFonts w:ascii="Garamond" w:hAnsi="Garamond" w:hint="default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2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2A2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3434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60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6066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CB6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6066"/>
    <w:rPr>
      <w:sz w:val="24"/>
      <w:szCs w:val="24"/>
      <w:lang w:val="en-US"/>
    </w:rPr>
  </w:style>
  <w:style w:type="paragraph" w:customStyle="1" w:styleId="Obsahtabulky">
    <w:name w:val="Obsah tabulky"/>
    <w:basedOn w:val="Normln"/>
    <w:rsid w:val="00DA6516"/>
    <w:pPr>
      <w:suppressLineNumbers/>
      <w:suppressAutoHyphens/>
    </w:pPr>
    <w:rPr>
      <w:rFonts w:ascii="Liberation Serif" w:eastAsia="SimSun" w:hAnsi="Liberation Serif" w:cs="Lucida Sans"/>
      <w:kern w:val="1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F684-5F7D-435D-B1BF-CF6710AA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3551</Words>
  <Characters>20954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Juriga Antonín</dc:creator>
  <cp:keywords/>
  <dc:description/>
  <cp:lastModifiedBy>Heřmanová Pavla</cp:lastModifiedBy>
  <cp:revision>4</cp:revision>
  <cp:lastPrinted>2017-03-15T09:58:00Z</cp:lastPrinted>
  <dcterms:created xsi:type="dcterms:W3CDTF">2017-05-10T08:26:00Z</dcterms:created>
  <dcterms:modified xsi:type="dcterms:W3CDTF">2017-05-10T13:25:00Z</dcterms:modified>
</cp:coreProperties>
</file>