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475A97">
        <w:rPr>
          <w:rFonts w:ascii="Arial" w:hAnsi="Arial" w:cs="Arial"/>
          <w:spacing w:val="40"/>
          <w:sz w:val="22"/>
          <w:szCs w:val="22"/>
        </w:rPr>
        <w:t>2</w:t>
      </w:r>
      <w:r w:rsidR="00A82D18">
        <w:rPr>
          <w:rFonts w:ascii="Arial" w:hAnsi="Arial" w:cs="Arial"/>
          <w:spacing w:val="40"/>
          <w:sz w:val="22"/>
          <w:szCs w:val="22"/>
        </w:rPr>
        <w:t>4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A82D18" w:rsidRDefault="00007307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</w:t>
      </w:r>
      <w:r w:rsidR="007F77A8">
        <w:rPr>
          <w:rFonts w:cs="Arial"/>
          <w:sz w:val="20"/>
        </w:rPr>
        <w:t>, a to</w:t>
      </w:r>
      <w:r w:rsidR="00A769F6">
        <w:rPr>
          <w:rFonts w:cs="Arial"/>
          <w:sz w:val="20"/>
        </w:rPr>
        <w:t xml:space="preserve"> </w:t>
      </w:r>
      <w:r w:rsidR="002D1E66">
        <w:rPr>
          <w:rFonts w:cs="Arial"/>
          <w:sz w:val="20"/>
        </w:rPr>
        <w:t>v</w:t>
      </w:r>
      <w:r w:rsidR="005C4C10">
        <w:rPr>
          <w:rFonts w:cs="Arial"/>
          <w:sz w:val="20"/>
        </w:rPr>
        <w:t xml:space="preserve"> kolektoru </w:t>
      </w:r>
    </w:p>
    <w:p w:rsidR="00AF69F0" w:rsidRDefault="00AF69F0" w:rsidP="004F2E88">
      <w:pPr>
        <w:pStyle w:val="Zkladntext2"/>
        <w:spacing w:before="0" w:after="0"/>
        <w:jc w:val="left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7B558D" w:rsidRDefault="00AF69F0" w:rsidP="004F2E88">
      <w:pPr>
        <w:pStyle w:val="Zkladntext2"/>
        <w:spacing w:before="0" w:after="0"/>
        <w:jc w:val="left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7F77A8" w:rsidRDefault="00AF69F0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C06FA3">
        <w:rPr>
          <w:rFonts w:cs="Arial"/>
          <w:b/>
          <w:sz w:val="20"/>
        </w:rPr>
        <w:t>9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7B558D">
        <w:rPr>
          <w:rFonts w:cs="Arial"/>
          <w:b/>
          <w:sz w:val="20"/>
        </w:rPr>
        <w:t>2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AF69F0" w:rsidP="00C06FA3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AF69F0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AF69F0" w:rsidP="00C06FA3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AF69F0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AF69F0">
              <w:rPr>
                <w:rFonts w:ascii="Arial" w:hAnsi="Arial" w:cs="Arial"/>
                <w:bCs/>
              </w:rPr>
              <w:t>xxx</w:t>
            </w:r>
            <w:proofErr w:type="spellEnd"/>
            <w:r w:rsidR="00AF69F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AF69F0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AF69F0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proofErr w:type="spellStart"/>
            <w:r w:rsidR="00AF69F0">
              <w:rPr>
                <w:rFonts w:ascii="Arial" w:hAnsi="Arial" w:cs="Arial"/>
                <w:bCs/>
              </w:rPr>
              <w:t>xxx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AF69F0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514C32" w:rsidP="00C06FA3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271 </w:t>
            </w:r>
            <w:r w:rsidR="00C06FA3">
              <w:rPr>
                <w:rFonts w:ascii="Arial" w:hAnsi="Arial" w:cs="Arial"/>
                <w:b/>
              </w:rPr>
              <w:t>999</w:t>
            </w:r>
            <w:r>
              <w:rPr>
                <w:rFonts w:ascii="Arial" w:hAnsi="Arial" w:cs="Arial"/>
                <w:b/>
              </w:rPr>
              <w:t>,</w:t>
            </w:r>
            <w:r w:rsidR="00C06FA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475A97" w:rsidP="00C06FA3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14C32">
              <w:rPr>
                <w:rFonts w:ascii="Arial" w:hAnsi="Arial" w:cs="Arial"/>
                <w:b/>
              </w:rPr>
              <w:t> 26</w:t>
            </w:r>
            <w:r w:rsidR="00C06FA3">
              <w:rPr>
                <w:rFonts w:ascii="Arial" w:hAnsi="Arial" w:cs="Arial"/>
                <w:b/>
              </w:rPr>
              <w:t>3 988,00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14C32">
        <w:rPr>
          <w:rFonts w:cs="Arial"/>
          <w:b/>
          <w:bCs/>
          <w:sz w:val="20"/>
        </w:rPr>
        <w:t>271</w:t>
      </w:r>
      <w:r w:rsidR="00C06FA3">
        <w:rPr>
          <w:rFonts w:cs="Arial"/>
          <w:b/>
          <w:bCs/>
          <w:sz w:val="20"/>
        </w:rPr>
        <w:t> 999,00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proofErr w:type="gramStart"/>
      <w:r w:rsidR="00AF69F0">
        <w:rPr>
          <w:rFonts w:ascii="Arial" w:hAnsi="Arial" w:cs="Arial"/>
        </w:rPr>
        <w:t>xxx</w:t>
      </w:r>
      <w:bookmarkStart w:id="0" w:name="_GoBack"/>
      <w:bookmarkEnd w:id="0"/>
      <w:r>
        <w:rPr>
          <w:rFonts w:ascii="Arial" w:hAnsi="Arial" w:cs="Arial"/>
        </w:rPr>
        <w:t xml:space="preserve"> ; </w:t>
      </w:r>
      <w:proofErr w:type="spellStart"/>
      <w:r w:rsidR="00AF69F0">
        <w:rPr>
          <w:rFonts w:ascii="Arial" w:hAnsi="Arial" w:cs="Arial"/>
        </w:rPr>
        <w:t>xxx</w:t>
      </w:r>
      <w:proofErr w:type="spellEnd"/>
      <w:proofErr w:type="gramEnd"/>
      <w:r>
        <w:rPr>
          <w:rFonts w:ascii="Arial" w:hAnsi="Arial" w:cs="Arial"/>
        </w:rPr>
        <w:t>.</w:t>
      </w:r>
    </w:p>
    <w:p w:rsidR="008C1BB9" w:rsidRDefault="008C1BB9" w:rsidP="00310494">
      <w:pPr>
        <w:rPr>
          <w:rFonts w:ascii="Arial" w:hAnsi="Arial" w:cs="Arial"/>
        </w:rPr>
      </w:pPr>
    </w:p>
    <w:p w:rsidR="00A47246" w:rsidRDefault="00A47246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AF69F0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70415"/>
    <w:rsid w:val="001A3E75"/>
    <w:rsid w:val="001E09C1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05E77"/>
    <w:rsid w:val="00310494"/>
    <w:rsid w:val="00310A18"/>
    <w:rsid w:val="00311CAF"/>
    <w:rsid w:val="003446A2"/>
    <w:rsid w:val="00354226"/>
    <w:rsid w:val="0036780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6363"/>
    <w:rsid w:val="005508D6"/>
    <w:rsid w:val="00555205"/>
    <w:rsid w:val="00562508"/>
    <w:rsid w:val="005843CB"/>
    <w:rsid w:val="005B38DA"/>
    <w:rsid w:val="005C4C10"/>
    <w:rsid w:val="005E490E"/>
    <w:rsid w:val="00613A29"/>
    <w:rsid w:val="006544E9"/>
    <w:rsid w:val="006E5EE8"/>
    <w:rsid w:val="006F5184"/>
    <w:rsid w:val="006F6DC5"/>
    <w:rsid w:val="00702526"/>
    <w:rsid w:val="007035D6"/>
    <w:rsid w:val="00772C80"/>
    <w:rsid w:val="007739E0"/>
    <w:rsid w:val="007A3D1B"/>
    <w:rsid w:val="007B558D"/>
    <w:rsid w:val="007D39C2"/>
    <w:rsid w:val="007F77A8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8F532F"/>
    <w:rsid w:val="009079D7"/>
    <w:rsid w:val="009634F9"/>
    <w:rsid w:val="0097471B"/>
    <w:rsid w:val="00982FD3"/>
    <w:rsid w:val="009B0CA0"/>
    <w:rsid w:val="009B5053"/>
    <w:rsid w:val="009B7FA3"/>
    <w:rsid w:val="009D50B5"/>
    <w:rsid w:val="009F02CC"/>
    <w:rsid w:val="009F6FB9"/>
    <w:rsid w:val="00A47246"/>
    <w:rsid w:val="00A54568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624A"/>
    <w:rsid w:val="00AF08EE"/>
    <w:rsid w:val="00AF69F0"/>
    <w:rsid w:val="00B4734C"/>
    <w:rsid w:val="00B722C4"/>
    <w:rsid w:val="00BA75AF"/>
    <w:rsid w:val="00C03E00"/>
    <w:rsid w:val="00C06FA3"/>
    <w:rsid w:val="00C14475"/>
    <w:rsid w:val="00C15176"/>
    <w:rsid w:val="00C20688"/>
    <w:rsid w:val="00C32483"/>
    <w:rsid w:val="00C35D19"/>
    <w:rsid w:val="00CA1068"/>
    <w:rsid w:val="00CB3A92"/>
    <w:rsid w:val="00CD4959"/>
    <w:rsid w:val="00CE7A2E"/>
    <w:rsid w:val="00D2013E"/>
    <w:rsid w:val="00D244B1"/>
    <w:rsid w:val="00D27C44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E403E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2022-05-04T10:13:00Z</cp:lastPrinted>
  <dcterms:created xsi:type="dcterms:W3CDTF">2022-09-12T08:45:00Z</dcterms:created>
  <dcterms:modified xsi:type="dcterms:W3CDTF">2022-09-12T08:47:00Z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